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dell’Annunciata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20121 Milan, 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 the registrant’s registration statement on Form S-8 (File No. 333-278392).</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Extraordinary Shareholders’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Genenta Science S.p.A. (the “Company”) held an Extraordinary Shareholders’ Meeting (the “Meeting”) in virtual meeting format. The Meeting constituted a continuation of the previously convened extraordinary shareholders’ meeting, to consider a proposed amendment to Article 1 of the Company’s by-laws to change its corporate name from Genenta Science S.p.A. to Saentra Forge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28 shareholders were present or represented, holding an aggregate of 38,811,108 ordinary shares of the Company, representing approximately 80.49% of the Company’s outstanding share capital and an aggregate of 98,516,262 votes, representing approximately 91.28% of the Company’s total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shareholder vote on the proposed corporate name change were as follows:</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28" w:type="dxa"/>
          <w:right w:w="0" w:type="dxa"/>
        </w:tblCellMar>
      </w:tblPr>
      <w:tblGrid>
        <w:gridCol w:w="1835"/>
        <w:gridCol w:w="60"/>
        <w:gridCol w:w="91"/>
        <w:gridCol w:w="1668"/>
        <w:gridCol w:w="60"/>
        <w:gridCol w:w="60"/>
        <w:gridCol w:w="115"/>
        <w:gridCol w:w="1314"/>
        <w:gridCol w:w="275"/>
      </w:tblGrid>
      <w:tr>
        <w:trPr/>
        <w:tc>
          <w:tcPr>
            <w:tcW w:w="1835" w:type="dxa"/>
            <w:tcBorders>
              <w:bottom w:val="single" w:sz="8" w:space="0" w:color="000000"/>
            </w:tcBorders>
            <w:vAlign w:val="center"/>
          </w:tcPr>
          <w:p>
            <w:pPr>
              <w:pStyle w:val="TableContents"/>
              <w:bidi w:val="0"/>
              <w:spacing w:before="0" w:after="283"/>
              <w:jc w:val="center"/>
              <w:rPr>
                <w:b/>
              </w:rPr>
            </w:pPr>
            <w:r>
              <w:rPr>
                <w:b/>
              </w:rPr>
              <w:t>Voting Result</w:t>
            </w:r>
          </w:p>
        </w:tc>
        <w:tc>
          <w:tcPr>
            <w:tcW w:w="60" w:type="dxa"/>
            <w:tcBorders/>
            <w:tcMar>
              <w:bottom w:w="0" w:type="dxa"/>
            </w:tcMar>
            <w:vAlign w:val="center"/>
          </w:tcPr>
          <w:p>
            <w:pPr>
              <w:pStyle w:val="TableContents"/>
              <w:bidi w:val="0"/>
              <w:spacing w:before="0" w:after="283"/>
              <w:jc w:val="left"/>
              <w:rPr/>
            </w:pPr>
            <w:r>
              <w:rPr/>
              <w:t> </w:t>
            </w:r>
          </w:p>
        </w:tc>
        <w:tc>
          <w:tcPr>
            <w:tcW w:w="1759" w:type="dxa"/>
            <w:gridSpan w:val="2"/>
            <w:tcBorders>
              <w:bottom w:val="single" w:sz="8" w:space="0" w:color="000000"/>
            </w:tcBorders>
            <w:vAlign w:val="center"/>
          </w:tcPr>
          <w:p>
            <w:pPr>
              <w:pStyle w:val="TableContents"/>
              <w:bidi w:val="0"/>
              <w:spacing w:before="0" w:after="283"/>
              <w:jc w:val="center"/>
              <w:rPr>
                <w:b/>
              </w:rPr>
            </w:pPr>
            <w:r>
              <w:rPr>
                <w:b/>
              </w:rPr>
              <w:t>Number of Votes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8" w:space="0" w:color="000000"/>
            </w:tcBorders>
            <w:vAlign w:val="center"/>
          </w:tcPr>
          <w:p>
            <w:pPr>
              <w:pStyle w:val="TableContents"/>
              <w:bidi w:val="0"/>
              <w:jc w:val="center"/>
              <w:rPr>
                <w:b/>
              </w:rPr>
            </w:pPr>
            <w:r>
              <w:rPr>
                <w:b/>
              </w:rPr>
              <w:t>% of Total</w:t>
            </w:r>
          </w:p>
          <w:p>
            <w:pPr>
              <w:pStyle w:val="TableContents"/>
              <w:bidi w:val="0"/>
              <w:spacing w:before="0" w:after="283"/>
              <w:jc w:val="center"/>
              <w:rPr>
                <w:b/>
              </w:rPr>
            </w:pPr>
            <w:r>
              <w:rPr>
                <w:b/>
              </w:rPr>
              <w:t>Voting Rights</w:t>
            </w:r>
          </w:p>
        </w:tc>
        <w:tc>
          <w:tcPr>
            <w:tcW w:w="275" w:type="dxa"/>
            <w:tcBorders/>
            <w:tcMar>
              <w:bottom w:w="0" w:type="dxa"/>
            </w:tcMar>
            <w:vAlign w:val="center"/>
          </w:tcPr>
          <w:p>
            <w:pPr>
              <w:pStyle w:val="TableContents"/>
              <w:bidi w:val="0"/>
              <w:spacing w:before="0" w:after="283"/>
              <w:jc w:val="left"/>
              <w:rPr/>
            </w:pPr>
            <w:r>
              <w:rPr/>
              <w:t> </w:t>
            </w:r>
          </w:p>
        </w:tc>
      </w:tr>
      <w:tr>
        <w:trPr/>
        <w:tc>
          <w:tcPr>
            <w:tcW w:w="1835" w:type="dxa"/>
            <w:tcBorders/>
            <w:shd w:fill="CCEEFF" w:val="clear"/>
            <w:tcMar>
              <w:bottom w:w="0" w:type="dxa"/>
            </w:tcMar>
            <w:vAlign w:val="center"/>
          </w:tcPr>
          <w:p>
            <w:pPr>
              <w:pStyle w:val="TableContents"/>
              <w:bidi w:val="0"/>
              <w:spacing w:before="0" w:after="283"/>
              <w:jc w:val="left"/>
              <w:rPr/>
            </w:pPr>
            <w:r>
              <w:rPr/>
              <w:t>Votes in favor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668" w:type="dxa"/>
            <w:tcBorders/>
            <w:shd w:fill="CCEEFF" w:val="clear"/>
            <w:tcMar>
              <w:bottom w:w="0" w:type="dxa"/>
            </w:tcMar>
            <w:vAlign w:val="center"/>
          </w:tcPr>
          <w:p>
            <w:pPr>
              <w:pStyle w:val="TableContents"/>
              <w:bidi w:val="0"/>
              <w:spacing w:before="0" w:after="283"/>
              <w:jc w:val="right"/>
              <w:rPr/>
            </w:pPr>
            <w:r>
              <w:rPr/>
              <w:t>53,307,711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pPr>
            <w:r>
              <w:rPr/>
              <w:t>49.395</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1835" w:type="dxa"/>
            <w:tcBorders/>
            <w:shd w:fill="FFFFFF" w:val="clear"/>
            <w:tcMar>
              <w:bottom w:w="0" w:type="dxa"/>
            </w:tcMar>
            <w:vAlign w:val="center"/>
          </w:tcPr>
          <w:p>
            <w:pPr>
              <w:pStyle w:val="TableContents"/>
              <w:bidi w:val="0"/>
              <w:spacing w:before="0" w:after="283"/>
              <w:jc w:val="left"/>
              <w:rPr/>
            </w:pPr>
            <w:r>
              <w:rPr/>
              <w:t>Votes against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668" w:type="dxa"/>
            <w:tcBorders/>
            <w:shd w:fill="FFFFFF" w:val="clear"/>
            <w:tcMar>
              <w:bottom w:w="0" w:type="dxa"/>
            </w:tcMar>
            <w:vAlign w:val="center"/>
          </w:tcPr>
          <w:p>
            <w:pPr>
              <w:pStyle w:val="TableContents"/>
              <w:bidi w:val="0"/>
              <w:spacing w:before="0" w:after="283"/>
              <w:jc w:val="right"/>
              <w:rPr/>
            </w:pPr>
            <w:r>
              <w:rPr/>
              <w:t>20,776,225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right"/>
              <w:rPr/>
            </w:pPr>
            <w:r>
              <w:rPr/>
              <w:t>19.251</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1835" w:type="dxa"/>
            <w:tcBorders/>
            <w:shd w:fill="CCEEFF" w:val="clear"/>
            <w:tcMar>
              <w:bottom w:w="0" w:type="dxa"/>
            </w:tcMar>
            <w:vAlign w:val="center"/>
          </w:tcPr>
          <w:p>
            <w:pPr>
              <w:pStyle w:val="TableContents"/>
              <w:bidi w:val="0"/>
              <w:spacing w:before="0" w:after="283"/>
              <w:jc w:val="left"/>
              <w:rPr/>
            </w:pPr>
            <w:r>
              <w:rPr/>
              <w:t>Abstentions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668" w:type="dxa"/>
            <w:tcBorders/>
            <w:shd w:fill="CCEEFF" w:val="clear"/>
            <w:tcMar>
              <w:bottom w:w="0" w:type="dxa"/>
            </w:tcMar>
            <w:vAlign w:val="center"/>
          </w:tcPr>
          <w:p>
            <w:pPr>
              <w:pStyle w:val="TableContents"/>
              <w:bidi w:val="0"/>
              <w:spacing w:before="0" w:after="283"/>
              <w:jc w:val="right"/>
              <w:rPr/>
            </w:pPr>
            <w:r>
              <w:rPr/>
              <w:t>24,431,835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pPr>
            <w:r>
              <w:rPr/>
              <w:t>22.638</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1835" w:type="dxa"/>
            <w:tcBorders/>
            <w:shd w:fill="FFFFFF" w:val="clear"/>
            <w:tcMar>
              <w:bottom w:w="0" w:type="dxa"/>
            </w:tcMar>
            <w:vAlign w:val="center"/>
          </w:tcPr>
          <w:p>
            <w:pPr>
              <w:pStyle w:val="TableContents"/>
              <w:bidi w:val="0"/>
              <w:spacing w:before="0" w:after="283"/>
              <w:jc w:val="left"/>
              <w:rPr/>
            </w:pPr>
            <w:r>
              <w:rPr/>
              <w:t>Not Voting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668" w:type="dxa"/>
            <w:tcBorders/>
            <w:shd w:fill="FFFFFF" w:val="clear"/>
            <w:tcMar>
              <w:bottom w:w="0" w:type="dxa"/>
            </w:tcMar>
            <w:vAlign w:val="center"/>
          </w:tcPr>
          <w:p>
            <w:pPr>
              <w:pStyle w:val="TableContents"/>
              <w:bidi w:val="0"/>
              <w:spacing w:before="0" w:after="283"/>
              <w:jc w:val="right"/>
              <w:rPr/>
            </w:pPr>
            <w:r>
              <w:rPr/>
              <w:t>491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right"/>
              <w:rPr/>
            </w:pPr>
            <w:r>
              <w:rPr/>
              <w:t>0.000</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1835" w:type="dxa"/>
            <w:tcBorders/>
            <w:shd w:fill="CCEEFF" w:val="clear"/>
            <w:tcMar>
              <w:bottom w:w="0" w:type="dxa"/>
            </w:tcMar>
            <w:vAlign w:val="center"/>
          </w:tcPr>
          <w:p>
            <w:pPr>
              <w:pStyle w:val="TableContents"/>
              <w:bidi w:val="0"/>
              <w:spacing w:before="0" w:after="283"/>
              <w:jc w:val="left"/>
              <w:rPr>
                <w:b/>
              </w:rPr>
            </w:pPr>
            <w:r>
              <w:rPr>
                <w:b/>
              </w:rPr>
              <w:t>Total represented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668" w:type="dxa"/>
            <w:tcBorders/>
            <w:shd w:fill="CCEEFF" w:val="clear"/>
            <w:tcMar>
              <w:bottom w:w="0" w:type="dxa"/>
            </w:tcMar>
            <w:vAlign w:val="center"/>
          </w:tcPr>
          <w:p>
            <w:pPr>
              <w:pStyle w:val="TableContents"/>
              <w:bidi w:val="0"/>
              <w:spacing w:before="0" w:after="283"/>
              <w:jc w:val="right"/>
              <w:rPr>
                <w:b/>
              </w:rPr>
            </w:pPr>
            <w:r>
              <w:rPr>
                <w:b/>
              </w:rPr>
              <w:t>98,516,262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b/>
              </w:rPr>
            </w:pPr>
            <w:r>
              <w:rPr>
                <w:b/>
              </w:rPr>
              <w:t>91.285</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number of votes in favor of the proposal represented approximately 54.11% of the voting rights represented at the Meeting and approximately 71.96% of the number of votes cast for or against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amendment received more votes in favor than against, it was not approved. Since the Meeting was held on first call, approval of the proposal required, under Italian law and the Company's Articles of Association, the favorable vote of more than 50% of the Company's total voting rights, rather than a majority of the voting rights represented at the Meeting. This threshold was not reached. Accordingly, the Company’s registered legal name remains Genenta Science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outcome of the shareholder vote, the Company continues to pursue its previously announced strategic transition to become an industrial consolidator focused on acquiring established, public or privately held businesses operating in strategic industrial sectors, including aerospace, defense, biotechnology/biosecurity, and related technologies.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6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13,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510</Words>
  <Characters>2899</Characters>
  <CharactersWithSpaces>3428</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