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333-260923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333-261653</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3,120,114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174625</wp:posOffset>
            </wp:positionV>
            <wp:extent cx="4286250"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969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(Including 2,400,000 Ordinary Shares in the Form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174625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60" w:firstLine="648"/>
        <w:spacing w:after="0" w:line="293" w:lineRule="auto"/>
        <w:rPr>
          <w:sz w:val="20"/>
          <w:szCs w:val="20"/>
          <w:color w:val="auto"/>
        </w:rPr>
      </w:pPr>
      <w:r>
        <w:rPr>
          <w:rFonts w:ascii="Arial" w:cs="Arial" w:eastAsia="Arial" w:hAnsi="Arial"/>
          <w:sz w:val="16"/>
          <w:szCs w:val="16"/>
          <w:color w:val="auto"/>
        </w:rPr>
        <w:t>This is a public offering of 3,120,114 ordinary shares with no par value, or ordinary shares, of Genenta S.p.A., which consists of (i) an initial public offering of 2,400,000 ordinary shares in the form of American Depositary Shares, or ADSs, each representing one of our ordinary shares, which we refer to as the “ADS offering,” and (ii) a concurrent offering of 720,114 ordinary shares exclusively offered to existing shareholders in Italy, as a mitigant for the exclusion of pre-emptive rights as resolved by the general shareholders meeting of the company in accordance with Italian corporate law and our by-laws, which we refer to as the “Reserved Offering”. We refer in this prospectus to the ADS offering and the Reserved Offering collectively as the “offering.” Ordinary shares may be offered directly or in the form of ADSs, which likewise may be evidenced by American Depositary Receipts, or ADRs.</w:t>
      </w:r>
    </w:p>
    <w:p>
      <w:pPr>
        <w:spacing w:after="0" w:line="191" w:lineRule="exact"/>
        <w:rPr>
          <w:sz w:val="24"/>
          <w:szCs w:val="24"/>
          <w:color w:val="auto"/>
        </w:rPr>
      </w:pPr>
    </w:p>
    <w:p>
      <w:pPr>
        <w:ind w:right="620" w:firstLine="648"/>
        <w:spacing w:after="0" w:line="277" w:lineRule="auto"/>
        <w:rPr>
          <w:sz w:val="20"/>
          <w:szCs w:val="20"/>
          <w:color w:val="auto"/>
        </w:rPr>
      </w:pPr>
      <w:r>
        <w:rPr>
          <w:rFonts w:ascii="Arial" w:cs="Arial" w:eastAsia="Arial" w:hAnsi="Arial"/>
          <w:sz w:val="18"/>
          <w:szCs w:val="18"/>
          <w:color w:val="auto"/>
        </w:rPr>
        <w:t>No public market currently exists for the ADSs or ordinary shares. We refer to the ADSs, including the underlying ordinary shares and the ordinary shares being offered hereby, collectively, as the “securities.”</w:t>
      </w:r>
    </w:p>
    <w:p>
      <w:pPr>
        <w:spacing w:after="0" w:line="197"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Our ADSs have been approved for listing on the Nasdaq Capital Market, or Nasdaq, under the symbol “GNTA,” subject to official notice of issuance.</w:t>
      </w:r>
    </w:p>
    <w:p>
      <w:pPr>
        <w:spacing w:after="0" w:line="197" w:lineRule="exact"/>
        <w:rPr>
          <w:sz w:val="24"/>
          <w:szCs w:val="24"/>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4"/>
          <w:szCs w:val="24"/>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security</w:t>
            </w:r>
          </w:p>
        </w:tc>
        <w:tc>
          <w:tcPr>
            <w:tcW w:w="36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 of ADSs - ADS Offering</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of ordinary shares - Reserved Offering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8,281,311</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offering proceeds to us (before expenses, underwriting discounts and commissions, and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advisory fees)</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35,881,311</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on ADSs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0.805</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1,932,000</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offering proceeds to us (before expenses and advisory fees)(2)</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33,949,311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4" w:lineRule="exact"/>
        <w:rPr>
          <w:sz w:val="24"/>
          <w:szCs w:val="24"/>
          <w:color w:val="auto"/>
        </w:rPr>
      </w:pPr>
    </w:p>
    <w:p>
      <w:pPr>
        <w:ind w:left="380" w:right="100" w:hanging="332"/>
        <w:spacing w:after="0" w:line="253" w:lineRule="auto"/>
        <w:tabs>
          <w:tab w:leader="none" w:pos="380" w:val="left"/>
        </w:tabs>
        <w:numPr>
          <w:ilvl w:val="0"/>
          <w:numId w:val="1"/>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Underwriting discounts and commissions at a reduced rate apply to certain investors. See “Underwriting” beginning on page 191 of this prospectus for additional disclosure regarding underwriter compensation and offering expenses.</w:t>
      </w:r>
    </w:p>
    <w:p>
      <w:pPr>
        <w:spacing w:after="0" w:line="106" w:lineRule="exact"/>
        <w:rPr>
          <w:rFonts w:ascii="Arial" w:cs="Arial" w:eastAsia="Arial" w:hAnsi="Arial"/>
          <w:sz w:val="12"/>
          <w:szCs w:val="12"/>
          <w:color w:val="auto"/>
        </w:rPr>
      </w:pPr>
    </w:p>
    <w:p>
      <w:pPr>
        <w:ind w:left="380" w:right="280" w:hanging="332"/>
        <w:spacing w:after="0" w:line="238" w:lineRule="auto"/>
        <w:tabs>
          <w:tab w:leader="none" w:pos="380" w:val="left"/>
        </w:tabs>
        <w:numPr>
          <w:ilvl w:val="0"/>
          <w:numId w:val="1"/>
        </w:numPr>
        <w:rPr>
          <w:rFonts w:ascii="Arial" w:cs="Arial" w:eastAsia="Arial" w:hAnsi="Arial"/>
          <w:sz w:val="12"/>
          <w:szCs w:val="12"/>
          <w:color w:val="auto"/>
        </w:rPr>
      </w:pPr>
      <w:r>
        <w:rPr>
          <w:rFonts w:ascii="Arial" w:cs="Arial" w:eastAsia="Arial" w:hAnsi="Arial"/>
          <w:sz w:val="14"/>
          <w:szCs w:val="14"/>
          <w:color w:val="auto"/>
        </w:rPr>
        <w:t>Certain of our existing shareholders in Italy are expected to purchase ordinary shares directly from us concurrently with the closing of this offering for which we will not incur any underwriting discount or commission but will owe an advisory fee to the underwriters. See “Underwriting” beginning on page 191 of this prospectus for additional disclosure regarding underwriter compensation and offering expenses</w:t>
      </w:r>
    </w:p>
    <w:p>
      <w:pPr>
        <w:spacing w:after="0" w:line="214"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360,000 ADSs to cover over-allotments, if any.</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Delivery of the ADSs will be made on or about December 17, 2021, subject to customary closing conditions.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ectPr>
          <w:pgSz w:w="11900" w:h="16838" w:orient="portrait"/>
          <w:cols w:equalWidth="0" w:num="1">
            <w:col w:w="11240"/>
          </w:cols>
          <w:pgMar w:left="320" w:top="472"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Maxim Group LLC</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5">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176"/>
        </w:trPr>
        <w:tc>
          <w:tcPr>
            <w:tcW w:w="11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Capitalization</w:t>
              </w:r>
            </w:hyperlink>
          </w:p>
        </w:tc>
        <w:tc>
          <w:tcPr>
            <w:tcW w:w="94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Dilution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Business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Beneficial Ownership of Principal Shareholders and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146</w:t>
            </w:r>
          </w:p>
        </w:tc>
      </w:tr>
      <w:tr>
        <w:trPr>
          <w:trHeight w:val="176"/>
        </w:trPr>
        <w:tc>
          <w:tcPr>
            <w:tcW w:w="47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Related Party Transactions</w:t>
              </w:r>
            </w:hyperlink>
          </w:p>
        </w:tc>
        <w:tc>
          <w:tcPr>
            <w:tcW w:w="58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147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Description of Share Capital and Governing Documents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150</w:t>
            </w:r>
          </w:p>
        </w:tc>
      </w:tr>
      <w:tr>
        <w:trPr>
          <w:trHeight w:val="176"/>
        </w:trPr>
        <w:tc>
          <w:tcPr>
            <w:tcW w:w="40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Description of American Depositary Shares</w:t>
              </w:r>
            </w:hyperlink>
          </w:p>
        </w:tc>
        <w:tc>
          <w:tcPr>
            <w:tcW w:w="65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161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Comparison of Italian Law and Delaware Law</w:t>
              </w:r>
            </w:hyperlink>
          </w:p>
        </w:tc>
        <w:tc>
          <w:tcPr>
            <w:tcW w:w="72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169</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Taxation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200">
              <w:r>
                <w:rPr>
                  <w:rFonts w:ascii="Arial" w:cs="Arial" w:eastAsia="Arial" w:hAnsi="Arial"/>
                  <w:sz w:val="18"/>
                  <w:szCs w:val="18"/>
                  <w:color w:val="0000EE"/>
                  <w:w w:val="94"/>
                </w:rPr>
                <w:t>Underwriting</w:t>
              </w:r>
            </w:hyperlink>
          </w:p>
        </w:tc>
        <w:tc>
          <w:tcPr>
            <w:tcW w:w="96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207">
              <w:r>
                <w:rPr>
                  <w:rFonts w:ascii="Arial" w:cs="Arial" w:eastAsia="Arial" w:hAnsi="Arial"/>
                  <w:sz w:val="18"/>
                  <w:szCs w:val="18"/>
                  <w:color w:val="0000EE"/>
                </w:rPr>
                <w:t>Expenses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207">
              <w:r>
                <w:rPr>
                  <w:rFonts w:ascii="Arial" w:cs="Arial" w:eastAsia="Arial" w:hAnsi="Arial"/>
                  <w:sz w:val="18"/>
                  <w:szCs w:val="18"/>
                  <w:color w:val="0000EE"/>
                  <w:w w:val="91"/>
                </w:rPr>
                <w:t>Legal Matters</w:t>
              </w:r>
            </w:hyperlink>
          </w:p>
        </w:tc>
        <w:tc>
          <w:tcPr>
            <w:tcW w:w="95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07">
              <w:r>
                <w:rPr>
                  <w:rFonts w:ascii="Arial" w:cs="Arial" w:eastAsia="Arial" w:hAnsi="Arial"/>
                  <w:sz w:val="18"/>
                  <w:szCs w:val="18"/>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207">
              <w:r>
                <w:rPr>
                  <w:rFonts w:ascii="Arial" w:cs="Arial" w:eastAsia="Arial" w:hAnsi="Arial"/>
                  <w:sz w:val="18"/>
                  <w:szCs w:val="18"/>
                  <w:color w:val="0000EE"/>
                  <w:w w:val="97"/>
                </w:rPr>
                <w:t>Enforceability of Civil Liabilities</w:t>
              </w:r>
            </w:hyperlink>
          </w:p>
        </w:tc>
        <w:tc>
          <w:tcPr>
            <w:tcW w:w="81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Index of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6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May 2021, we changed the legal form of our company under Italian law (the “Corporate Conversion”)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an Italian joint stock company.</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€ 1.00 to $1.1309, based on the euro foreign exchange reference rate provided by the European Central Bank on December 14,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950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950835"/>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80" w:hanging="331"/>
        <w:spacing w:after="0" w:line="342" w:lineRule="auto"/>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candidate is designed to be a “</w:t>
      </w:r>
      <w:r>
        <w:rPr>
          <w:rFonts w:ascii="Arial" w:cs="Arial" w:eastAsia="Arial" w:hAnsi="Arial"/>
          <w:sz w:val="16"/>
          <w:szCs w:val="16"/>
          <w:i w:val="1"/>
          <w:iCs w:val="1"/>
          <w:color w:val="auto"/>
        </w:rPr>
        <w:t>living therapy</w:t>
      </w:r>
      <w:r>
        <w:rPr>
          <w:rFonts w:ascii="Arial" w:cs="Arial" w:eastAsia="Arial" w:hAnsi="Arial"/>
          <w:sz w:val="16"/>
          <w:szCs w:val="16"/>
          <w:color w:val="auto"/>
        </w:rPr>
        <w:t>” that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60" w:hanging="331"/>
        <w:spacing w:after="0" w:line="263"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cancer mouse models treated with Temferon, both direct (anti-angiogenic, pro-apoptotic) and indirect (immune response) effects were observed.</w:t>
      </w:r>
    </w:p>
    <w:p>
      <w:pPr>
        <w:spacing w:after="0" w:line="22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with GBM who have an unmethylated MGMT gene promoter (uMGMT-GBM). GBM is the most common malignant primary brain tumor accounting for more than half of all central nervous system (CNS) cancers, and unmethylated MGMT promoter status is identified in approximately 60% of GBM patients.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uMGMT-GBM patients potentially interested in participating in our study. As a result, we believe GBM offers a good profile for our initial proof of concept trial in humans. We are currently conducting a Phase 1/2a dose-escalation clinical trial with Temferon in newly diagnosed uMGMT-GBM patients in Italy. We intend to complete patient enrollment by the second quarter of 2022 and to use the preliminary results of our Phase 1/2a clinical trial to support a Clinical Trial Application to conduct in Europe a multicenter Phase 2 trial in uMGMT-GBM, which we currently intend to</w:t>
      </w:r>
    </w:p>
    <w:p>
      <w:pPr>
        <w:spacing w:after="0" w:line="4" w:lineRule="exact"/>
        <w:rPr>
          <w:sz w:val="20"/>
          <w:szCs w:val="20"/>
          <w:color w:val="auto"/>
        </w:rPr>
      </w:pPr>
    </w:p>
    <w:p>
      <w:pPr>
        <w:ind w:right="460"/>
        <w:spacing w:after="0" w:line="209" w:lineRule="auto"/>
        <w:rPr>
          <w:sz w:val="20"/>
          <w:szCs w:val="20"/>
          <w:color w:val="auto"/>
        </w:rPr>
      </w:pPr>
      <w:r>
        <w:rPr>
          <w:rFonts w:ascii="Arial" w:cs="Arial" w:eastAsia="Arial" w:hAnsi="Arial"/>
          <w:sz w:val="18"/>
          <w:szCs w:val="18"/>
          <w:color w:val="auto"/>
        </w:rPr>
        <w:t>conduct primarily in Italy.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administered Temferon to a total of 15 patients in clinical trials. The preliminary results to date show that Temferon was generally well tolerated with no dose limiting toxicities identified so far.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5" w:name="page6"/>
    <w:bookmarkEnd w:id="5"/>
    <w:p>
      <w:pPr>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411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411035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two indications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If HCC and ICC will be selected, we intend to submit a Clinical Trial Application (CTA) for conducting a Phase 1/2a study of Temferon to the Italian Medicines Agency (Agenzia Italiana del Farmaco, or AIFA), the public institution responsible for the regulatory activity of pharmaceuticals in Italy.</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our Temferon programs being developed in uMGMT-GBM patients,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480" w:top="989" w:right="55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524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852487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currently conducting a Phase 1/2a dose-escalation study to primarily evaluate the safety and tolerability of Temferon in up to 21 uMGMT-GBM patients, following radiotherapy treatment. In the fourth quarter of 2022, we intend to file the regulatory package required to initiate in Europe a multicenter Phase 2 trial in uMGMT-GBM, which we currently intend to conduct primarily in Italy, to evaluate the safety and efficacy of Temferon in up to 27 uMGMT-GBM patients (both newly diagnosed and with progressive disease) who have an unmethylated MGMT promoter where we intend to measure progression free survival (PFS) and overall survival (OS) as endpoints. In advance of our CTA submission and although it is not required for our European trial, we submitted a pre-IND meeting request to the FDA and received written responses from the Agency regarding future possible Phase 2 clinical studies and drug product manufacturing as part of our development of long-term strategies following our European trial. There cannot be any assurance that such meetings will lead to clinical and manufacturing strategies in the US in the future, which is dependent on feedback from the FDA and advice from key opinion leaders and US partnering clinical centers, as well as the availability of financial and other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extend our product pipeline by:</w:t>
      </w:r>
    </w:p>
    <w:p>
      <w:pPr>
        <w:spacing w:after="0" w:line="252" w:lineRule="exact"/>
        <w:rPr>
          <w:sz w:val="20"/>
          <w:szCs w:val="20"/>
          <w:color w:val="auto"/>
        </w:rPr>
      </w:pPr>
    </w:p>
    <w:p>
      <w:pPr>
        <w:ind w:left="660" w:right="80" w:hanging="331"/>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under consideration. The Istituto Superiore di Sanità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40" w:hanging="331"/>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80" w:hanging="331"/>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7" w:name="page8"/>
    <w:bookmarkEnd w:id="7"/>
    <w:p>
      <w:pPr>
        <w:ind w:left="660" w:right="80" w:hanging="331"/>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for Temferon manufacturing we rely on AGC Biologics, a contract development and manufacturing organization (CDMO), at their cell and gene therapy facility located in Milan (Italy). After the completion of our planned multicenter Phase 2 uMGMT- GBM study most likely to be conducted in Italy, to meet our drug product supply needs for conducting larger trials we intend to enter into a supply agreement with a US-based CMO for the manufacturing of our products. In July 2021 AGC Biologics purchased a 60,000 square meters cells and gene therapy manufacturing facility located in Longmont, Colorado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8" w:name="page9"/>
    <w:bookmarkEnd w:id="8"/>
    <w:p>
      <w:pPr>
        <w:ind w:left="340" w:right="180" w:hanging="331"/>
        <w:spacing w:after="0" w:line="28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559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59308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880" w:hanging="331"/>
        <w:spacing w:after="0" w:line="312"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Durable therapeutic potential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Preliminary interim clinical data collected from fifteen uMGMT- GBM patients following a single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administration of Temferon displayed modified cells at 18 months, the last measured timepoint to date.</w:t>
      </w:r>
    </w:p>
    <w:p>
      <w:pPr>
        <w:spacing w:after="0" w:line="99" w:lineRule="exact"/>
        <w:rPr>
          <w:rFonts w:ascii="Arial" w:cs="Arial" w:eastAsia="Arial" w:hAnsi="Arial"/>
          <w:sz w:val="17"/>
          <w:szCs w:val="17"/>
          <w:color w:val="auto"/>
        </w:rPr>
      </w:pPr>
    </w:p>
    <w:p>
      <w:pPr>
        <w:ind w:left="340" w:right="80" w:hanging="331"/>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40" w:hanging="331"/>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40"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Active and sustained tumor surveillance. </w:t>
      </w:r>
      <w:r>
        <w:rPr>
          <w:rFonts w:ascii="Arial" w:cs="Arial" w:eastAsia="Arial" w:hAnsi="Arial"/>
          <w:sz w:val="15"/>
          <w:szCs w:val="15"/>
          <w:color w:val="auto"/>
        </w:rPr>
        <w:t>Our immune-gene therapy is designed to trigger the patient’s own immune response that establishes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90" w:lineRule="exact"/>
        <w:rPr>
          <w:rFonts w:ascii="Arial" w:cs="Arial" w:eastAsia="Arial" w:hAnsi="Arial"/>
          <w:sz w:val="15"/>
          <w:szCs w:val="15"/>
          <w:color w:val="auto"/>
        </w:rPr>
      </w:pPr>
    </w:p>
    <w:p>
      <w:pPr>
        <w:ind w:left="340" w:hanging="331"/>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 dose tuning. </w:t>
      </w:r>
      <w:r>
        <w:rPr>
          <w:rFonts w:ascii="Arial" w:cs="Arial" w:eastAsia="Arial" w:hAnsi="Arial"/>
          <w:sz w:val="17"/>
          <w:szCs w:val="17"/>
          <w:color w:val="auto"/>
        </w:rPr>
        <w:t>Our platform holds promise to fine tune the dose to be administered based on individual patient characteristics.</w:t>
      </w:r>
    </w:p>
    <w:p>
      <w:pPr>
        <w:spacing w:after="0" w:line="196" w:lineRule="exact"/>
        <w:rPr>
          <w:rFonts w:ascii="Arial" w:cs="Arial" w:eastAsia="Arial" w:hAnsi="Arial"/>
          <w:sz w:val="17"/>
          <w:szCs w:val="17"/>
          <w:color w:val="auto"/>
        </w:rPr>
      </w:pPr>
    </w:p>
    <w:p>
      <w:pPr>
        <w:ind w:left="340" w:right="260" w:hanging="331"/>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200" w:hanging="331"/>
        <w:spacing w:after="0" w:line="272"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340" w:right="120" w:hanging="331"/>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7110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0" w:name="page11"/>
    <w:bookmarkEnd w:id="10"/>
    <w:p>
      <w:pPr>
        <w:ind w:left="660" w:hanging="331"/>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764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right="180" w:hanging="331"/>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Chief Executive Officer, directors and shareholders who own more than 5% of our outstanding ordinary shares before this offering currently own approximately 47.1% of our outstanding ordinary shares and will own approximately 39.03% of our ordinary shares upon the completion of this offering and will therefore be able to exert significant control over matters submitted to our shareholders for approval.</w:t>
      </w:r>
    </w:p>
    <w:p>
      <w:pPr>
        <w:spacing w:after="0" w:line="108" w:lineRule="exact"/>
        <w:rPr>
          <w:rFonts w:ascii="Arial" w:cs="Arial" w:eastAsia="Arial" w:hAnsi="Arial"/>
          <w:sz w:val="16"/>
          <w:szCs w:val="16"/>
          <w:color w:val="auto"/>
        </w:rPr>
      </w:pPr>
    </w:p>
    <w:p>
      <w:pPr>
        <w:ind w:left="660" w:right="980" w:hanging="331"/>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In May 2021, we changed the legal form of our company under Italian law to a joint stock company (società per azioni, or S.p.A.).</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483"/>
        </w:trPr>
        <w:tc>
          <w:tcPr>
            <w:tcW w:w="40" w:type="dxa"/>
            <w:vAlign w:val="bottom"/>
            <w:tcBorders>
              <w:right w:val="single" w:sz="8" w:color="auto"/>
            </w:tcBorders>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Securities offered by us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3,120,114, including ADSs representing 2,400,000 ordinary shares</w:t>
            </w:r>
          </w:p>
        </w:tc>
      </w:tr>
      <w:tr>
        <w:trPr>
          <w:trHeight w:val="432"/>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w w:val="92"/>
              </w:rPr>
              <w:t>Ordinary shares issued and outstanding prior to this offering</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15,000,000 ordinary shares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Ordinary shares to be issued and outstanding after this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18,120,114 ordinary shares (or 18,480,114 ordinary shares if the underwriters exercise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offering</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their option to purchase additional ADSs within 30 days of the date of this prospectus</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from us in full) (includes ordinary shares represented by the ADSs)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Reserved Offering</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At our request, 720,114 ordinary shares covered by the registration statement of which</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this prospectus is part have been reserved for sale, at the initial public offering price, by</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directly or through agents, in the Reserved Offering to existing</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shareholders of the Company, as a mitigant for the exclusion of pre-emptive rights as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resolved by the general shareholders meeting of the Company in accordance with Italian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corporate law and our by-laws. The Reserved Offering will be effected in compliance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with the laws of Italy, at the same price to investors as the offering of ADSs. We will</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receive the full proceeds from the Reserved Offering and will not pay any underwriting</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discounts or commissions with respect to ordinary shares that we sell in the Reserved</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Offering but have agreed to pay an advisory fee to the underwriters with respect to such</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sales. The offer and sale of ordinary shares in the Reserved Offering (i) is contingent</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upon the completion of the offering of ADSs and will commence and be consummated</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concurrently with such offering of ADSs, (ii) has been registered for purposes of the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securities laws of the United States under the registration statement of which this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prospectus is part, and (iii) is conducted in Italy under applicable exemptions from</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Italian and European regulations concerning prospectus.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The ADSs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Each ADS represents one of our ordinary shares, with no par value. The ADSs may be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evidenced by American Depositary Receipts, or ADRs. The depositary will hold in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custody the ordinary shares underlying the ADSs and you will have the rights of an ADS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holder as provided in the deposit agreement among us, the depositary and owners and</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holders of ADSs from time to time.</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To better understand the terms of the ADSs, you should carefully read the “Description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of American Depository Shares” section of this prospectus. We also encourage you to</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read the deposit agreement, which is incorporated by reference as an exhibit to the</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registration statement that includes this prospectus.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Over-allotment option</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We have granted to the underwriters an option exercisable for a period of 30 days after</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the date of this prospectus to purchase up to 360,000 additional ADSs from us solely to</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cover over-allotments, if any. If the underwriters exercise all or part of this option, it will</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purchase securities covered by the option at the public offering price per ADS, less the</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underwriting discounts and advisory fees. See “Underwriting.”</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We estimate that the net proceeds from our issuance and sale of 3,120,114 securities in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this offering will be approximately $32.3 million, and after deducting underwriting</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discounts and commissions and offering expenses payable by us. If the underwriters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exercise the over-allotment option in full, we estimate that the net proceeds from this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offering will be approximately $36.2 million, after deducting underwriting discounts and</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commissions and offering expenses payable by us. We currently expect to use the net</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proceeds from this offering:</w:t>
            </w:r>
          </w:p>
        </w:tc>
      </w:tr>
      <w:tr>
        <w:trPr>
          <w:trHeight w:val="459"/>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to conduct a clinical trial in selected cancer patient populations;</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to support the ongoing Temferon TEM-GBM 001 trial and its long term follow</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5"/>
              </w:rPr>
              <w:t>up;</w:t>
            </w:r>
          </w:p>
        </w:tc>
        <w:tc>
          <w:tcPr>
            <w:tcW w:w="6340" w:type="dxa"/>
            <w:vAlign w:val="bottom"/>
            <w:tcBorders>
              <w:right w:val="single" w:sz="8" w:color="auto"/>
            </w:tcBorders>
          </w:tcPr>
          <w:p>
            <w:pPr>
              <w:spacing w:after="0"/>
              <w:rPr>
                <w:sz w:val="20"/>
                <w:szCs w:val="20"/>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to fund further preclinical research for the development of Temferon across broad</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cancer indications;</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to fund Temferon manufacturing activities including LVV manufacturing, stability</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and process scalability studies, and tech transfer activities; and</w:t>
            </w:r>
          </w:p>
        </w:tc>
      </w:tr>
      <w:tr>
        <w:trPr>
          <w:trHeight w:val="459"/>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working capital and general corporate purposes.</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See “Use of Proceeds” for additional information. See “Use of Proceeds” for additional</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information.</w:t>
            </w:r>
          </w:p>
        </w:tc>
      </w:tr>
      <w:tr>
        <w:trPr>
          <w:trHeight w:val="247"/>
        </w:trPr>
        <w:tc>
          <w:tcPr>
            <w:tcW w:w="40" w:type="dxa"/>
            <w:vAlign w:val="bottom"/>
            <w:tcBorders>
              <w:right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340" w:type="dxa"/>
            <w:vAlign w:val="bottom"/>
            <w:tcBorders>
              <w:bottom w:val="single" w:sz="8" w:color="auto"/>
              <w:right w:val="single" w:sz="8" w:color="auto"/>
            </w:tcBorders>
          </w:tcPr>
          <w:p>
            <w:pPr>
              <w:spacing w:after="0"/>
              <w:rPr>
                <w:sz w:val="21"/>
                <w:szCs w:val="21"/>
                <w:color w:val="auto"/>
              </w:rPr>
            </w:pPr>
          </w:p>
        </w:tc>
      </w:tr>
      <w:tr>
        <w:trPr>
          <w:trHeight w:val="469"/>
        </w:trPr>
        <w:tc>
          <w:tcPr>
            <w:tcW w:w="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717" w:right="339" w:bottom="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3510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35102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Our ADSs have been approved for listing on the Nasdaq Capital Market under the symbol “GNTA,” subject to official notice of issuance.</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jc w:val="both"/>
        <w:ind w:right="360" w:firstLine="648"/>
        <w:spacing w:after="0" w:line="263" w:lineRule="auto"/>
        <w:rPr>
          <w:sz w:val="20"/>
          <w:szCs w:val="20"/>
          <w:color w:val="auto"/>
        </w:rPr>
      </w:pPr>
      <w:r>
        <w:rPr>
          <w:rFonts w:ascii="Arial" w:cs="Arial" w:eastAsia="Arial" w:hAnsi="Arial"/>
          <w:sz w:val="18"/>
          <w:szCs w:val="18"/>
          <w:color w:val="auto"/>
        </w:rPr>
        <w:t>The number of our ordinary shares that are and will be outstanding immediately before and after this offering as shown above is based on 15,000,000 ordinary shares, with no par value, outstanding as of June 30, 2021, and excludes ordinary shares that are available for future issuance under our 2021-2025 Equity Incentive Plan.</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Unless otherwise indicated, this prospectus reflects and assumes no exercise by the underwriters of their over-allotment option or the warrants to purchase ADSs at an exercise price per share equal to 125% of the initial public offering price per ADS or $14.375, that will be issued to the underwriters in connection with this offering (the “Underwriters’ Warrants”).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350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350760"/>
                    </a:xfrm>
                    <a:prstGeom prst="rect">
                      <a:avLst/>
                    </a:prstGeom>
                    <a:noFill/>
                  </pic:spPr>
                </pic:pic>
              </a:graphicData>
            </a:graphic>
          </wp:anchor>
        </w:drawing>
        <w:t>SUMMARY FINANCIAL DATA</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derived the following summary statements of operations data for the years ended December 31, 2020 and 2019, and the six months ended June 30, 2021 and 2020, and summary balance sheet data as of June 30, 2021 from our audited and unaudited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1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right"/>
              <w:ind w:right="87"/>
              <w:spacing w:after="0"/>
              <w:rPr>
                <w:sz w:val="20"/>
                <w:szCs w:val="20"/>
                <w:color w:val="auto"/>
              </w:rPr>
            </w:pPr>
            <w:r>
              <w:rPr>
                <w:rFonts w:ascii="Arial" w:cs="Arial" w:eastAsia="Arial" w:hAnsi="Arial"/>
                <w:sz w:val="18"/>
                <w:szCs w:val="18"/>
                <w:color w:val="auto"/>
              </w:rPr>
              <w:t>Year Ended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center"/>
              <w:ind w:right="301"/>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gridSpan w:val="2"/>
          </w:tcPr>
          <w:p>
            <w:pPr>
              <w:spacing w:after="0"/>
              <w:rPr>
                <w:sz w:val="20"/>
                <w:szCs w:val="20"/>
                <w:color w:val="auto"/>
              </w:rPr>
            </w:pPr>
            <w:r>
              <w:rPr>
                <w:rFonts w:ascii="Arial" w:cs="Arial" w:eastAsia="Arial" w:hAnsi="Arial"/>
                <w:sz w:val="18"/>
                <w:szCs w:val="18"/>
                <w:color w:val="auto"/>
              </w:rPr>
              <w:t>in Euros, except share data</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1"/>
              </w:rPr>
              <w:t>(Unaudited)</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3,199,234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842,236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(4,597,723)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(2,479,304)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 forma net loss</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pro forma number of shares outstanding -</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14,539,534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12,651,158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14,772,610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14,420,904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20" w:right="100" w:hanging="315"/>
        <w:spacing w:after="0" w:line="231" w:lineRule="auto"/>
        <w:tabs>
          <w:tab w:leader="none" w:pos="3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We have presented pro forma basic and diluted loss per share for the years ended December 31, 2020 and 2019 and the six months ended June 30, 2021 and 2020, which consists of our historical loss attributable to Genenta Science S.r.l., divided by the pro forma basic and diluted weighted average number of shares outstanding after giving effect to the Corporate Conversion. See Notes 2 and 10 to our interim financial statements and our Management Discussion and Analysis included elsewhere in this prospectus for additional information regarding the method used to calculate the pro forma basic and diluted loss per share and the pro forma weighted average number of shares used in the computation of the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center"/>
              <w:ind w:left="918"/>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4"/>
          </w:tcPr>
          <w:p>
            <w:pPr>
              <w:jc w:val="center"/>
              <w:ind w:left="918"/>
              <w:spacing w:after="0" w:line="149" w:lineRule="exact"/>
              <w:rPr>
                <w:sz w:val="20"/>
                <w:szCs w:val="20"/>
                <w:color w:val="auto"/>
              </w:rPr>
            </w:pPr>
            <w:r>
              <w:rPr>
                <w:rFonts w:ascii="Arial" w:cs="Arial" w:eastAsia="Arial" w:hAnsi="Arial"/>
                <w:sz w:val="14"/>
                <w:szCs w:val="14"/>
                <w:b w:val="1"/>
                <w:bCs w:val="1"/>
                <w:color w:val="auto"/>
                <w:w w:val="92"/>
              </w:rPr>
              <w:t>June 30, 2021</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left="898"/>
              <w:spacing w:after="0"/>
              <w:rPr>
                <w:sz w:val="20"/>
                <w:szCs w:val="20"/>
                <w:color w:val="auto"/>
              </w:rPr>
            </w:pPr>
            <w:r>
              <w:rPr>
                <w:rFonts w:ascii="Arial" w:cs="Arial" w:eastAsia="Arial" w:hAnsi="Arial"/>
                <w:sz w:val="14"/>
                <w:szCs w:val="14"/>
                <w:b w:val="1"/>
                <w:bCs w:val="1"/>
                <w:color w:val="auto"/>
                <w:w w:val="95"/>
              </w:rPr>
              <w:t>(Unaudited)</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6"/>
        </w:trPr>
        <w:tc>
          <w:tcPr>
            <w:tcW w:w="5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jc w:val="right"/>
              <w:ind w:right="435"/>
              <w:spacing w:after="0" w:line="136" w:lineRule="exact"/>
              <w:rPr>
                <w:sz w:val="20"/>
                <w:szCs w:val="20"/>
                <w:color w:val="auto"/>
              </w:rPr>
            </w:pPr>
            <w:r>
              <w:rPr>
                <w:rFonts w:ascii="Arial" w:cs="Arial" w:eastAsia="Arial" w:hAnsi="Arial"/>
                <w:sz w:val="14"/>
                <w:szCs w:val="14"/>
                <w:b w:val="1"/>
                <w:bCs w:val="1"/>
                <w:color w:val="auto"/>
              </w:rPr>
              <w:t>Proforma</w:t>
            </w:r>
          </w:p>
        </w:tc>
        <w:tc>
          <w:tcPr>
            <w:tcW w:w="100" w:type="dxa"/>
            <w:vAlign w:val="bottom"/>
          </w:tcPr>
          <w:p>
            <w:pPr>
              <w:spacing w:after="0"/>
              <w:rPr>
                <w:sz w:val="11"/>
                <w:szCs w:val="11"/>
                <w:color w:val="auto"/>
              </w:rPr>
            </w:pPr>
          </w:p>
        </w:tc>
      </w:tr>
      <w:tr>
        <w:trPr>
          <w:trHeight w:val="209"/>
        </w:trPr>
        <w:tc>
          <w:tcPr>
            <w:tcW w:w="5900" w:type="dxa"/>
            <w:vAlign w:val="bottom"/>
          </w:tcPr>
          <w:p>
            <w:pPr>
              <w:ind w:left="2700"/>
              <w:spacing w:after="0"/>
              <w:rPr>
                <w:sz w:val="20"/>
                <w:szCs w:val="20"/>
                <w:color w:val="auto"/>
              </w:rPr>
            </w:pPr>
            <w:r>
              <w:rPr>
                <w:rFonts w:ascii="Arial" w:cs="Arial" w:eastAsia="Arial" w:hAnsi="Arial"/>
                <w:sz w:val="14"/>
                <w:szCs w:val="14"/>
                <w:b w:val="1"/>
                <w:bCs w:val="1"/>
                <w:i w:val="1"/>
                <w:iCs w:val="1"/>
                <w:color w:val="auto"/>
              </w:rPr>
              <w:t>in Euros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23"/>
                <w:szCs w:val="23"/>
                <w:b w:val="1"/>
                <w:bCs w:val="1"/>
                <w:color w:val="auto"/>
                <w:w w:val="93"/>
                <w:vertAlign w:val="superscript"/>
              </w:rPr>
              <w:t>(1)</w:t>
            </w:r>
          </w:p>
        </w:tc>
      </w:tr>
      <w:tr>
        <w:trPr>
          <w:trHeight w:val="216"/>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10,553,906</w:t>
            </w: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39,089,861</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41,826,964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21,645</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(25,538,377)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(25,538,377)</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11,601,054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40,137,009</w:t>
            </w:r>
          </w:p>
        </w:tc>
        <w:tc>
          <w:tcPr>
            <w:tcW w:w="100" w:type="dxa"/>
            <w:vAlign w:val="bottom"/>
          </w:tcPr>
          <w:p>
            <w:pPr>
              <w:spacing w:after="0"/>
              <w:rPr>
                <w:sz w:val="20"/>
                <w:szCs w:val="20"/>
                <w:color w:val="auto"/>
              </w:rPr>
            </w:pPr>
          </w:p>
        </w:tc>
      </w:tr>
    </w:tbl>
    <w:p>
      <w:pPr>
        <w:spacing w:after="0" w:line="250" w:lineRule="exact"/>
        <w:rPr>
          <w:sz w:val="20"/>
          <w:szCs w:val="20"/>
          <w:color w:val="auto"/>
        </w:rPr>
      </w:pPr>
    </w:p>
    <w:p>
      <w:pPr>
        <w:ind w:left="320" w:right="180" w:hanging="315"/>
        <w:spacing w:after="0" w:line="253" w:lineRule="auto"/>
        <w:tabs>
          <w:tab w:leader="none" w:pos="3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The as adjusted balance sheet data gives effect to the issuance and sale 3,120,114 securities, including ADSs, representing 2,400,000 ordinary shares, in this offering, after deducting the estimated underwriting discounts, estimated advisory fees and estimated offering expenses payable by us.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losses each year since our inception. Our losses for the six months ended June 30, 2021 and 2020 were approximately €4.0 million and €2.5, respectively; and for the years ended December 31, 2020 and 2019 were approximately €5.6 million and €4.6 million, respectively. As of June 30, 2021 and December 31, 2020, we had an accumulated deficit of approximately €(25.5) million and €(21.5) million, respectively.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6" w:name="page17"/>
    <w:bookmarkEnd w:id="16"/>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 w:name="page18"/>
    <w:bookmarkEnd w:id="17"/>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June 30, 2021 and December 31, 2020, our cash and cash equivalents were approximately €10.6 and €15.5 million, respectively.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2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 w:name="page20"/>
    <w:bookmarkEnd w:id="19"/>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0" w:name="page21"/>
    <w:bookmarkEnd w:id="20"/>
    <w:p>
      <w:pPr>
        <w:ind w:firstLine="648"/>
        <w:spacing w:after="0" w:line="279"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17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two GBM patients died (day +60 and +122) due to complications following the conditioning regimens.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1" w:name="page22"/>
    <w:bookmarkEnd w:id="21"/>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1/2a clinical trial in newly diagnosed unmethylated MGMT gene promoter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2" w:name="page23"/>
    <w:bookmarkEnd w:id="22"/>
    <w:p>
      <w:pPr>
        <w:ind w:right="20" w:firstLine="648"/>
        <w:spacing w:after="0" w:line="255"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3" w:name="page24"/>
    <w:bookmarkEnd w:id="23"/>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5" w:name="page26"/>
    <w:bookmarkEnd w:id="25"/>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6" w:name="page27"/>
    <w:bookmarkEnd w:id="26"/>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7" w:name="page28"/>
    <w:bookmarkEnd w:id="27"/>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8" w:name="page29"/>
    <w:bookmarkEnd w:id="28"/>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9" w:name="page30"/>
    <w:bookmarkEnd w:id="29"/>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0" w:name="page31"/>
    <w:bookmarkEnd w:id="30"/>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1" w:name="page32"/>
    <w:bookmarkEnd w:id="31"/>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2" w:name="page33"/>
    <w:bookmarkEnd w:id="32"/>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3" w:name="page34"/>
    <w:bookmarkEnd w:id="33"/>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4" w:name="page35"/>
    <w:bookmarkEnd w:id="34"/>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38" w:name="page39"/>
    <w:bookmarkEnd w:id="38"/>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9" w:name="page40"/>
    <w:bookmarkEnd w:id="39"/>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currently rely on our CMO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1" w:name="page42"/>
    <w:bookmarkEnd w:id="41"/>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2" w:name="page43"/>
    <w:bookmarkEnd w:id="42"/>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3" w:name="page44"/>
    <w:bookmarkEnd w:id="43"/>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5" w:name="page46"/>
    <w:bookmarkEnd w:id="45"/>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6" w:name="page47"/>
    <w:bookmarkEnd w:id="46"/>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7" w:name="page48"/>
    <w:bookmarkEnd w:id="47"/>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8" w:name="page49"/>
    <w:bookmarkEnd w:id="48"/>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9" w:name="page50"/>
    <w:bookmarkEnd w:id="49"/>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0" w:name="page51"/>
    <w:bookmarkEnd w:id="50"/>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1" w:name="page52"/>
    <w:bookmarkEnd w:id="51"/>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0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date, both the employment agreements and consultancy agreements do not provide any specific compensation related to the inventive activity.</w:t>
      </w:r>
    </w:p>
    <w:p>
      <w:pPr>
        <w:spacing w:after="0" w:line="2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3" w:name="page54"/>
    <w:bookmarkEnd w:id="53"/>
    <w:p>
      <w:pPr>
        <w:ind w:left="660" w:right="4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4" w:name="page55"/>
    <w:bookmarkEnd w:id="54"/>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and Stefania Mazzoleni, our Scientific Project Manager and Communications Officer. With the exception of Ms. Mazzoleni, our key personnel are not (currently) engaged as full-time employees. Dr. Russo shall become a full-time employee after this offering and Mr. Slansky has signed an agreement to become a full-time employee at the earlier of the conclusion of this offering or November 1, 2021, whichever is earlier. We expect that some of our key personnel and other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5" w:name="page56"/>
    <w:bookmarkEnd w:id="55"/>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57" w:name="page58"/>
    <w:bookmarkEnd w:id="57"/>
    <w:p>
      <w:pPr>
        <w:ind w:left="660" w:right="40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8" w:name="page59"/>
    <w:bookmarkEnd w:id="58"/>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9" w:name="page60"/>
    <w:bookmarkEnd w:id="59"/>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0" w:name="page61"/>
    <w:bookmarkEnd w:id="60"/>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If you purchase the securities in this offering, you will incur immediate and substantial dilution in the book value of the securities.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Because the price per security being offered is substantially higher than our net tangible book value per ADS or ordinary share, you will suffer substantial dilution in the net tangible book value of any ADSs or ordinary shares you purchase in this offering. After giving effect to the sale by us of securities in this offering, based on the public offering price of $11.50 per security, after deducting underwriting discounts, estimated advisory fees and offering expenses payable by us, our as adjusted net tangible book value of the securities would be approximately €40.1 million, or approximately $2.51 per ADS or ordinary share, as of June 30, 2021. If you purchase ADSs or ordinary shares in this offering, you will suffer immediate and substantial dilution of our as adjusted net tangible book value of approximately $8.99 per ADS or ordinary share. As a result of this dilution, investors purchasing shares in this offering may receive significantly less than the purchase price paid in this offering in the event of liquidation. See “Dilution” for additional information.</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right="260" w:firstLine="648"/>
        <w:spacing w:after="0" w:line="289" w:lineRule="auto"/>
        <w:rPr>
          <w:sz w:val="20"/>
          <w:szCs w:val="20"/>
          <w:color w:val="auto"/>
        </w:rPr>
      </w:pPr>
      <w:r>
        <w:rPr>
          <w:rFonts w:ascii="Arial" w:cs="Arial" w:eastAsia="Arial" w:hAnsi="Arial"/>
          <w:sz w:val="16"/>
          <w:szCs w:val="16"/>
          <w:color w:val="auto"/>
        </w:rPr>
        <w:t>We may sell in this offering securities representing 2,400,000 ADSs and 720,114 ordinary shares, or approximately 21%, of our outstanding securities as of June 30, 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securities sold to non-affiliates in this offering will be freely tradable in the public market, substantially all of the securities owned prior to this offering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2" w:name="page63"/>
    <w:bookmarkEnd w:id="62"/>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3" w:name="page64"/>
    <w:bookmarkEnd w:id="63"/>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4" w:name="page65"/>
    <w:bookmarkEnd w:id="64"/>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47.14% of our outstanding ordinary shares and will own approximately 39.03%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39.03%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6" w:name="page67"/>
    <w:bookmarkEnd w:id="66"/>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7" w:name="page68"/>
    <w:bookmarkEnd w:id="67"/>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Governing Documents” and “Comparison of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69" w:name="page70"/>
    <w:bookmarkEnd w:id="69"/>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€ 18.3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Italian GAAP capital was €37,056; however, in May 2021, it was increased to €50,000 due to the exercise of options on €715 Quota B plus a quotaholder action at a special meeting which converted the Company from an S.r.l. to an S.p.A. and increased the share capital.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2" w:name="page73"/>
    <w:bookmarkEnd w:id="72"/>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estimate that the net proceeds to us in this offering will be approximately $32.3 million, after deducting the estimated underwriting discounts, estimated advisory fees and estimated offering expenses payable by us, based on 720,114 ordinary shares being sold in the Reserved Offering and</w:t>
      </w:r>
    </w:p>
    <w:p>
      <w:pPr>
        <w:ind w:right="20"/>
        <w:spacing w:after="0" w:line="255" w:lineRule="auto"/>
        <w:rPr>
          <w:sz w:val="20"/>
          <w:szCs w:val="20"/>
          <w:color w:val="auto"/>
        </w:rPr>
      </w:pPr>
      <w:r>
        <w:rPr>
          <w:rFonts w:ascii="Arial" w:cs="Arial" w:eastAsia="Arial" w:hAnsi="Arial"/>
          <w:sz w:val="18"/>
          <w:szCs w:val="18"/>
          <w:color w:val="auto"/>
        </w:rPr>
        <w:t>2,400,000 ADS being sold in the public offering. If the underwriters exercise their option to purchase additional ADSs in full, we estimate that the net proceeds to us from this offering will be approximately $36.2 million, after deducting the estimated underwriting discounts and estimated offering expenses payable by us.</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currently expect that we will use the net proceeds from this offering, together with our existing cash and cash equivalents, as follows:</w:t>
      </w:r>
    </w:p>
    <w:p>
      <w:pPr>
        <w:spacing w:after="0" w:line="225" w:lineRule="exact"/>
        <w:rPr>
          <w:sz w:val="20"/>
          <w:szCs w:val="20"/>
          <w:color w:val="auto"/>
        </w:rPr>
      </w:pPr>
    </w:p>
    <w:p>
      <w:pPr>
        <w:ind w:left="660" w:right="10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$5.3 million to complete our current Temferon TEM-GBM 001 trial, which is expected to enroll its last patient in the second quarter of 2022, and has been designed to establish clinical proof of concept and determine a therapeutic dosage of Temferon that is safe and well tolerated for patients in order to advance our GBM clinical program to Phase 2;</w:t>
      </w:r>
    </w:p>
    <w:p>
      <w:pPr>
        <w:spacing w:after="0" w:line="183"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$0.6 million to support long-term monitoring of the patients in the Temferon TEM-GBM 001 trial required by applicable regulations, which is expected to run through 2029;</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$1.0 million to fund preclinical research performed in the laboratories of our founders, Professor Naldini and Dr. Gentner at OSR. The aims of the research programs include the development of Temferon across a broad range of cancer indications, second generation switchable Temferon, additional payloads and combination therapies. We have exclusive licensing options extending over the scope of supported research pursuant to existing arrangements;</w:t>
      </w:r>
    </w:p>
    <w:p>
      <w:pPr>
        <w:spacing w:after="0" w:line="186"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$11.2 million to conduct an Italian clinical Phase 2 synthetic controlled study of Temferon in approximately thirty (30) uMGMT-GBM patients expected to take place from early 2023 to late 2025, with the objectives of safety, tolerability and efficacy of a single dose compared to matched patients in the synthetic arm receiving standard of care. The results of this study could help us develop an adaptive study design for the registration of Temferon in newly diagnosed GBM patients;</w:t>
      </w:r>
    </w:p>
    <w:p>
      <w:pPr>
        <w:spacing w:after="0" w:line="18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$7.2 million to fund Temferon manufacturing activities for the Phase 2 trial, including LVV manufacturing, stability and process scalability studies and technology transfer activities;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envision the future development of Temferon for the treatment of other solid tumor indications and we have already identified locally advanced hepatocellular carcinoma (HCC) and intra-hepatic cholangiocarcinoma (ICC) as appropriate additional target indications; however, the funding of this future development is not expected to be covered by the net proceeds we will receive from this offering. We expect additional capital would need to be raised, either through additional equity financings through future offerings of the Company’s ADSs, a strategic funding event or an alternative funding strategy to begin work on these other solid tumor indications.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4" w:name="page75"/>
    <w:bookmarkEnd w:id="74"/>
    <w:p>
      <w:pPr>
        <w:ind w:right="2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European clinical trial activities currently planned by referencing the rates we are paying to sites and third-party vendors involved in our ongoing programs in Italy, and subsequently applying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result, we believe that the expected net proceeds from this offering, together with our existing cash and cash equivalents, will be sufficient to enable us to fund the development of Temferon through Phase 2 and our other operating expenses until 2025. While we have based this estimate on assumptions that we believe to be reasonable, there can be no assurance that those assumptions will not be proven wrong by future events, including the ongoing effects of the COVID 19 pandemic and related issues. Therefore we could deplete our available capital resources more quickly than we currently expect.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may invest or raise additional capital to begin a new Temferon clinical program in a second solid tumor indication.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the amounts and timing of our actual expenditures may vary significantly depending on numerous factors, many of which are beyond our control, including the progress of our development, the status of and results from clinical trials, the availability of manufacturing capabilities, any collaborations that we may enter into with third parties for our product candidates and any unforeseen cash needs. As a result, although we currently intend to focus on the development of Temferon in uMGMT-GBM in a clinical Phase 2 trial to be performed in Italy, we will retain broad discretion over the allocation of the net proceeds from this offering.</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government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25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660" w:right="440" w:hanging="328"/>
        <w:spacing w:after="0" w:line="31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an as adjusted basis to give effect to the issuance and sale of 3,120,114 securities (720,114 ordinary shares and 2,400,000 ADSs) in this offering, after deducting estimated underwriting discounts, estimated advisory fees and estimated offering expenses payable by us, and to the application of the net proceeds as described in “Use of Proceeds,” as if the sale of the securities had occurred on June 30, 2021.</w:t>
      </w:r>
    </w:p>
    <w:p>
      <w:pPr>
        <w:spacing w:after="0" w:line="176"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ectPr>
          <w:pgSz w:w="11900" w:h="16838" w:orient="portrait"/>
          <w:cols w:equalWidth="0" w:num="1">
            <w:col w:w="11240"/>
          </w:cols>
          <w:pgMar w:left="320" w:top="7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i w:val="1"/>
          <w:iCs w:val="1"/>
          <w:color w:val="auto"/>
        </w:rPr>
        <w:t>in Euros,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4234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2341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with no par value, 59,700,000 shares authorized: 15,000,000 shares issued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18,120,114 shares,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As of</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302"/>
              <w:spacing w:after="0" w:line="133" w:lineRule="exact"/>
              <w:rPr>
                <w:sz w:val="20"/>
                <w:szCs w:val="20"/>
                <w:color w:val="auto"/>
              </w:rPr>
            </w:pPr>
            <w:r>
              <w:rPr>
                <w:rFonts w:ascii="Arial" w:cs="Arial" w:eastAsia="Arial" w:hAnsi="Arial"/>
                <w:sz w:val="14"/>
                <w:szCs w:val="14"/>
                <w:b w:val="1"/>
                <w:bCs w:val="1"/>
                <w:color w:val="auto"/>
                <w:w w:val="95"/>
              </w:rPr>
              <w:t>Proforma As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229"/>
        </w:trPr>
        <w:tc>
          <w:tcPr>
            <w:tcW w:w="4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3"/>
          </w:tcPr>
          <w:p>
            <w:pPr>
              <w:ind w:left="1140"/>
              <w:spacing w:after="0"/>
              <w:rPr>
                <w:sz w:val="20"/>
                <w:szCs w:val="20"/>
                <w:color w:val="auto"/>
              </w:rPr>
            </w:pPr>
            <w:r>
              <w:rPr>
                <w:rFonts w:ascii="Arial" w:cs="Arial" w:eastAsia="Arial" w:hAnsi="Arial"/>
                <w:sz w:val="18"/>
                <w:szCs w:val="18"/>
                <w:color w:val="auto"/>
              </w:rPr>
              <w:t>(Unaudited)</w:t>
            </w: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10,553,906</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39,089,861</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0"/>
        <w:spacing w:after="0"/>
        <w:tabs>
          <w:tab w:leader="none" w:pos="3100" w:val="left"/>
        </w:tabs>
        <w:rPr>
          <w:sz w:val="20"/>
          <w:szCs w:val="20"/>
          <w:color w:val="auto"/>
        </w:rPr>
      </w:pPr>
      <w:r>
        <w:rPr>
          <w:rFonts w:ascii="Arial" w:cs="Arial" w:eastAsia="Arial" w:hAnsi="Arial"/>
          <w:sz w:val="17"/>
          <w:szCs w:val="17"/>
          <w:color w:val="auto"/>
        </w:rPr>
        <w:t>37,139,431</w:t>
      </w:r>
      <w:r>
        <w:rPr>
          <w:sz w:val="20"/>
          <w:szCs w:val="20"/>
          <w:color w:val="auto"/>
        </w:rPr>
        <w:tab/>
      </w:r>
      <w:r>
        <w:rPr>
          <w:rFonts w:ascii="Arial" w:cs="Arial" w:eastAsia="Arial" w:hAnsi="Arial"/>
          <w:sz w:val="17"/>
          <w:szCs w:val="17"/>
          <w:color w:val="auto"/>
        </w:rPr>
        <w:t>65,675,386</w:t>
      </w:r>
    </w:p>
    <w:p>
      <w:pPr>
        <w:spacing w:after="0" w:line="35"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(25,538,377)</w:t>
      </w:r>
      <w:r>
        <w:rPr>
          <w:sz w:val="20"/>
          <w:szCs w:val="20"/>
          <w:color w:val="auto"/>
        </w:rPr>
        <w:tab/>
      </w:r>
      <w:r>
        <w:rPr>
          <w:rFonts w:ascii="Arial" w:cs="Arial" w:eastAsia="Arial" w:hAnsi="Arial"/>
          <w:sz w:val="16"/>
          <w:szCs w:val="16"/>
          <w:color w:val="auto"/>
        </w:rPr>
        <w:t>(25,538,377)</w:t>
      </w:r>
    </w:p>
    <w:p>
      <w:pPr>
        <w:spacing w:after="0" w:line="35" w:lineRule="exact"/>
        <w:rPr>
          <w:sz w:val="20"/>
          <w:szCs w:val="20"/>
          <w:color w:val="auto"/>
        </w:rPr>
      </w:pPr>
    </w:p>
    <w:p>
      <w:pPr>
        <w:ind w:left="1000"/>
        <w:spacing w:after="0"/>
        <w:tabs>
          <w:tab w:leader="none" w:pos="3100" w:val="left"/>
        </w:tabs>
        <w:rPr>
          <w:sz w:val="20"/>
          <w:szCs w:val="20"/>
          <w:color w:val="auto"/>
        </w:rPr>
      </w:pPr>
      <w:r>
        <w:rPr>
          <w:rFonts w:ascii="Arial" w:cs="Arial" w:eastAsia="Arial" w:hAnsi="Arial"/>
          <w:sz w:val="17"/>
          <w:szCs w:val="17"/>
          <w:color w:val="auto"/>
        </w:rPr>
        <w:t>11,601,054</w:t>
      </w:r>
      <w:r>
        <w:rPr>
          <w:sz w:val="20"/>
          <w:szCs w:val="20"/>
          <w:color w:val="auto"/>
        </w:rPr>
        <w:tab/>
      </w:r>
      <w:r>
        <w:rPr>
          <w:rFonts w:ascii="Arial" w:cs="Arial" w:eastAsia="Arial" w:hAnsi="Arial"/>
          <w:sz w:val="17"/>
          <w:szCs w:val="17"/>
          <w:color w:val="auto"/>
        </w:rPr>
        <w:t>40,137,009</w:t>
      </w:r>
    </w:p>
    <w:p>
      <w:pPr>
        <w:spacing w:after="0" w:line="250" w:lineRule="exact"/>
        <w:rPr>
          <w:sz w:val="20"/>
          <w:szCs w:val="20"/>
          <w:color w:val="auto"/>
        </w:rPr>
      </w:pPr>
    </w:p>
    <w:p>
      <w:pPr>
        <w:spacing w:after="0"/>
        <w:tabs>
          <w:tab w:leader="none" w:pos="980" w:val="left"/>
          <w:tab w:leader="none" w:pos="2140" w:val="left"/>
          <w:tab w:leader="none" w:pos="3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11,601,054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40,137,009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942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300"/>
            <w:col w:w="4040"/>
          </w:cols>
          <w:pgMar w:left="320" w:top="715" w:right="33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securities to be outstanding immediately after this offering is 18,120,114 based on 15,000,000 ordinary shares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after the Corporate Conversion, plus 720,114 ordinary shares and 2,400,000 ADSs sold in this offering and excludes:</w:t>
      </w:r>
    </w:p>
    <w:p>
      <w:pPr>
        <w:spacing w:after="0" w:line="23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2021-2025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ordinary shares issuable upon exercise of the Underwriters’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you invest in our securities, your interest will be diluted immediately to the extent of the difference between the public offering price per security you will pay in this offering and the pro forma net tangible book value per security after the offering. At June 30, 2021, we had net tangible book value of approximately €11.6 million, corresponding to a net tangible book value of approximately €0.77 per ordinary share or $0.87 per ordinary share (using the ratio of one ordinary share to one ADS). Net tangible book value per ordinary share or per ADS represents the amount of our total tangible assets less our total liabilities, divided by 15.0 million, the total number of ordinary shares outstanding at June 30, 2021, or 15.0 million, the total number of ADSs that would represent such total number of shares based on an ordinary share-to-ADS ratio of one-to-one.</w:t>
      </w: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After giving pro forma effect to the Corporate Conversion and the sale of the securities offered by us in this offering and after deducting the estimated underwriting discounts, estimated advisory fees and estimated offering expenses payable by us, our pro forma estimated net tangible book value at June 30, 2021 would have been approximately €40.1 million, representing €2.22 per security or $2.51 per security. This represents an immediate increase in pro forma net tangible book value of €1.44 per security or $1.64 per security to existing shareholders and an immediate dilution in pro forma net tangible book value of €7.95 per security or $8.99 per security to purchasers of ADSs or ordinary shares in this offering. Dilution for this purpose represents the difference between the price per security paid by these purchasers and pro forma net tangible book value per security immediately after the completion of this offering.</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security basis to purchasers of securities in this offering: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security, set forth on the cover page of this prospectus</w:t>
            </w:r>
          </w:p>
        </w:tc>
        <w:tc>
          <w:tcPr>
            <w:tcW w:w="1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Historical net tangible book value (deficit) per security as of June 30, 2021</w:t>
            </w: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0.87</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6"/>
              </w:rPr>
              <w:t>Increase in net tangible book value per security attributable to new investors in this offering</w:t>
            </w:r>
          </w:p>
        </w:tc>
        <w:tc>
          <w:tcPr>
            <w:tcW w:w="11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1.64</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Pro forma as adjusted net tangible book value per security after offering</w:t>
            </w:r>
          </w:p>
        </w:tc>
        <w:tc>
          <w:tcPr>
            <w:tcW w:w="1140" w:type="dxa"/>
            <w:vAlign w:val="bottom"/>
          </w:tcPr>
          <w:p>
            <w:pPr>
              <w:spacing w:after="0"/>
              <w:rPr>
                <w:sz w:val="19"/>
                <w:szCs w:val="19"/>
                <w:color w:val="auto"/>
              </w:rPr>
            </w:pPr>
          </w:p>
        </w:tc>
        <w:tc>
          <w:tcPr>
            <w:tcW w:w="19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tangible book value per security to new investors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Percentage of dilution in net tangible book value per security for new investors</w:t>
            </w: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in full, the pro forma net tangible book value per security after this offering would be $2.67 per security, and the dilution in pro forma as adjusted net tangible book value per security to new investors purchasing securities in this offering would be $8.83 per security, after deducting estimated underwriting discounts, estimated advisory fees and estimated offering expenses payable by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8" w:name="page79"/>
    <w:bookmarkEnd w:id="78"/>
    <w:p>
      <w:pPr>
        <w:ind w:right="80" w:firstLine="648"/>
        <w:spacing w:after="0" w:line="263" w:lineRule="auto"/>
        <w:rPr>
          <w:sz w:val="20"/>
          <w:szCs w:val="20"/>
          <w:color w:val="auto"/>
        </w:rPr>
      </w:pPr>
      <w:r>
        <w:rPr>
          <w:rFonts w:ascii="Arial" w:cs="Arial" w:eastAsia="Arial" w:hAnsi="Arial"/>
          <w:sz w:val="18"/>
          <w:szCs w:val="18"/>
          <w:color w:val="auto"/>
        </w:rPr>
        <w:t>The following table summarizes, on an as adjusted basis as of June 30, 2021, the differences between the number of securities acquired from us, the total amount paid and the average price per security paid by the existing holders of our ordinary shares and by investors in this offering and based upon the public offering price of $11.50 per security.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760" w:type="dxa"/>
            <w:vAlign w:val="bottom"/>
            <w:gridSpan w:val="3"/>
            <w:vMerge w:val="restart"/>
          </w:tcPr>
          <w:p>
            <w:pPr>
              <w:ind w:left="112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Total Consideration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7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Per Ordinary</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0"/>
              </w:rPr>
              <w:t>Percent</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37,990,193</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New investors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3,120,114</w:t>
            </w:r>
          </w:p>
        </w:tc>
        <w:tc>
          <w:tcPr>
            <w:tcW w:w="220" w:type="dxa"/>
            <w:vAlign w:val="bottom"/>
          </w:tcPr>
          <w:p>
            <w:pPr>
              <w:spacing w:after="0"/>
              <w:rPr>
                <w:sz w:val="21"/>
                <w:szCs w:val="21"/>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35,881,311</w:t>
            </w:r>
          </w:p>
        </w:tc>
        <w:tc>
          <w:tcPr>
            <w:tcW w:w="94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18,120,114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73,871,504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securities to be outstanding immediately after this offering is 18,120,114 based on 15.0 million ordinary shares outstanding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720,114 ordinary shares and 2,400,000 ADSs sold in this offering and excludes:</w:t>
      </w:r>
    </w:p>
    <w:p>
      <w:pPr>
        <w:spacing w:after="0" w:line="23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ordinary shares issuable upon exercise of the Underwriters’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If the representative of the underwriters exercises the over-allotment option to purchase additional ADSs in full in this offering, the number of securities held by new investors will increase from 3,120,114, or 17% to 3,480,114, or 19% of the total number of securities outstanding after this offering and the percentage of ordinary shares held by existing shareholders will decrease from 83% to 81% of the total securities outstanding.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Prior to this offering, we were a limited liability company, but the change in incorporation did not affect the financial information herein</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presented, except for the transformation of our quotas into ordinary shares. As such the historical financial statements will not be retrospectively adjusted.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€33.6 million.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2021 and 2020 were approximately €4.0 million and approximately €2.5 million, respectively. Our net losses for the years ended December 31, 2020 and 2019 were approximately €5.6 million and approximately €4.6 million, respectively. At June 30, 2021 and December 31, 2020, we had an accumulated deficit of approximately €25.5 million and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80" w:name="page81"/>
    <w:bookmarkEnd w:id="80"/>
    <w:p>
      <w:pPr>
        <w:ind w:firstLine="648"/>
        <w:spacing w:after="0" w:line="270" w:lineRule="auto"/>
        <w:rPr>
          <w:sz w:val="20"/>
          <w:szCs w:val="20"/>
          <w:color w:val="auto"/>
        </w:rPr>
      </w:pPr>
      <w:r>
        <w:rPr>
          <w:rFonts w:ascii="Arial" w:cs="Arial" w:eastAsia="Arial" w:hAnsi="Arial"/>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of June 30, 2021, we had cash and cash equivalents of approximately €10.6 million. We believe that our existing cash and cash equivalents as of June 30, 2021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the date of this filing, the global healthcare community continues to respond to the COVID-19 pandemic, including the recent emergence of the “delta variant.”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74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rPr>
              <w:t>For the Six Months Ended</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color w:val="auto"/>
              </w:rPr>
              <w:t>(Unaudited)</w:t>
            </w: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TEM-GBM (including TEM-LT)</w:t>
            </w: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1,692,458</w:t>
            </w:r>
          </w:p>
        </w:tc>
        <w:tc>
          <w:tcPr>
            <w:tcW w:w="13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948,019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18,609</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173,680</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TEM-HC</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Unallocated costs: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(including share-based compensation)</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401,380</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Consultants and other third parties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760,831</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354,599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312,844</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243,892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10,445</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3,199,234</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by program: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TEM-GBM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TEM-MM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Personnel (including share-based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Consultants and other third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&amp; supplies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Travel &amp; entertainment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634"/>
        </w:trPr>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3,353,369</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1,853,929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190,764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769,146</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472,100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753,238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73,736</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62,600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64,151</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133,573</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55,209</w:t>
            </w:r>
          </w:p>
        </w:tc>
      </w:tr>
      <w:tr>
        <w:trPr>
          <w:trHeight w:val="230"/>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-1731010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-1456690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-1156335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-882015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-607695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-334010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800" w:space="720"/>
            <w:col w:w="4720"/>
          </w:cols>
          <w:pgMar w:left="320" w:top="702" w:right="339" w:bottom="1440" w:gutter="0" w:footer="0" w:header="0"/>
          <w:type w:val="continuous"/>
        </w:sectPr>
      </w:pPr>
    </w:p>
    <w:p>
      <w:pPr>
        <w:ind w:left="760" w:hanging="104"/>
        <w:spacing w:after="0"/>
        <w:tabs>
          <w:tab w:leader="none" w:pos="760" w:val="left"/>
        </w:tabs>
        <w:numPr>
          <w:ilvl w:val="0"/>
          <w:numId w:val="55"/>
        </w:numPr>
        <w:rPr>
          <w:rFonts w:ascii="Arial" w:cs="Arial" w:eastAsia="Arial" w:hAnsi="Arial"/>
          <w:sz w:val="28"/>
          <w:szCs w:val="28"/>
          <w:color w:val="auto"/>
          <w:vertAlign w:val="superscript"/>
        </w:rPr>
      </w:pPr>
      <w:r>
        <w:rPr>
          <w:rFonts w:ascii="Arial" w:cs="Arial" w:eastAsia="Arial" w:hAnsi="Arial"/>
          <w:sz w:val="17"/>
          <w:szCs w:val="17"/>
          <w:color w:val="auto"/>
        </w:rPr>
        <w:t>Although the second indication is currently liver cancer, the Company has the right to change the indication.</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3" w:name="page84"/>
    <w:bookmarkEnd w:id="83"/>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4" w:name="page85"/>
    <w:bookmarkEnd w:id="84"/>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2021 and 2020 and the years ended December 31, 2020 and 2019 or the interim periods.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2021.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€ 4.0 million); (ii) the tax credit can be used for 2021 and 2022 fiscal years; (iii) it is necessary to have, besides the audit report, a technical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Six-Months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3,199,234</w:t>
            </w:r>
          </w:p>
        </w:tc>
        <w:tc>
          <w:tcPr>
            <w:tcW w:w="160" w:type="dxa"/>
            <w:vAlign w:val="bottom"/>
          </w:tcPr>
          <w:p>
            <w:pPr>
              <w:spacing w:after="0"/>
              <w:rPr>
                <w:sz w:val="18"/>
                <w:szCs w:val="18"/>
                <w:color w:val="auto"/>
              </w:rPr>
            </w:pP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(Note 5)</w:t>
            </w: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per share and pro forma information (unaudited):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pro forma loss</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6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and pro forma loss per share - basic and 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and pro forma weighted average number of shares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14,772,610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presented actual and pro forma basic and diluted loss per share at June 30, 2021 and 2020, respectively, which consists of our historical loss attributable to Genenta Science S.r.l. (and subsequently as of June 18, 2021 Genenta Science S.p.A.), divided by the weighted average and pro forma basic and diluted weighted average number of ordinary shares outstanding, on an “as converted” basis (similar to a stock split transaction) using the same conversion rate of 300 common shares per weighted average quota percentage of ownership during the six months ended June 30, 2021 and 2020, respectively, after giving effect to the Corporate Conversion. See our disclosures in this prospectus for additional information regarding the method used to calculate the pro forma basic and diluted loss per ordinary share and the pro forma weighted average number of ordinary shares used in the computation of the per share amounts.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expenses were approximately €3.2 million for the six months ended June 30, 2021, as compared to approximately €2.1 million for the six months ended June 30, 2020. The increase of approximately €1.1 million was primarily due to the increase of approximately €1.3 million related the Company’s GMB research and clinical activities (including personnel costs and related stock option exercise expenses), partially offset by €0.2 million related to the decrease of MM research and clinical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General and administrative expenses were approximately €0.8 million for the six months ended June 30, 2021, as compared to approximately €0.4 million for the six months ended June 30, 2020. The increase of approximately €0.4 million of general and administrative expenses was primarily due to €0.2 million of accounting, legal and consulting fees and €0.2 million of compensation expense (including stock-based compensation and social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Other income was approximately €2,700 for the six months ended June 30, 2021, as compared to approximately €600 for the six months ended June 30, 2020. The increase of approximately €2,100 was primarily due to the number of awards granted to the Company in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exchange loss was approximately €9,100 for the six months ended June 30, 2021, as compared to approximately €2,800 for the six months ended June 30, 2020. The increase of approximately €6,300 was primarily due to the net of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loss was approximately €4.0 million for the year six months June 30, 2021, as compared to approximately €2.5 million for the six months ended June 30, 2020. The increase of approximately €1.5 million was primarily due to the increased spending related to our overall research and clinical activities and to the increased spending related to advisory and consulting expenses related to our fundraising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gridSpan w:val="5"/>
          </w:tcPr>
          <w:p>
            <w:pPr>
              <w:jc w:val="right"/>
              <w:ind w:right="1141"/>
              <w:spacing w:after="0"/>
              <w:rPr>
                <w:sz w:val="20"/>
                <w:szCs w:val="20"/>
                <w:color w:val="auto"/>
              </w:rPr>
            </w:pPr>
            <w:r>
              <w:rPr>
                <w:rFonts w:ascii="Arial" w:cs="Arial" w:eastAsia="Arial" w:hAnsi="Arial"/>
                <w:sz w:val="18"/>
                <w:szCs w:val="18"/>
                <w:color w:val="auto"/>
              </w:rPr>
              <w:t>Year Ended December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3"/>
          </w:tcPr>
          <w:p>
            <w:pPr>
              <w:ind w:left="1320"/>
              <w:spacing w:after="0"/>
              <w:rPr>
                <w:sz w:val="20"/>
                <w:szCs w:val="20"/>
                <w:color w:val="auto"/>
              </w:rPr>
            </w:pPr>
            <w:r>
              <w:rPr>
                <w:rFonts w:ascii="Arial" w:cs="Arial" w:eastAsia="Arial" w:hAnsi="Arial"/>
                <w:sz w:val="18"/>
                <w:szCs w:val="18"/>
                <w:color w:val="auto"/>
              </w:rPr>
              <w:t>(in Euros)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4,688,461</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901,765</w:t>
            </w:r>
          </w:p>
        </w:tc>
        <w:tc>
          <w:tcPr>
            <w:tcW w:w="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(5,590,226)</w:t>
            </w:r>
          </w:p>
        </w:tc>
        <w:tc>
          <w:tcPr>
            <w:tcW w:w="5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5,966</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440" w:type="dxa"/>
            <w:vAlign w:val="bottom"/>
          </w:tcPr>
          <w:p>
            <w:pPr>
              <w:spacing w:after="0"/>
              <w:rPr>
                <w:sz w:val="20"/>
                <w:szCs w:val="20"/>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(7,754)</w:t>
            </w:r>
          </w:p>
        </w:tc>
        <w:tc>
          <w:tcPr>
            <w:tcW w:w="5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 forma net loss per share - basic and 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Weighted average pro forma number of shares outstanding - basic and diluted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14,539,534</w:t>
            </w: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12,651,158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vMerge w:val="restart"/>
          </w:tcPr>
          <w:p>
            <w:pPr>
              <w:ind w:left="4960"/>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87" w:name="page88"/>
    <w:bookmarkEnd w:id="87"/>
    <w:p>
      <w:pPr>
        <w:ind w:firstLine="648"/>
        <w:spacing w:after="0" w:line="253" w:lineRule="auto"/>
        <w:rPr>
          <w:sz w:val="20"/>
          <w:szCs w:val="20"/>
          <w:color w:val="auto"/>
        </w:rPr>
      </w:pPr>
      <w:r>
        <w:rPr>
          <w:rFonts w:ascii="Arial" w:cs="Arial" w:eastAsia="Arial" w:hAnsi="Arial"/>
          <w:sz w:val="18"/>
          <w:szCs w:val="18"/>
          <w:color w:val="auto"/>
        </w:rPr>
        <w:t>We have presented pro forma basic and diluted loss per share at December 31, 2020 and 2019, respectively, which consists of our historical loss attributable to Genenta Science S.r.l., divided by the pro forma basic and diluted weighted average number of ordinary shares outstanding, on an “as converted” basis, after giving effect to the Corporate Conversion, which occurred on June 18, 2021. See our disclosures in this prospectus for additional information regarding the method used to calculate the pro forma basic and diluted loss per ordinary share and the pro forma weighted average number of ordinary shares used in the computation of the per share amounts. We did not present basic and diluted loss per share for the years ended December 31, 2020 and 2019 in our audited Statements of Operations, since we were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us and not actual shares. We did not believe that representing loss per quota was meaningful.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Other income was approximately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sales of quotas. Through June 30, 2021, we had received gross cash proceeds of approximately €33.6 million from sales of our quotas. As of June 30, 2021, we had approximately €10.6 million in cash and cash equivalents.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474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Euros)</w:t>
            </w:r>
          </w:p>
        </w:tc>
        <w:tc>
          <w:tcPr>
            <w:tcW w:w="120" w:type="dxa"/>
            <w:vAlign w:val="bottom"/>
          </w:tcPr>
          <w:p>
            <w:pPr>
              <w:spacing w:after="0"/>
              <w:rPr>
                <w:sz w:val="20"/>
                <w:szCs w:val="20"/>
                <w:color w:val="auto"/>
              </w:rPr>
            </w:pPr>
          </w:p>
        </w:tc>
        <w:tc>
          <w:tcPr>
            <w:tcW w:w="3280" w:type="dxa"/>
            <w:vAlign w:val="bottom"/>
            <w:gridSpan w:val="6"/>
          </w:tcPr>
          <w:p>
            <w:pPr>
              <w:jc w:val="center"/>
              <w:ind w:right="381"/>
              <w:spacing w:after="0"/>
              <w:rPr>
                <w:sz w:val="20"/>
                <w:szCs w:val="20"/>
                <w:color w:val="auto"/>
              </w:rPr>
            </w:pPr>
            <w:r>
              <w:rPr>
                <w:rFonts w:ascii="Arial" w:cs="Arial" w:eastAsia="Arial" w:hAnsi="Arial"/>
                <w:sz w:val="18"/>
                <w:szCs w:val="18"/>
                <w:b w:val="1"/>
                <w:bCs w:val="1"/>
                <w:color w:val="auto"/>
                <w:w w:val="90"/>
              </w:rPr>
              <w:t>For the Six Months Ended June 30,</w:t>
            </w:r>
          </w:p>
        </w:tc>
        <w:tc>
          <w:tcPr>
            <w:tcW w:w="280" w:type="dxa"/>
            <w:vAlign w:val="bottom"/>
          </w:tcPr>
          <w:p>
            <w:pPr>
              <w:spacing w:after="0"/>
              <w:rPr>
                <w:sz w:val="20"/>
                <w:szCs w:val="20"/>
                <w:color w:val="auto"/>
              </w:rPr>
            </w:pPr>
          </w:p>
        </w:tc>
        <w:tc>
          <w:tcPr>
            <w:tcW w:w="18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center"/>
              <w:ind w:left="770"/>
              <w:spacing w:after="0"/>
              <w:rPr>
                <w:sz w:val="20"/>
                <w:szCs w:val="20"/>
                <w:color w:val="auto"/>
              </w:rPr>
            </w:pPr>
            <w:r>
              <w:rPr>
                <w:rFonts w:ascii="Arial" w:cs="Arial" w:eastAsia="Arial" w:hAnsi="Arial"/>
                <w:sz w:val="18"/>
                <w:szCs w:val="18"/>
                <w:color w:val="auto"/>
                <w:w w:val="91"/>
              </w:rPr>
              <w:t>(Unaudited)</w:t>
            </w: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(4,690,869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(4,911,337)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(1,956,524)</w:t>
            </w:r>
          </w:p>
        </w:tc>
        <w:tc>
          <w:tcPr>
            <w:tcW w:w="320" w:type="dxa"/>
            <w:vAlign w:val="bottom"/>
          </w:tcPr>
          <w:p>
            <w:pPr>
              <w:spacing w:after="0"/>
              <w:rPr>
                <w:sz w:val="17"/>
                <w:szCs w:val="17"/>
                <w:color w:val="auto"/>
              </w:rPr>
            </w:pP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15,465,243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10,553,906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18,184,855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20,141,379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six months ended June 30, 2021 and 2020, operating activities used approximately €4.7 million and €1.9 million, respectively of cash and cash equivalents, resulting from our loss of approximately €4.0 million and by cash used for changes in our operating assets and liabilities of approximately €1.1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six months ended June 30, 2021 and 2020, cash flow from financing activities were €(216,741) and €136, respectively, consisting of cash proceeds from the exercise of options on our class B quota. €172 class B quota was repurchased from Drs. Naldini and Gentner at nominal value, cancelled, and allocated to the option plan as available for grant.</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As of June 30, 2021, our cash and cash equivalents were approximately €10.6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currently anticipate that we will require approximately €5.2 million for research and development activities over the course of the next twelve months. We also anticipate that we will require approximately €3.1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1" w:name="page92"/>
    <w:bookmarkEnd w:id="91"/>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however, during the six months ended June 30, 2021, the Board granted fully vested options on €169 quota B. In addition, the Board accelerated the vesting of other stock options on €546 quota B that were previously granted. This amounted to a total of €715 quota B that were exercised prior to the Corporate Conversion. All options were awarded with an exercise price of €1 per quota and, when exercised, were first converted to Quota B of Genenta Science S.r.l. and then to ordinary shares giving effect to our Corporate Conversion to Genenta Science S.p.A. All options have now been granted and there were no outstanding options as of June 30, 2021. The Board is implementing a new stock option plan (the Company’s “Equity Incentive Plan 2021–2025”) based on a maximum of 2.7 million of new ordinary shares (i.e., common stock) or 10% of the number of shares outstanding after the next round of financing. The new stock option plan will be implemented by the Compensation and Nominating Committee of the Board of Directors after the next round of financing.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2" w:name="page93"/>
    <w:bookmarkEnd w:id="92"/>
    <w:p>
      <w:pPr>
        <w:ind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 (Pre-Conversion to S.p.A.)</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3" w:name="page94"/>
    <w:bookmarkEnd w:id="93"/>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June 18, 2021, all Quota B were converted, with all other classes of Quota, into ordinary common stock based essentially on their ownership percentages. All previous rights and privileges of the classes of quotaholders were cancelled and all owners received their pro rata ownership in the same class of ordinary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4" w:name="page95"/>
    <w:bookmarkEnd w:id="94"/>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4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therapeutic candidate is designed as a “</w:t>
      </w:r>
      <w:r>
        <w:rPr>
          <w:rFonts w:ascii="Arial" w:cs="Arial" w:eastAsia="Arial" w:hAnsi="Arial"/>
          <w:sz w:val="16"/>
          <w:szCs w:val="16"/>
          <w:i w:val="1"/>
          <w:iCs w:val="1"/>
          <w:color w:val="auto"/>
        </w:rPr>
        <w:t>living therapy</w:t>
      </w:r>
      <w:r>
        <w:rPr>
          <w:rFonts w:ascii="Arial" w:cs="Arial" w:eastAsia="Arial" w:hAnsi="Arial"/>
          <w:sz w:val="16"/>
          <w:szCs w:val="16"/>
          <w:color w:val="auto"/>
        </w:rPr>
        <w:t>”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4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6"/>
          <w:szCs w:val="16"/>
          <w:b w:val="1"/>
          <w:bCs w:val="1"/>
          <w:color w:val="auto"/>
        </w:rPr>
        <w:t>-</w:t>
      </w:r>
      <w:r>
        <w:rPr>
          <w:rFonts w:ascii="Arial" w:cs="Arial" w:eastAsia="Arial" w:hAnsi="Arial"/>
          <w:sz w:val="16"/>
          <w:szCs w:val="16"/>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91"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second quarter of 2022. We intend to use the preliminary results of our Phase 1/2a clinical trial to support a Clinical Trial Application to conduct in EU a multicenter Phase 2 trial in uMGMT-GBM,</w:t>
      </w:r>
    </w:p>
    <w:p>
      <w:pPr>
        <w:spacing w:after="0" w:line="5"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which we currently intend to conduct primarily in Italy.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dosed a total of 15 patients. The preliminary results show that Temferon has been generally well tolerated, with no dose limiting toxicities identified so far.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96" w:name="page97"/>
    <w:bookmarkEnd w:id="96"/>
    <w:p>
      <w:pPr>
        <w:ind w:firstLine="648"/>
        <w:spacing w:after="0" w:line="272" w:lineRule="auto"/>
        <w:rPr>
          <w:sz w:val="20"/>
          <w:szCs w:val="20"/>
          <w:color w:val="auto"/>
        </w:rPr>
      </w:pPr>
      <w:r>
        <w:rPr>
          <w:rFonts w:ascii="Arial" w:cs="Arial" w:eastAsia="Arial" w:hAnsi="Arial"/>
          <w:sz w:val="17"/>
          <w:szCs w:val="17"/>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2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168910</wp:posOffset>
            </wp:positionV>
            <wp:extent cx="5743575" cy="2674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35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currently conducting a Phase 1/2a dose-escalation study in Italy to primarily evaluate the safety and tolerability of Temferon in up to 21 uMGMT-GBM patients who have an unmethylated MGMT promoter, following radiotherapy treatment. We plan to initiate in Europe a multicenter Phase 2 trial in uMGMT-GBM, which we currently intend to conduct primarily in Italy to evaluate the safety and efficacy of Temferon in up to 27 uMGMT-GBM patients who have an unmethylated MGMT promoter where we intend to measure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20" w:hanging="328"/>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 second solid tumor indication and locally advanced HCC and ICC are under consideration. The Istituto Superiore di Sanità (ISS), an independent committee with oversight from the Italian Ministry of Health, must issue a positive opinion regarding our CTA before AIFA will approve it and we may start patient’s recruitment. In addition to HCC and ICC,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00" w:hanging="328"/>
        <w:spacing w:after="0" w:line="31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720" w:hanging="328"/>
        <w:spacing w:after="0" w:line="282"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treated uMGMT-GBM patients following 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80" w:hanging="328"/>
        <w:spacing w:after="0" w:line="261"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b w:val="1"/>
          <w:bCs w:val="1"/>
          <w:color w:val="auto"/>
        </w:rPr>
      </w:pPr>
    </w:p>
    <w:p>
      <w:pPr>
        <w:ind w:left="660" w:right="380" w:hanging="328"/>
        <w:spacing w:after="0" w:line="342" w:lineRule="auto"/>
        <w:tabs>
          <w:tab w:leader="none" w:pos="6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b w:val="1"/>
          <w:bCs w:val="1"/>
          <w:color w:val="auto"/>
        </w:rPr>
      </w:pPr>
    </w:p>
    <w:p>
      <w:pPr>
        <w:ind w:left="660" w:right="100" w:hanging="328"/>
        <w:spacing w:after="0" w:line="263"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holds promise to fine tune the dose to be administered based on individual patient characteristics.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0" w:name="page101"/>
    <w:bookmarkEnd w:id="100"/>
    <w:p>
      <w:pPr>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100" w:hanging="328"/>
        <w:spacing w:after="0" w:line="272"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466090</wp:posOffset>
            </wp:positionV>
            <wp:extent cx="5743575" cy="4852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4357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2" w:name="page103"/>
    <w:bookmarkEnd w:id="102"/>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3" w:name="page104"/>
    <w:bookmarkEnd w:id="103"/>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168910</wp:posOffset>
            </wp:positionV>
            <wp:extent cx="5314950" cy="27260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49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037" w:gutter="0" w:footer="0" w:header="0"/>
        </w:sectPr>
      </w:pPr>
    </w:p>
    <w:bookmarkStart w:id="104" w:name="page105"/>
    <w:bookmarkEnd w:id="104"/>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61"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In February 2021, BlueBird Bio temporary suspended its gene therapy clinical trials for SCD (HGB-206 and HGB-210) and the marketing of Zynteglo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19030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ectPr>
          <w:pgSz w:w="11900" w:h="16845" w:orient="portrait"/>
          <w:cols w:equalWidth="0" w:num="1">
            <w:col w:w="11220"/>
          </w:cols>
          <w:pgMar w:left="320" w:top="719" w:right="359" w:bottom="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6" w:name="page107"/>
    <w:bookmarkEnd w:id="106"/>
    <w:p>
      <w:pPr>
        <w:ind w:left="660" w:hanging="328"/>
        <w:spacing w:after="0" w:line="286" w:lineRule="auto"/>
        <w:tabs>
          <w:tab w:leader="none" w:pos="660" w:val="left"/>
        </w:tabs>
        <w:numPr>
          <w:ilvl w:val="0"/>
          <w:numId w:val="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43575" cy="27603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4357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1688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4357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104775</wp:posOffset>
            </wp:positionV>
            <wp:extent cx="5572125" cy="29146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21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40" w:right="10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20" w:hanging="328"/>
        <w:spacing w:after="0" w:line="272"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uMGMT-GBM pathology. </w:t>
      </w:r>
      <w:r>
        <w:rPr>
          <w:rFonts w:ascii="Arial" w:cs="Arial" w:eastAsia="Arial" w:hAnsi="Arial"/>
          <w:sz w:val="17"/>
          <w:szCs w:val="17"/>
          <w:color w:val="auto"/>
        </w:rPr>
        <w:t>GBMs are highly vascularized tumors that critically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08" w:name="page109"/>
    <w:bookmarkEnd w:id="108"/>
    <w:p>
      <w:pPr>
        <w:jc w:val="both"/>
        <w:ind w:left="660" w:right="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uMGMT-GBM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uMGMT-GBM,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42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global market size for all GBM is projected to grow to over $1.5 billion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We believe a novel therapeutic which demonstrates improvement over existing therapies would greatly increase the market size.</w:t>
      </w:r>
    </w:p>
    <w:p>
      <w:pPr>
        <w:spacing w:after="0" w:line="15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uMGMT-GBM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9" w:name="page110"/>
    <w:bookmarkEnd w:id="109"/>
    <w:p>
      <w:pPr>
        <w:ind w:left="660" w:hanging="328"/>
        <w:spacing w:after="0" w:line="291"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0" w:name="page111"/>
    <w:bookmarkEnd w:id="110"/>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28803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435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uMGMT-GBM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497580" cy="38830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349758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6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the second quarter of 2019, we enrolled our first patient in a single-arm, open label, dose escalation, Phase 1/2a clinical trial, in adult patients aged 18 to 70 years (“TEM-GBM 001 study”). The trial is being conducted at two clinical centers of excellence located in Milan, Italy: (i) Istituto Nazionale Neurologico “</w:t>
      </w:r>
      <w:r>
        <w:rPr>
          <w:rFonts w:ascii="Arial" w:cs="Arial" w:eastAsia="Arial" w:hAnsi="Arial"/>
          <w:sz w:val="18"/>
          <w:szCs w:val="18"/>
          <w:i w:val="1"/>
          <w:iCs w:val="1"/>
          <w:color w:val="auto"/>
        </w:rPr>
        <w:t>Carlo Besta</w:t>
      </w:r>
      <w:r>
        <w:rPr>
          <w:rFonts w:ascii="Arial" w:cs="Arial" w:eastAsia="Arial" w:hAnsi="Arial"/>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ind w:right="40" w:firstLine="648"/>
        <w:spacing w:after="0" w:line="272" w:lineRule="auto"/>
        <w:rPr>
          <w:sz w:val="20"/>
          <w:szCs w:val="20"/>
          <w:color w:val="auto"/>
        </w:rPr>
      </w:pPr>
      <w:r>
        <w:rPr>
          <w:rFonts w:ascii="Arial" w:cs="Arial" w:eastAsia="Arial" w:hAnsi="Arial"/>
          <w:sz w:val="17"/>
          <w:szCs w:val="17"/>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139065</wp:posOffset>
            </wp:positionV>
            <wp:extent cx="4526280" cy="263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262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187" w:lineRule="exact"/>
        <w:rPr>
          <w:sz w:val="20"/>
          <w:szCs w:val="20"/>
          <w:color w:val="auto"/>
        </w:rPr>
      </w:pPr>
    </w:p>
    <w:p>
      <w:pPr>
        <w:jc w:val="both"/>
        <w:ind w:right="220" w:firstLine="648"/>
        <w:spacing w:after="0" w:line="227" w:lineRule="auto"/>
        <w:rPr>
          <w:sz w:val="20"/>
          <w:szCs w:val="20"/>
          <w:color w:val="auto"/>
        </w:rPr>
      </w:pPr>
      <w:r>
        <w:rPr>
          <w:rFonts w:ascii="Arial" w:cs="Arial" w:eastAsia="Arial" w:hAnsi="Arial"/>
          <w:sz w:val="16"/>
          <w:szCs w:val="16"/>
          <w:color w:val="auto"/>
        </w:rPr>
        <w:t>Patients in cohorts 1, 2 and 3 received Temferon dose escalation up to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(Dose Level 3) and 3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as unmanipulated supporter HSPCs. Patients in Cohorts 4 and 5 were infused with Temferon Dose Level 3 but received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and were conditioned with 2 different conditioning regimens (BCNU &amp; thiotepa for Cohort 4, also utilized in Cohort 1-3 and Busulfan &amp; thiothepa for Cohort 5).</w:t>
      </w:r>
    </w:p>
    <w:p>
      <w:pPr>
        <w:spacing w:after="0" w:line="202" w:lineRule="exact"/>
        <w:rPr>
          <w:sz w:val="20"/>
          <w:szCs w:val="20"/>
          <w:color w:val="auto"/>
        </w:rPr>
      </w:pPr>
    </w:p>
    <w:p>
      <w:pPr>
        <w:ind w:firstLine="648"/>
        <w:spacing w:after="0" w:line="341" w:lineRule="auto"/>
        <w:rPr>
          <w:sz w:val="20"/>
          <w:szCs w:val="20"/>
          <w:color w:val="auto"/>
        </w:rPr>
      </w:pPr>
      <w:r>
        <w:rPr>
          <w:rFonts w:ascii="Arial" w:cs="Arial" w:eastAsia="Arial" w:hAnsi="Arial"/>
          <w:sz w:val="16"/>
          <w:szCs w:val="16"/>
          <w:color w:val="auto"/>
        </w:rPr>
        <w:t>Based on the results collected in the Part A of the study, we have amended the study to add two additional dose escalation cohorts (numbers 6 and 7). The Clinical Protocol amendment was submitted on July 20</w:t>
      </w:r>
      <w:r>
        <w:rPr>
          <w:rFonts w:ascii="Arial" w:cs="Arial" w:eastAsia="Arial" w:hAnsi="Arial"/>
          <w:sz w:val="26"/>
          <w:szCs w:val="26"/>
          <w:color w:val="auto"/>
          <w:vertAlign w:val="superscript"/>
        </w:rPr>
        <w:t>th</w:t>
      </w:r>
      <w:r>
        <w:rPr>
          <w:rFonts w:ascii="Arial" w:cs="Arial" w:eastAsia="Arial" w:hAnsi="Arial"/>
          <w:sz w:val="16"/>
          <w:szCs w:val="16"/>
          <w:color w:val="auto"/>
        </w:rPr>
        <w:t>, 2021 to the Italian Competent Authorities, and approved by AIFA in September 2021.</w:t>
      </w:r>
    </w:p>
    <w:p>
      <w:pPr>
        <w:spacing w:after="0" w:line="2" w:lineRule="exact"/>
        <w:rPr>
          <w:sz w:val="20"/>
          <w:szCs w:val="20"/>
          <w:color w:val="auto"/>
        </w:rPr>
      </w:pPr>
    </w:p>
    <w:p>
      <w:pPr>
        <w:ind w:right="100" w:firstLine="648"/>
        <w:spacing w:after="0" w:line="193" w:lineRule="auto"/>
        <w:rPr>
          <w:sz w:val="20"/>
          <w:szCs w:val="20"/>
          <w:color w:val="auto"/>
        </w:rPr>
      </w:pPr>
      <w:r>
        <w:rPr>
          <w:rFonts w:ascii="Arial" w:cs="Arial" w:eastAsia="Arial" w:hAnsi="Arial"/>
          <w:sz w:val="18"/>
          <w:szCs w:val="18"/>
          <w:color w:val="auto"/>
        </w:rPr>
        <w:t>As per the submitted clinical protocol amendment, Cohorts 6 and 7 will recruit three patients each who will be conditioned with BCNU and thiotepa and will receive 2 x 10</w:t>
      </w:r>
      <w:r>
        <w:rPr>
          <w:rFonts w:ascii="Arial" w:cs="Arial" w:eastAsia="Arial" w:hAnsi="Arial"/>
          <w:sz w:val="29"/>
          <w:szCs w:val="29"/>
          <w:color w:val="auto"/>
          <w:vertAlign w:val="superscript"/>
        </w:rPr>
        <w:t>6</w:t>
      </w:r>
      <w:r>
        <w:rPr>
          <w:rFonts w:ascii="Arial" w:cs="Arial" w:eastAsia="Arial" w:hAnsi="Arial"/>
          <w:sz w:val="18"/>
          <w:szCs w:val="18"/>
          <w:color w:val="auto"/>
        </w:rPr>
        <w:t>/kg supporter HSPCs and a Temferon dose of 3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and (Cohort 6, Dose Level 4), and 4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(Cohort 7, Dose Level 5), respectively.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9" w:right="41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466090</wp:posOffset>
            </wp:positionV>
            <wp:extent cx="5743575" cy="3291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TEM-GBM 001 Amended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w:t>
      </w:r>
    </w:p>
    <w:p>
      <w:pPr>
        <w:ind w:right="100"/>
        <w:spacing w:after="0" w:line="221" w:lineRule="auto"/>
        <w:rPr>
          <w:sz w:val="20"/>
          <w:szCs w:val="20"/>
          <w:color w:val="auto"/>
        </w:rPr>
      </w:pPr>
      <w:r>
        <w:rPr>
          <w:rFonts w:ascii="Arial" w:cs="Arial" w:eastAsia="Arial" w:hAnsi="Arial"/>
          <w:sz w:val="18"/>
          <w:szCs w:val="18"/>
          <w:color w:val="auto"/>
        </w:rPr>
        <w:t>Temferon and to evaluate its mechanism of action in patients. We enrolled our first patient in April 2019 and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had dosed 15 patients, from cohort 1 to 5. We expect to complete the enrollment and the dosing of patients to be assigned to cohorts 6 and 7 by the end of the second quarter of 2022.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the current status of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151765</wp:posOffset>
            </wp:positionV>
            <wp:extent cx="5743575" cy="908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435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6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57495" cy="1997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5749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Nine deaths have been reported to date: seven at +241, +322, +340, +402, +478, +646 and +749 days after Temferon administration due to disease progression, and two deaths at +60 and +122 days which the Investigator considered not related to Temferon but possibly related to complications following the chronic steroid treatment and the conditioning regimens prior to Temferon administration.</w:t>
      </w:r>
    </w:p>
    <w:p>
      <w:pPr>
        <w:spacing w:after="0" w:line="20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last evaluable disease status as assessed by immunotherapy response assessment for neuro-oncology (iRANO) criteria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the last evaluable time point for all 15 treated patients (prior to death, where applicable), was as follows: six patients had shown stable disease (SD), two patients had demonstrated partial response, seven patients had shown progressive disease (PD).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three-month window for confirmation of progression on follow-up imaging, and further advises that progressive imaging changes beyond six months after immunotherapy initiation are more likely true tumor progression.</w:t>
      </w:r>
    </w:p>
    <w:p>
      <w:pPr>
        <w:spacing w:after="0" w:line="20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9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Clinical Development Plan</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intend to submit the CTA for a Temferon Phase 2 study for uMGMT-GBM</w:t>
      </w:r>
    </w:p>
    <w:p>
      <w:pPr>
        <w:sectPr>
          <w:pgSz w:w="11900" w:h="16904" w:orient="portrait"/>
          <w:cols w:equalWidth="0" w:num="1">
            <w:col w:w="11240"/>
          </w:cols>
          <w:pgMar w:left="320" w:top="719" w:right="339" w:bottom="0" w:gutter="0" w:footer="0" w:header="0"/>
        </w:sectPr>
      </w:pPr>
    </w:p>
    <w:bookmarkStart w:id="115" w:name="page116"/>
    <w:bookmarkEnd w:id="115"/>
    <w:p>
      <w:pPr>
        <w:jc w:val="both"/>
        <w:spacing w:after="0" w:line="259" w:lineRule="auto"/>
        <w:rPr>
          <w:sz w:val="20"/>
          <w:szCs w:val="20"/>
          <w:color w:val="auto"/>
        </w:rPr>
      </w:pPr>
      <w:r>
        <w:rPr>
          <w:rFonts w:ascii="Arial" w:cs="Arial" w:eastAsia="Arial" w:hAnsi="Arial"/>
          <w:sz w:val="18"/>
          <w:szCs w:val="18"/>
          <w:color w:val="auto"/>
        </w:rPr>
        <w:t>patients by the fourth quarter of 2022.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Enrollment and treatment of up to 27 patients with newly diagnosed and recurrent uMGMT-GBM;</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6" w:name="page117"/>
    <w:bookmarkEnd w:id="116"/>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PFS and mOS as co-primary study endpoints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study design as discussed with FDA at the Pre-IND meeting may be subject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8" w:name="page119"/>
    <w:bookmarkEnd w:id="118"/>
    <w:p>
      <w:pPr>
        <w:ind w:left="660" w:right="60" w:hanging="328"/>
        <w:spacing w:after="0" w:line="301"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Solid Tumor Study Design</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with the TEM-GBM 001 study, we plan to propose to the Italian regulatory bodies a non-randomized, open label, single center, Phase 1/2a, therapeutic-exploratory, prospective study, involving a single injection of Temferon administration in up to 9 patients. The study will recruit and track patients at OSR.</w:t>
      </w:r>
    </w:p>
    <w:p>
      <w:pPr>
        <w:sectPr>
          <w:pgSz w:w="11900" w:h="16838" w:orient="portrait"/>
          <w:cols w:equalWidth="0" w:num="1">
            <w:col w:w="11240"/>
          </w:cols>
          <w:pgMar w:left="320" w:top="719" w:right="339" w:bottom="0" w:gutter="0" w:footer="0" w:header="0"/>
        </w:sectPr>
      </w:pPr>
    </w:p>
    <w:bookmarkStart w:id="119" w:name="page120"/>
    <w:bookmarkEnd w:id="119"/>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838" w:orient="portrait"/>
          <w:cols w:equalWidth="0" w:num="1">
            <w:col w:w="11220"/>
          </w:cols>
          <w:pgMar w:left="320" w:top="368" w:right="359" w:bottom="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117475</wp:posOffset>
            </wp:positionV>
            <wp:extent cx="5400675" cy="26060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006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for children, was developed and is still currently manufactured by AGC Biologics (former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hematopoietic stem cell (HSC) gene therapies in the upcoming years, including the recent EU market authorized gene therapy drug </w:t>
      </w:r>
      <w:r>
        <w:rPr>
          <w:rFonts w:ascii="Arial" w:cs="Arial" w:eastAsia="Arial" w:hAnsi="Arial"/>
          <w:sz w:val="16"/>
          <w:szCs w:val="16"/>
          <w:i w:val="1"/>
          <w:iCs w:val="1"/>
          <w:color w:val="auto"/>
        </w:rPr>
        <w:t>Libmeldy.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466090</wp:posOffset>
            </wp:positionV>
            <wp:extent cx="5572125" cy="3497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agreement with AGC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17/143,953</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4" w:name="page125"/>
    <w:bookmarkEnd w:id="124"/>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2022 to exercise this option, upon the payment of specified option fees, as further amended by the third amendment to the OSR License Agreement described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5" w:name="page126"/>
    <w:bookmarkEnd w:id="125"/>
    <w:p>
      <w:pPr>
        <w:ind w:right="100" w:firstLine="648"/>
        <w:spacing w:after="0" w:line="279"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has been extended to September 30, 2022 pursuant to the fourth amendment to the to the OSR License Agreement described below.</w:t>
      </w:r>
    </w:p>
    <w:p>
      <w:pPr>
        <w:spacing w:after="0" w:line="19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September 30, 2022, as noted above.</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2021, the OSR License Agreement was amended to extend the exclusive option. Specifically, if Genenta is not able to obtain approval of the Regulatory Authorities to initiate a human clinical trial in any country with respect to solid liver cancer on or before September 30, 2022, then Genenta has the right, at no additional cost, to convert the option exercise for the second Solid Cancer Indication to an indication other than solid liver cancer. We now have until September 30, 2022 to exercise this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6" w:name="page127"/>
    <w:bookmarkEnd w:id="126"/>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8" w:name="page129"/>
    <w:bookmarkEnd w:id="128"/>
    <w:p>
      <w:pPr>
        <w:ind w:left="660" w:hanging="328"/>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29" w:name="page130"/>
    <w:bookmarkEnd w:id="129"/>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0" w:name="page131"/>
    <w:bookmarkEnd w:id="130"/>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2" w:name="page133"/>
    <w:bookmarkEnd w:id="132"/>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4" w:name="page135"/>
    <w:bookmarkEnd w:id="134"/>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6" w:name="page137"/>
    <w:bookmarkEnd w:id="136"/>
    <w:p>
      <w:pPr>
        <w:ind w:left="660" w:right="38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7" w:name="page138"/>
    <w:bookmarkEnd w:id="137"/>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8" w:name="page139"/>
    <w:bookmarkEnd w:id="138"/>
    <w:p>
      <w:pPr>
        <w:ind w:right="60" w:firstLine="648"/>
        <w:spacing w:after="0" w:line="287" w:lineRule="auto"/>
        <w:rPr>
          <w:sz w:val="20"/>
          <w:szCs w:val="20"/>
          <w:color w:val="auto"/>
        </w:rPr>
      </w:pPr>
      <w:r>
        <w:rPr>
          <w:rFonts w:ascii="Arial" w:cs="Arial" w:eastAsia="Arial" w:hAnsi="Arial"/>
          <w:sz w:val="16"/>
          <w:szCs w:val="16"/>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UMGMT-GBM patients and plan to start new ones on hepatic tumor (HCC and IHC) in the near future by means of appropriate application to the Italian Regulatory Authority (“AIFA”).</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0" w:name="page141"/>
    <w:bookmarkEnd w:id="140"/>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September 15,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91"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w:t>
      </w:r>
    </w:p>
    <w:p>
      <w:pPr>
        <w:ind w:right="140"/>
        <w:spacing w:after="0" w:line="221" w:lineRule="auto"/>
        <w:rPr>
          <w:sz w:val="20"/>
          <w:szCs w:val="20"/>
          <w:color w:val="auto"/>
        </w:rPr>
      </w:pPr>
      <w:r>
        <w:rPr>
          <w:rFonts w:ascii="Arial" w:cs="Arial" w:eastAsia="Arial" w:hAnsi="Arial"/>
          <w:sz w:val="18"/>
          <w:szCs w:val="18"/>
          <w:color w:val="auto"/>
        </w:rPr>
        <w:t>renewed for additional 6 years. We also have an office in a co-working space located in Alexandria Center - LaunchLabs, 430 East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in May 2021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532"/>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2"/>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9"/>
              </w:rPr>
              <w:t>Chief Executive Officer, Vice Chairman of the Board of</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2014</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Directors and General Manager *</w:t>
            </w:r>
          </w:p>
        </w:tc>
        <w:tc>
          <w:tcPr>
            <w:tcW w:w="280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2016</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Role of General Manager effective upon listing</w:t>
      </w:r>
    </w:p>
    <w:p>
      <w:pPr>
        <w:spacing w:after="0" w:line="252"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directors above were elected at the Company’s general shareholders’ meeting held on May 20, 2021, for a three-year term.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consists of 7 (seven) members.</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5" w:name="page146"/>
    <w:bookmarkEnd w:id="145"/>
    <w:p>
      <w:pPr>
        <w:ind w:right="34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Vice Chairman of the Board of Directors and General Manager</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 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Advisors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Advisors to the Company include:</w:t>
      </w:r>
    </w:p>
    <w:p>
      <w:pPr>
        <w:spacing w:after="0" w:line="225" w:lineRule="exact"/>
        <w:rPr>
          <w:sz w:val="20"/>
          <w:szCs w:val="20"/>
          <w:color w:val="auto"/>
        </w:rPr>
      </w:pPr>
    </w:p>
    <w:p>
      <w:pPr>
        <w:jc w:val="both"/>
        <w:ind w:left="1300" w:right="260" w:hanging="644"/>
        <w:spacing w:after="0" w:line="287" w:lineRule="auto"/>
        <w:tabs>
          <w:tab w:leader="none" w:pos="1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Gaurav Shah, M.D.: co-founder of Rocket Pharma (NASDAQ: RCKT) and serves as its Chief Executive Officer and Corporate Board Member. Prior to this role Dr. Shah was a Global Program Head in the Cell &amp; Gene Therapies Unit at Novartis, where he had strategic oversight of 12 functions and helped spearhead pivotal trials with CART-19 for patients with leukemia and lymphoma.</w:t>
      </w:r>
    </w:p>
    <w:p>
      <w:pPr>
        <w:spacing w:after="0" w:line="2" w:lineRule="exact"/>
        <w:rPr>
          <w:rFonts w:ascii="Arial" w:cs="Arial" w:eastAsia="Arial" w:hAnsi="Arial"/>
          <w:sz w:val="16"/>
          <w:szCs w:val="16"/>
          <w:color w:val="auto"/>
        </w:rPr>
      </w:pPr>
    </w:p>
    <w:p>
      <w:pPr>
        <w:ind w:left="1300" w:right="20" w:hanging="644"/>
        <w:spacing w:after="0" w:line="250"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Brad Loncar: Founder and Chief Executive Officer at Loncar Investments. Mr. Loncar is a biotech investor, index provider, and creator of two Nasdaq-listed exchange traded funds.</w:t>
      </w:r>
    </w:p>
    <w:p>
      <w:pPr>
        <w:ind w:left="1300" w:right="120" w:hanging="644"/>
        <w:spacing w:after="0" w:line="255"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Alexander Ross: Distinguished Visiting Professor at The University of Bologna Business School and a Board Partner at Amplo, a global venture capital firm. He is the author of New York Times–bestselling </w:t>
      </w:r>
      <w:r>
        <w:rPr>
          <w:rFonts w:ascii="Arial" w:cs="Arial" w:eastAsia="Arial" w:hAnsi="Arial"/>
          <w:sz w:val="18"/>
          <w:szCs w:val="18"/>
          <w:i w:val="1"/>
          <w:iCs w:val="1"/>
          <w:color w:val="auto"/>
        </w:rPr>
        <w:t>The Industries of the Future</w:t>
      </w:r>
      <w:r>
        <w:rPr>
          <w:rFonts w:ascii="Arial" w:cs="Arial" w:eastAsia="Arial" w:hAnsi="Arial"/>
          <w:sz w:val="18"/>
          <w:szCs w:val="18"/>
          <w:color w:val="auto"/>
        </w:rPr>
        <w:t xml:space="preserve"> and Former Senior Advisor for Innovation to the US Secretary of State (2009-2013).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9"/>
              </w:rPr>
              <w:t>Pension,</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Salary, Bonuses</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Similar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Benefits</w:t>
            </w: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All directors and senior management as a group, consisting of 9 persons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617,904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140</w:t>
            </w: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20" w:hanging="328"/>
        <w:spacing w:after="0" w:line="275"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Share Issuances</w:t>
      </w:r>
      <w:r>
        <w:rPr>
          <w:rFonts w:ascii="Arial" w:cs="Arial" w:eastAsia="Arial" w:hAnsi="Arial"/>
          <w:sz w:val="17"/>
          <w:szCs w:val="17"/>
          <w:color w:val="auto"/>
        </w:rPr>
        <w:t>. Pursuant to Italian law, prior to this offering, we will opt out of shareholder approval requirements by way of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and conditional share capital (see “Description of Share Capital and Governing Documents—General —Authorization of shares”)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35" w:lineRule="exact"/>
        <w:rPr>
          <w:rFonts w:ascii="Arial" w:cs="Arial" w:eastAsia="Arial" w:hAnsi="Arial"/>
          <w:sz w:val="17"/>
          <w:szCs w:val="17"/>
          <w:color w:val="auto"/>
        </w:rPr>
      </w:pPr>
    </w:p>
    <w:p>
      <w:pPr>
        <w:ind w:left="660" w:right="80" w:hanging="328"/>
        <w:spacing w:after="0" w:line="287"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9" w:name="page150"/>
    <w:bookmarkEnd w:id="149"/>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€35,000 in compensation in the aggregate for their services to the Company.</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453"/>
              <w:spacing w:after="0"/>
              <w:rPr>
                <w:sz w:val="20"/>
                <w:szCs w:val="20"/>
                <w:color w:val="auto"/>
              </w:rPr>
            </w:pPr>
            <w:r>
              <w:rPr>
                <w:rFonts w:ascii="Arial" w:cs="Arial" w:eastAsia="Arial" w:hAnsi="Arial"/>
                <w:sz w:val="14"/>
                <w:szCs w:val="14"/>
                <w:b w:val="1"/>
                <w:bCs w:val="1"/>
                <w:color w:val="auto"/>
              </w:rPr>
              <w:t>Year elected or re-appointed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3"/>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Lorenzo Gianluigi Grossi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Alessandro Arpiani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bl>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18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Statutory auditors”.</w:t>
      </w:r>
    </w:p>
    <w:p>
      <w:pPr>
        <w:spacing w:after="0" w:line="19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have established a Compensation, Nomination and Governance Committee according to Nasdaq Listing Rule 5615(a)(3). The members of our compensation, nomination and governance committee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20, 2021, our shareholders meeting approved a capital increase to allow for issuance of up to 2,700,000 ordinary shares to the service of a four-year employees’ share option plan (the “2021-2025 Equity Incentive Plan”) to be adopted by the board of directors. The purpose of the 2021-2025 Equity Incentive Plan is to motivate and reward performance of our employees, directors, non-employee directors and consultants, and in the best interests of the Company and our shareholders.</w:t>
      </w:r>
    </w:p>
    <w:p>
      <w:pPr>
        <w:spacing w:after="0" w:line="21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May 20, 2021 our board of directors approved the specific terms (e.g., regulation) of our 2021 – 2025 Equity Incentive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198"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2021 – 2025 Equity Incentive Plan is administered by our board of directors in consultation with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 and Governance Committee, unless and until the board delegates administration to this latter. The board of directors has the authority to take all actions and make all determinations under the 2021 – 2025 Equity Incentive Plan, to interpret the 2021 – 2025 Equity Incentive Plan and award agreements and to adopt, amend and repeal rules for the administration of the 2021 – 2025 Equity Incentive Plan as it deems advisable, subject to certain limitations imposed under the 2021 – 2025 Equity Incentive Plan, and other applicable laws and stock exchange rules.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the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Equity Incentive Plan to:</w:t>
      </w:r>
    </w:p>
    <w:p>
      <w:pPr>
        <w:spacing w:after="0" w:line="197"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consultants to us or any of our subsidiaries (the “Eligible Participants”).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Grant of Awards; Shares Available for Awards. </w:t>
      </w:r>
      <w:r>
        <w:rPr>
          <w:rFonts w:ascii="Arial" w:cs="Arial" w:eastAsia="Arial" w:hAnsi="Arial"/>
          <w:sz w:val="18"/>
          <w:szCs w:val="18"/>
          <w:color w:val="auto"/>
        </w:rPr>
        <w:t>The 2021 – 2025 Equity Incentive Plan provides for the grant of options to purchase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of 2.7 million ordinary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approximately 10% of the issued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Equity Incentive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2" w:name="page153"/>
    <w:bookmarkEnd w:id="152"/>
    <w:p>
      <w:pPr>
        <w:ind w:right="56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Terms of exercise – Stock Options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Options may be granted to selected Eligible Participants (the “Optionee”) on such terms and conditions as the board of directors may determine; provided, however, that the exercise price of an option may not be less than the fair market value of a Company share as of the grant date as determined by the board of directors, or the Compensation, Nomination and Governance Committee, in its reasonable discretion and the term of the option my not exceed three years from the grant date.</w:t>
      </w:r>
    </w:p>
    <w:p>
      <w:pPr>
        <w:spacing w:after="0" w:line="21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vesting conditions for stock options granted under the 2021 – 2025 Equity Incentive Plan are set forth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termination of an Optionee’s employment or service without cause or an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resignation for just cause (as defined in the 2021 – 2025 Equity Incentive Plan) following a change in control of the company (as defined in the 2021 – 2025 Equity Incentive Plan), any awards outstanding to the Optionee (unless otherwise provided in the award agreement) will immediately vest, and options will become fully exercisable during the twelve (12) months following the Change in Control of the Company, or until the date of expiration of the applicable option, if earlier. In the event of a change in control that involves a merger, acquisition or other corporate transaction, any outstanding award not assumed, substituted, replaced or continued in connection with the transaction will immediately vest, and options will become fully exercisable and upon the effectiveness of such corporate transaction, the 2021 – 2025 Equity Incentive Plan and all awards will automatically terminate.</w:t>
      </w:r>
    </w:p>
    <w:p>
      <w:pPr>
        <w:spacing w:after="0" w:line="19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Within the limitation of the 2021 – 2025 Equity Incentive Plan, the board of directors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and Governance Committee may amend, suspend or terminate the 2021 – 2025 Equity Incentive Plan, at any time and for any reason. The suspension or termination of the 2021 – 2025 Equity Incentive Plan, or any amendment thereof, shall not affect any option previously granted under the 2021 – 2025 Equity Incentive Plan. No option shall be granted under the 2021 – 2025 Equity Incentive Plan after its suspension or termination. An amendment of the 2021 – 2025 Equity Incentive Plan shall be subject to the approval of the Company’s shareholders only to the extent required by applicable laws or regulations.</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Right to amend options</w:t>
      </w:r>
      <w:r>
        <w:rPr>
          <w:rFonts w:ascii="Arial" w:cs="Arial" w:eastAsia="Arial" w:hAnsi="Arial"/>
          <w:sz w:val="18"/>
          <w:szCs w:val="18"/>
          <w:color w:val="auto"/>
        </w:rPr>
        <w:t>. The board of directors at any time, and from time to time, may amend the terms of any one or more options;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rights under any option shall not be impaired by any such amendment unless (i) the Company requests the consent of the optionee and (ii) the optionee consents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In particular, Mr. Squinto is entitled to receive options to subscribe: (i) no. 147,783 shares at a price equal to €6.38 each upon listing; and (ii) no. 73,892 shares at a price equal to €6.38 each, during the year starting from the first anniversary of the listing.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the above, the 2021 – 2025 Chairman Sub-Plan provides for identical terms and conditions under our 2021 – 2025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The following table summarizes, as of the date of this prospectus, previously outstanding options subject to accelerated vesting upon the occurrence of a liquidity event. Prior to the consummation of the Corporation Conversion all such options were converted into Quota B and then subsequently converted into our ordinary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0"/>
                <w:szCs w:val="20"/>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December 12, 2021 by:</w:t>
      </w:r>
    </w:p>
    <w:p>
      <w:pPr>
        <w:spacing w:after="0" w:line="252"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ordinary shares. Percentage of shares beneficially owned before this offering is based on 15,000,000 shares outstanding on December 12, 2021. The number of ordinary shares deemed outstanding after this offering includes the ordinary shares being offered for sale in this offering but assumes no exercise by the representative of the underwriters of the over-allotment option.</w:t>
      </w:r>
    </w:p>
    <w:p>
      <w:pPr>
        <w:spacing w:after="0" w:line="214"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S.p.A., Via Olgettina no. 58, 20132 Milan, Italy.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 of Shares</w:t>
            </w:r>
          </w:p>
        </w:tc>
        <w:tc>
          <w:tcPr>
            <w:tcW w:w="206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2220" w:type="dxa"/>
            <w:vAlign w:val="bottom"/>
            <w:gridSpan w:val="2"/>
            <w:vMerge w:val="restart"/>
          </w:tcPr>
          <w:p>
            <w:pPr>
              <w:jc w:val="center"/>
              <w:ind w:right="60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20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2060" w:type="dxa"/>
            <w:vAlign w:val="bottom"/>
            <w:gridSpan w:val="2"/>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Owned</w:t>
            </w: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Owned</w:t>
            </w:r>
          </w:p>
        </w:tc>
        <w:tc>
          <w:tcPr>
            <w:tcW w:w="22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Prior to this</w:t>
            </w: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Before this</w:t>
            </w:r>
          </w:p>
        </w:tc>
        <w:tc>
          <w:tcPr>
            <w:tcW w:w="22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After this</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4"/>
                <w:szCs w:val="2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2060" w:type="dxa"/>
            <w:vAlign w:val="bottom"/>
            <w:gridSpan w:val="2"/>
          </w:tcPr>
          <w:p>
            <w:pPr>
              <w:jc w:val="center"/>
              <w:ind w:right="380"/>
              <w:spacing w:after="0" w:line="270" w:lineRule="exact"/>
              <w:rPr>
                <w:sz w:val="20"/>
                <w:szCs w:val="20"/>
                <w:color w:val="auto"/>
              </w:rPr>
            </w:pPr>
            <w:r>
              <w:rPr>
                <w:rFonts w:ascii="Arial" w:cs="Arial" w:eastAsia="Arial" w:hAnsi="Arial"/>
                <w:sz w:val="18"/>
                <w:szCs w:val="18"/>
                <w:b w:val="1"/>
                <w:bCs w:val="1"/>
                <w:color w:val="auto"/>
                <w:w w:val="89"/>
              </w:rPr>
              <w:t>Offering</w:t>
            </w:r>
            <w:r>
              <w:rPr>
                <w:rFonts w:ascii="Arial" w:cs="Arial" w:eastAsia="Arial" w:hAnsi="Arial"/>
                <w:sz w:val="29"/>
                <w:szCs w:val="29"/>
                <w:b w:val="1"/>
                <w:bCs w:val="1"/>
                <w:color w:val="auto"/>
                <w:w w:val="89"/>
                <w:vertAlign w:val="superscript"/>
              </w:rPr>
              <w:t>(1)</w:t>
            </w:r>
          </w:p>
        </w:tc>
        <w:tc>
          <w:tcPr>
            <w:tcW w:w="2220" w:type="dxa"/>
            <w:vAlign w:val="bottom"/>
            <w:gridSpan w:val="2"/>
          </w:tcPr>
          <w:p>
            <w:pPr>
              <w:jc w:val="center"/>
              <w:ind w:right="560"/>
              <w:spacing w:after="0" w:line="270" w:lineRule="exact"/>
              <w:rPr>
                <w:sz w:val="20"/>
                <w:szCs w:val="20"/>
                <w:color w:val="auto"/>
              </w:rPr>
            </w:pPr>
            <w:r>
              <w:rPr>
                <w:rFonts w:ascii="Arial" w:cs="Arial" w:eastAsia="Arial" w:hAnsi="Arial"/>
                <w:sz w:val="18"/>
                <w:szCs w:val="18"/>
                <w:b w:val="1"/>
                <w:bCs w:val="1"/>
                <w:color w:val="auto"/>
                <w:w w:val="87"/>
              </w:rPr>
              <w:t>Offering</w:t>
            </w:r>
            <w:r>
              <w:rPr>
                <w:rFonts w:ascii="Arial" w:cs="Arial" w:eastAsia="Arial" w:hAnsi="Arial"/>
                <w:sz w:val="29"/>
                <w:szCs w:val="29"/>
                <w:b w:val="1"/>
                <w:bCs w:val="1"/>
                <w:color w:val="auto"/>
                <w:w w:val="87"/>
                <w:vertAlign w:val="superscript"/>
              </w:rPr>
              <w:t>(3)</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Stephen Squinto</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2,275,516</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18"/>
                <w:szCs w:val="18"/>
                <w:color w:val="auto"/>
              </w:rPr>
              <w:t>Roger Abravanel</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73,729</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220"/>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16,357</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Guido Guidi</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61,553</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49,469</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Anthony Marucci</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19,947</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Carlo-Russo</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598,417</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1,386,145</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Bernard Gentner</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692,871</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4.62%</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5,174,004</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34.49%</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5% Shareholders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1,896,730</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12.64%</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390"/>
        </w:trPr>
        <w:tc>
          <w:tcPr>
            <w:tcW w:w="4960" w:type="dxa"/>
            <w:vAlign w:val="bottom"/>
          </w:tcPr>
          <w:p>
            <w:pPr>
              <w:spacing w:after="0"/>
              <w:rPr>
                <w:sz w:val="20"/>
                <w:szCs w:val="20"/>
                <w:color w:val="auto"/>
              </w:rPr>
            </w:pPr>
            <w:r>
              <w:rPr>
                <w:rFonts w:ascii="Arial" w:cs="Arial" w:eastAsia="Arial" w:hAnsi="Arial"/>
                <w:sz w:val="18"/>
                <w:szCs w:val="18"/>
                <w:color w:val="auto"/>
              </w:rPr>
              <w:t>Spafid</w:t>
            </w:r>
            <w:r>
              <w:rPr>
                <w:rFonts w:ascii="Arial" w:cs="Arial" w:eastAsia="Arial" w:hAnsi="Arial"/>
                <w:sz w:val="29"/>
                <w:szCs w:val="29"/>
                <w:color w:val="auto"/>
                <w:vertAlign w:val="superscript"/>
              </w:rPr>
              <w:t>(2)</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3,404,688</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22.70%</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459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30"/>
          <w:szCs w:val="30"/>
          <w:color w:val="auto"/>
          <w:vertAlign w:val="superscript"/>
        </w:rPr>
      </w:pPr>
      <w:r>
        <w:rPr>
          <w:rFonts w:ascii="Arial" w:cs="Arial" w:eastAsia="Arial" w:hAnsi="Arial"/>
          <w:sz w:val="18"/>
          <w:szCs w:val="18"/>
          <w:color w:val="auto"/>
        </w:rPr>
        <w:t>The percentages shown are based on 15,000,000 ordinary shares issued and outstanding as of December 12, 2021.</w:t>
      </w:r>
    </w:p>
    <w:p>
      <w:pPr>
        <w:spacing w:after="0" w:line="1" w:lineRule="exact"/>
        <w:rPr>
          <w:rFonts w:ascii="Arial" w:cs="Arial" w:eastAsia="Arial" w:hAnsi="Arial"/>
          <w:sz w:val="30"/>
          <w:szCs w:val="30"/>
          <w:color w:val="auto"/>
          <w:vertAlign w:val="superscript"/>
        </w:rPr>
      </w:pPr>
    </w:p>
    <w:p>
      <w:pPr>
        <w:ind w:left="340" w:right="20" w:hanging="332"/>
        <w:spacing w:after="0" w:line="236" w:lineRule="auto"/>
        <w:tabs>
          <w:tab w:leader="none" w:pos="340" w:val="left"/>
        </w:tabs>
        <w:numPr>
          <w:ilvl w:val="0"/>
          <w:numId w:val="103"/>
        </w:numPr>
        <w:rPr>
          <w:rFonts w:ascii="Arial" w:cs="Arial" w:eastAsia="Arial" w:hAnsi="Arial"/>
          <w:sz w:val="29"/>
          <w:szCs w:val="29"/>
          <w:color w:val="auto"/>
          <w:vertAlign w:val="superscript"/>
        </w:rPr>
      </w:pPr>
      <w:r>
        <w:rPr>
          <w:rFonts w:ascii="Arial" w:cs="Arial" w:eastAsia="Arial" w:hAnsi="Arial"/>
          <w:sz w:val="17"/>
          <w:szCs w:val="17"/>
          <w:color w:val="auto"/>
        </w:rPr>
        <w:t>Spafid is a public limited liability company established under the laws of Italy, having its registered office at Via Filodrammatici no. 10, 20121 Milan, Italy, and having its principal place of business at Foro Buonaparte no. 10, 20121 Milan, Italy, registered under number 00717010151, that acts pursuant to Italian Law 23 November 1939 no. 1966 on “fiduciary Activity”. Spafid is indicated as Owner Entity because identified as formal owner of the shares. As Fiduciary Company, according to Italian Rules, Spafid operates on behalf of Beneficial Owner of Fiduciary Mandate. Shares of Spafid are wholly owned by Mediobanca – Banca di Credito Finanziario S.p.A., a leading Italian investment bank. In such a capacity of Fiduciary company, Spafid owns no. 3,404,688 ordinary shares of the Company on behalf of no. 43 beneficial owners (“fiducianti”).</w:t>
      </w:r>
    </w:p>
    <w:p>
      <w:pPr>
        <w:spacing w:after="0" w:line="5"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percentages shown are based on 18,120,114 securities issued and outstanding after this offering.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2,450 ordinary shares that Mr. Abravanel intends to purchase in the Reserved Offering.</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shares of the Company owned by Spafid represent 22.70% of the Company’s share capital: (i) the average shareholding owned through Spafid in the Company’s share capital by each beneficial owner is equal to 0.53%; while (ii) the maximum shareholding owned through Spafid in the Company’s share capital by a single beneficial owner is equal to 2.30%. Spafid exercises - and will exercise - the relevant voting rights in the shareholders’ meeting of the Company according to voting instructions provided for by each beneficial owner.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12, 2021, there was a total of 68 holders of record of our ordinary shares, none of which had, to the best of our knowledge, a registered address in the United States.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808" w:gutter="0" w:footer="0" w:header="0"/>
        </w:sectPr>
      </w:pPr>
    </w:p>
    <w:bookmarkStart w:id="154" w:name="page155"/>
    <w:bookmarkEnd w:id="154"/>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will be terminated by the parties for mutual consent upon signature of the below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intend to enter into new employment agreements with each of Mr. Paracchi, Dr. Russo and Mr. Slansky effective upon the consummation of this offering, and in the case of Mr. Slansky, the earlier of the consummation of this offering or November 1, 2021, whichever is earlier. The forms of such proposed employment agreements have been filed as exhibits to the registration statement of which this prospectus forms a part. Pursuant to such proposed employment agreements, Mr. Paracchi, Dr. Russo and Mr. Slansky are entitled to gross annual base salaries of €420,000, $500,000 and $300,000, respectively, which is subject to annual review by and at the sole discretion of the Compensation, Nomination and Governance Committee of our board of directors. Mr. Paracchi is also eligible to receive an annual cash bonus of up to 20% of base salary, and Dr. Russo and Mr. Slansky are eligible to receive an annual cash bonus of up to 30% of base salary, provided that such individual achieves performance targets determined by the Compensation, Nomination and Governance Committee of the board of directors.</w:t>
      </w:r>
    </w:p>
    <w:p>
      <w:pPr>
        <w:spacing w:after="0" w:line="2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proposed employment agreements of Dr. Russo and Mr. Slansky, are governed by US Law and include the following terms and conditions, among others:</w:t>
      </w:r>
    </w:p>
    <w:p>
      <w:pPr>
        <w:spacing w:after="0" w:line="170" w:lineRule="exact"/>
        <w:rPr>
          <w:sz w:val="20"/>
          <w:szCs w:val="20"/>
          <w:color w:val="auto"/>
        </w:rPr>
      </w:pPr>
    </w:p>
    <w:p>
      <w:pPr>
        <w:ind w:left="720" w:right="20" w:hanging="712"/>
        <w:spacing w:after="0" w:line="254" w:lineRule="auto"/>
        <w:tabs>
          <w:tab w:leader="none" w:pos="720" w:val="left"/>
        </w:tabs>
        <w:numPr>
          <w:ilvl w:val="0"/>
          <w:numId w:val="104"/>
        </w:numPr>
        <w:rPr>
          <w:rFonts w:ascii="Arial" w:cs="Arial" w:eastAsia="Arial" w:hAnsi="Arial"/>
          <w:sz w:val="18"/>
          <w:szCs w:val="18"/>
          <w:i w:val="1"/>
          <w:iCs w:val="1"/>
          <w:color w:val="auto"/>
        </w:rPr>
      </w:pPr>
      <w:r>
        <w:rPr>
          <w:rFonts w:ascii="Arial" w:cs="Arial" w:eastAsia="Arial" w:hAnsi="Arial"/>
          <w:sz w:val="18"/>
          <w:szCs w:val="18"/>
          <w:color w:val="auto"/>
        </w:rPr>
        <w:t>each proposed employment agreement has a term commencing on the date of consummation of this offering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4" w:lineRule="exact"/>
        <w:rPr>
          <w:rFonts w:ascii="Arial" w:cs="Arial" w:eastAsia="Arial" w:hAnsi="Arial"/>
          <w:sz w:val="18"/>
          <w:szCs w:val="18"/>
          <w:i w:val="1"/>
          <w:iCs w:val="1"/>
          <w:color w:val="auto"/>
        </w:rPr>
      </w:pPr>
    </w:p>
    <w:p>
      <w:pPr>
        <w:ind w:left="720" w:hanging="712"/>
        <w:spacing w:after="0" w:line="257" w:lineRule="auto"/>
        <w:tabs>
          <w:tab w:leader="none" w:pos="720" w:val="left"/>
        </w:tabs>
        <w:numPr>
          <w:ilvl w:val="0"/>
          <w:numId w:val="104"/>
        </w:numPr>
        <w:rPr>
          <w:rFonts w:ascii="Arial" w:cs="Arial" w:eastAsia="Arial" w:hAnsi="Arial"/>
          <w:sz w:val="18"/>
          <w:szCs w:val="18"/>
          <w:i w:val="1"/>
          <w:iCs w:val="1"/>
          <w:color w:val="auto"/>
        </w:rPr>
      </w:pPr>
      <w:r>
        <w:rPr>
          <w:rFonts w:ascii="Arial" w:cs="Arial" w:eastAsia="Arial" w:hAnsi="Arial"/>
          <w:sz w:val="18"/>
          <w:szCs w:val="18"/>
          <w:color w:val="auto"/>
        </w:rPr>
        <w:t>in the event such individual is terminated three months prior to or one year after a Change of Control (as defined in the agreement) by the Company for any reason other than cause or by such individual for good reason, then the executive shall be entitled to receive a cash payment equal to a multiple of such individual’s then-current annual base salary determined by the time elapsed since the commencement of the agreement (in the case of Dr. Russo) or two times such salary (in the case of Mr. Slansky). Such payment shall be in lieu of the severance payment described above.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proposed employment agreement of Mr. Paracchi is governed by Italian Law and include the following terms and conditions, among others:</w:t>
      </w:r>
    </w:p>
    <w:p>
      <w:pPr>
        <w:spacing w:after="0" w:line="248"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color w:val="auto"/>
        </w:rPr>
        <w:t>the duties of general manager (</w:t>
      </w:r>
      <w:r>
        <w:rPr>
          <w:rFonts w:ascii="Arial" w:cs="Arial" w:eastAsia="Arial" w:hAnsi="Arial"/>
          <w:sz w:val="18"/>
          <w:szCs w:val="18"/>
          <w:i w:val="1"/>
          <w:iCs w:val="1"/>
          <w:color w:val="auto"/>
        </w:rPr>
        <w:t>direttore generale</w:t>
      </w:r>
      <w:r>
        <w:rPr>
          <w:rFonts w:ascii="Arial" w:cs="Arial" w:eastAsia="Arial" w:hAnsi="Arial"/>
          <w:sz w:val="18"/>
          <w:szCs w:val="18"/>
          <w:color w:val="auto"/>
        </w:rPr>
        <w:t>) with direct report to the Board of Directors of the Company;</w:t>
      </w:r>
    </w:p>
    <w:p>
      <w:pPr>
        <w:spacing w:after="0" w:line="225" w:lineRule="exact"/>
        <w:rPr>
          <w:rFonts w:ascii="Arial" w:cs="Arial" w:eastAsia="Arial" w:hAnsi="Arial"/>
          <w:sz w:val="18"/>
          <w:szCs w:val="18"/>
          <w:i w:val="1"/>
          <w:iCs w:val="1"/>
          <w:color w:val="auto"/>
        </w:rPr>
      </w:pPr>
    </w:p>
    <w:p>
      <w:pPr>
        <w:ind w:left="660" w:right="360" w:hanging="652"/>
        <w:spacing w:after="0" w:line="277" w:lineRule="auto"/>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170" w:lineRule="exact"/>
        <w:rPr>
          <w:rFonts w:ascii="Arial" w:cs="Arial" w:eastAsia="Arial" w:hAnsi="Arial"/>
          <w:sz w:val="18"/>
          <w:szCs w:val="18"/>
          <w:i w:val="1"/>
          <w:iCs w:val="1"/>
          <w:color w:val="auto"/>
        </w:rPr>
      </w:pPr>
    </w:p>
    <w:p>
      <w:pPr>
        <w:ind w:left="660" w:right="120" w:hanging="652"/>
        <w:spacing w:after="0" w:line="259" w:lineRule="auto"/>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w:t>
      </w:r>
    </w:p>
    <w:p>
      <w:pPr>
        <w:spacing w:after="0" w:line="213" w:lineRule="exact"/>
        <w:rPr>
          <w:rFonts w:ascii="Arial" w:cs="Arial" w:eastAsia="Arial" w:hAnsi="Arial"/>
          <w:sz w:val="18"/>
          <w:szCs w:val="18"/>
          <w:i w:val="1"/>
          <w:iCs w:val="1"/>
          <w:color w:val="auto"/>
        </w:rPr>
      </w:pPr>
    </w:p>
    <w:p>
      <w:pPr>
        <w:ind w:left="660" w:right="60" w:hanging="652"/>
        <w:spacing w:after="0" w:line="308" w:lineRule="auto"/>
        <w:tabs>
          <w:tab w:leader="none" w:pos="660" w:val="left"/>
        </w:tabs>
        <w:numPr>
          <w:ilvl w:val="0"/>
          <w:numId w:val="105"/>
        </w:numPr>
        <w:rPr>
          <w:rFonts w:ascii="Arial" w:cs="Arial" w:eastAsia="Arial" w:hAnsi="Arial"/>
          <w:sz w:val="17"/>
          <w:szCs w:val="17"/>
          <w:i w:val="1"/>
          <w:iCs w:val="1"/>
          <w:color w:val="auto"/>
        </w:rPr>
      </w:pPr>
      <w:r>
        <w:rPr>
          <w:rFonts w:ascii="Arial" w:cs="Arial" w:eastAsia="Arial" w:hAnsi="Arial"/>
          <w:sz w:val="17"/>
          <w:szCs w:val="17"/>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ectPr>
          <w:pgSz w:w="11900" w:h="16838" w:orient="portrait"/>
          <w:cols w:equalWidth="0" w:num="1">
            <w:col w:w="11220"/>
          </w:cols>
          <w:pgMar w:left="320" w:top="715" w:right="359" w:bottom="94" w:gutter="0" w:footer="0" w:header="0"/>
        </w:sectPr>
      </w:pPr>
    </w:p>
    <w:bookmarkStart w:id="155" w:name="page156"/>
    <w:bookmarkEnd w:id="155"/>
    <w:p>
      <w:pPr>
        <w:jc w:val="both"/>
        <w:ind w:right="300"/>
        <w:spacing w:after="0" w:line="263" w:lineRule="auto"/>
        <w:rPr>
          <w:sz w:val="20"/>
          <w:szCs w:val="20"/>
          <w:color w:val="auto"/>
        </w:rPr>
      </w:pPr>
      <w:r>
        <w:rPr>
          <w:rFonts w:ascii="Arial" w:cs="Arial" w:eastAsia="Arial" w:hAnsi="Arial"/>
          <w:sz w:val="18"/>
          <w:szCs w:val="18"/>
          <w:color w:val="auto"/>
        </w:rPr>
        <w:t>Such agreement has a term commencing on the date of consummation of this offering and continuing until terminated, among other things, (a) upon death of the executive, (b) for just cause, (c) with objective or subjective reason, (d) by resignation of the executive, or (e) voluntarily by mutual agreement between the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Consultancy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Messrs. Squinto and Marucci have entered into consultancy agreements in connection with their appointment to the board of directors in order to support the development and growth of the Company. The agreements provide for gross compensations of $25,000 (Mr. Squinto) and $11,875 (Mr. Marucci) per quarter (pro 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Messrs. Alexander Ross,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25" w:right="3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or before the time of effectiveness of this registration statement, an indemnification agreement with our directors and executive officers will be entered into. The indemnification agreement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€33.6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57" w:name="page158"/>
    <w:bookmarkEnd w:id="157"/>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occurred in May 2021.</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the date of filing of this prospectus our authorized capital stock is equal to Euro 50,000 represented by 15,000,000 ordinary shares with no par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preference shares are designated, issued or outstanding.</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 kind, and in any case the criteria adopted for determining the issue price. On May 20, 2021, our shareholders approved or delegated our board of directors to approve — several capital increases. In particular, the shareholders’ meeting unanimously resolved, </w:t>
      </w:r>
      <w:r>
        <w:rPr>
          <w:rFonts w:ascii="Arial" w:cs="Arial" w:eastAsia="Arial" w:hAnsi="Arial"/>
          <w:sz w:val="16"/>
          <w:szCs w:val="16"/>
          <w:i w:val="1"/>
          <w:iCs w:val="1"/>
          <w:color w:val="auto"/>
        </w:rPr>
        <w:t>inter alia</w:t>
      </w:r>
    </w:p>
    <w:p>
      <w:pPr>
        <w:spacing w:after="0" w:line="193" w:lineRule="exact"/>
        <w:rPr>
          <w:sz w:val="20"/>
          <w:szCs w:val="20"/>
          <w:color w:val="auto"/>
        </w:rPr>
      </w:pPr>
    </w:p>
    <w:p>
      <w:pPr>
        <w:ind w:left="660" w:right="60" w:hanging="328"/>
        <w:spacing w:after="0" w:line="25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increase the share capital against payment in one or more instalments on a divisible basis, with the exclusion of the pre-emptive rights under Article 2441, paragraph 5, of Italian Civil Code, up to a maximum amount of € 115 million (including share premium), with allocation to capital of € 0.10 per share, by issuance of a maximum of 11.5 million new ordinary shares with no par value and with regular dividend entitlement, to the service of our initial public offering, granting authority to the board of directors to implement the proposed capital increase in one or more tranches, in the amounts quoted above, within the time limit of December 31, 2021, of which a maximum number of 10 million ordinary shares against a countervalue of € 100 million (including share premium), shall be issued to the service of the initial public offering; while a maximum number of 1.5 million ordinary shares (subject to the maximum limit of 15% of the number of shares actually used to the service of our initial public offering) against a countervalue of € 15 million (including share premium), shall be issued to the service of potential exercise of the over-allotment option (greenshoe);</w:t>
      </w:r>
    </w:p>
    <w:p>
      <w:pPr>
        <w:spacing w:after="0" w:line="155" w:lineRule="exact"/>
        <w:rPr>
          <w:rFonts w:ascii="Arial" w:cs="Arial" w:eastAsia="Arial" w:hAnsi="Arial"/>
          <w:sz w:val="18"/>
          <w:szCs w:val="18"/>
          <w:color w:val="auto"/>
        </w:rPr>
      </w:pPr>
    </w:p>
    <w:p>
      <w:pPr>
        <w:ind w:left="660" w:right="160" w:hanging="328"/>
        <w:spacing w:after="0" w:line="290"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grant to the board of directors the authority to approve the issuance of a maximum number of 0.5 million warrants to be granted free of charge to the Underwriters and to increase the share capital, on a divisible basis, to the service of warrants exercised by the Underwriters, by maximum par values of €5,000,000 (including share premium), with allocation to capital of €0.10 per share, by issuance of a further maximum number of 500,000 ordinary shares (subject to the maximum limit of 4% of the ADSs to service our initial public offering as well as criteria set forth in agreements executed by the Company in relation to our initial public offering), all represented by ADSs, to be issued by no later than December 31, 2021, being it specified that, if such increase is not fully subscribed within that time limit, the increase shall remain valid within the limits of the subscriptions collected; being it further specified that such capital increase shall be implemented, pursuant to the warrants regulation, by the board of directors duly authorized to set the issue price and the portions to be allocated to capital and to share premium; and</w:t>
      </w:r>
    </w:p>
    <w:p>
      <w:pPr>
        <w:spacing w:after="0" w:line="124" w:lineRule="exact"/>
        <w:rPr>
          <w:rFonts w:ascii="Arial" w:cs="Arial" w:eastAsia="Arial" w:hAnsi="Arial"/>
          <w:sz w:val="16"/>
          <w:szCs w:val="16"/>
          <w:color w:val="auto"/>
        </w:rPr>
      </w:pPr>
    </w:p>
    <w:p>
      <w:pPr>
        <w:ind w:left="660" w:right="20" w:hanging="328"/>
        <w:spacing w:after="0" w:line="269"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grant to the board of directors the authority, in accordance with Article 2443 of Italian Civil Code, to further increase the share capital against payment, in one or more instalments on a divisible basis, up to a maximum amount of €300,000,000 (including share premium), by issuance of a maximum number of 30,000,000 new ordinary shares with no par value and with regular dividend entitlement, also with the exclusion of pre-emptive rights or free of charge, in accordance with Article 2441, paragraphs 4, 5 and 8, of Italian Civil Code for a five-year period, also in support of third-party grants of participating interests and/or industrial and intellectual property rights and similar intangible assets (such as patents, marks and know-how) which can be granted and held by the board of directors itself in accordance to the scope of the corporate purpose, in addition to the authority, pursuant to Article 2420-</w:t>
      </w:r>
      <w:r>
        <w:rPr>
          <w:rFonts w:ascii="Arial" w:cs="Arial" w:eastAsia="Arial" w:hAnsi="Arial"/>
          <w:sz w:val="17"/>
          <w:szCs w:val="17"/>
          <w:i w:val="1"/>
          <w:iCs w:val="1"/>
          <w:color w:val="auto"/>
        </w:rPr>
        <w:t>ter</w:t>
      </w:r>
      <w:r>
        <w:rPr>
          <w:rFonts w:ascii="Arial" w:cs="Arial" w:eastAsia="Arial" w:hAnsi="Arial"/>
          <w:sz w:val="17"/>
          <w:szCs w:val="17"/>
          <w:color w:val="auto"/>
        </w:rPr>
        <w:t xml:space="preserve"> of Italian Civil Code, to issue convertible debentures in one or more instalments, convertible into ordinary shares, within the same aggregate maximum amount of €300,000,000 (including share premium), with consequent capital increase to the service of the conversion, also with the exclusion of pre-emptive rights in accordance with Article 2441, paragraphs 4, 5 and 8 of Italian Civil Code, likewise for a period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416" w:gutter="0" w:footer="0" w:header="0"/>
        </w:sectPr>
      </w:pPr>
    </w:p>
    <w:bookmarkStart w:id="159" w:name="page160"/>
    <w:bookmarkEnd w:id="159"/>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shareholders’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 consists of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Following the expiration of the term of directors currently in office, future members of the board of directors will be elected by means of a slate voting mechanism. Slates may be submitted by shareholders representing, individually or collectively with other shareholders joining in the submission of the slate, at least 6% of the share capital eligible to vote at the shareholders’ meeting at which directors are to be elected, such eligibility to be established by filing with the Company a certification to that effect. The board of directors shall be elected as follows: (a) candidates for election as directors equal to the total number of seats on the board of directors minus one shall be drawn from the slate that has obtained the highest number of votes cast at the shareholders meeting (the Majority Slate), in the order in which their name is listed on the Majority Slate, (b) the first candidate listed on the slate that receives the second greatest number of votes cast (the Minority Slate) shall be elected as director so long as none of the shareholders joining in the submission of the Minority Slate has any connection whatsoever, whether directly or indirectly, with the shareholders who have submitted or voted the Majority Slate.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0" w:name="page161"/>
    <w:bookmarkEnd w:id="160"/>
    <w:p>
      <w:pPr>
        <w:jc w:val="both"/>
        <w:ind w:right="12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join in submitting, or cast their vote for more than one slate, including through a nominee or agent. Each candidate for election as director may only be listed on single slate and will be ineligible for election if named on multiple slates.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directors to be filled as provided under clause (a) above, all candidates listed in the Majority Slate shall be elected as directors and the remaining directors shall be elected from the Minority Slate according to the order in which they are listed in such slate. The voting procedure according to slates described above shall be applicable only in case of election of the entire board of directors at the same shareholders’ meeting.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 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elected at the same shareholders’ meeting, or in case it is otherwise not possible for any reason to elect the board of directors in accordance with the provisions set out in our by-laws, the members of the board of directors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If a chairman (</w:t>
      </w:r>
      <w:r>
        <w:rPr>
          <w:rFonts w:ascii="Arial" w:cs="Arial" w:eastAsia="Arial" w:hAnsi="Arial"/>
          <w:sz w:val="16"/>
          <w:szCs w:val="16"/>
          <w:i w:val="1"/>
          <w:iCs w:val="1"/>
          <w:color w:val="auto"/>
        </w:rPr>
        <w:t>presidente</w:t>
      </w:r>
      <w:r>
        <w:rPr>
          <w:rFonts w:ascii="Arial" w:cs="Arial" w:eastAsia="Arial" w:hAnsi="Arial"/>
          <w:sz w:val="16"/>
          <w:szCs w:val="16"/>
          <w:color w:val="auto"/>
        </w:rPr>
        <w:t>) has not already been elected by the shareholders, the board of directors must appoint one. The board of directors may appoint a vice-chairman. The chairman of the board of directors is the legal representative of the Company. Our board of directors may delegate certain powers to one or more 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such managing director and revoke such delegation at any time. Any managing director shall report to the board of directors and the board of statutory auditors at least every 180 days on the Company’s business and the principal business carried out by the Company or by its subsidiaries. Our board of directors may also appoint one or more general managers (</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may delegate authority for specific matters or categories of matters to employees of the Company or persons unaffiliated with the Company. The general managers may be employees, and the board of directors may delegate certain powers to general managers that the board has not already delegated to managing directors or an executive committee, subject to the following limitations: under Italian law, the board of directors may not delegate to officers or employees of the Company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Meetings of our board of directors are called with no less than four days’ notice or, in case of urgency, at least one day’s notice given by registered letter or e-mail sent by the chairman, the deputy chairman or a managing director. Statutory auditors are normally required to attend meetings of the board of directors, but if a meeting has been duly called, the board of directors may validly take action at the meeting even if the board of statutory auditors does not participate. If the meeting has not been duly called, the meeting is nevertheless validly constituted if all of the directors in office and all of the statutory auditors are in attendance.</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Meetings of our board of directors may be held in person, or by audio-conference or video-conference, in Italy and in any member state of the European Union or the United States. The quorum for meetings of our board of directors is a majority of the directors in office. Resolutions are adopted by the vote of the majority of the directors in attendance at a meeting at which a quorum is met.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1" w:name="page162"/>
    <w:bookmarkEnd w:id="161"/>
    <w:p>
      <w:pPr>
        <w:ind w:right="300" w:firstLine="648"/>
        <w:spacing w:after="0" w:line="286" w:lineRule="auto"/>
        <w:rPr>
          <w:sz w:val="20"/>
          <w:szCs w:val="20"/>
          <w:color w:val="auto"/>
        </w:rPr>
      </w:pPr>
      <w:r>
        <w:rPr>
          <w:rFonts w:ascii="Arial" w:cs="Arial" w:eastAsia="Arial" w:hAnsi="Arial"/>
          <w:sz w:val="17"/>
          <w:szCs w:val="17"/>
          <w:color w:val="auto"/>
        </w:rPr>
        <w:t>Our directors are not subject to the non-compete obligations provided by Italian law. As a result, our directors may (i) be equity holders in competing companies, including entities where they have unlimited liability, (ii) exercise in person or on behalf of third parties activities in competition with that of the Company, and (iii) be elected as directors of, or act as general managers (</w:t>
      </w:r>
      <w:r>
        <w:rPr>
          <w:rFonts w:ascii="Arial" w:cs="Arial" w:eastAsia="Arial" w:hAnsi="Arial"/>
          <w:sz w:val="17"/>
          <w:szCs w:val="17"/>
          <w:i w:val="1"/>
          <w:iCs w:val="1"/>
          <w:color w:val="auto"/>
        </w:rPr>
        <w:t>direttori generali</w:t>
      </w:r>
      <w:r>
        <w:rPr>
          <w:rFonts w:ascii="Arial" w:cs="Arial" w:eastAsia="Arial" w:hAnsi="Arial"/>
          <w:sz w:val="17"/>
          <w:szCs w:val="17"/>
          <w:color w:val="auto"/>
        </w:rPr>
        <w:t>) in, competing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Under Italian law, directors may be removed from office at any time by the vote of shareholders at any shareholders’ meeting. Whilst the removal is immediately effective within the company, it is effective </w:t>
      </w:r>
      <w:r>
        <w:rPr>
          <w:rFonts w:ascii="Arial" w:cs="Arial" w:eastAsia="Arial" w:hAnsi="Arial"/>
          <w:sz w:val="17"/>
          <w:szCs w:val="17"/>
          <w:i w:val="1"/>
          <w:iCs w:val="1"/>
          <w:color w:val="auto"/>
        </w:rPr>
        <w:t>vis-à-vis</w:t>
      </w:r>
      <w:r>
        <w:rPr>
          <w:rFonts w:ascii="Arial" w:cs="Arial" w:eastAsia="Arial" w:hAnsi="Arial"/>
          <w:sz w:val="17"/>
          <w:szCs w:val="17"/>
          <w:color w:val="auto"/>
        </w:rPr>
        <w:t xml:space="preserve"> third parties only upon entry of the relevant resolution in the companies register. The resolution of the shareholders’ meeting in favor of a liability suit against a director and the occurrence of causes of ineligibility constitute just cause for removal. If the removal of a director occurs without just cause, such director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the board of directors and to the chairman of the board of statutory auditors. The board of directors must appoint substitute directors to fill vacancies arising from the removal or resignation of any director, subject to the approval of the board of statutory auditors, to serve until the next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members of the board of directors (or the board of statutory auditors if all members of the board of directors have resigned or cease to be directors) must promptly call a shareholders’ meeting to elect new directors.</w:t>
      </w:r>
    </w:p>
    <w:p>
      <w:pPr>
        <w:spacing w:after="0" w:line="20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Compensation, Nomination and Governance Committee will recommend the compensation of our directors to the board of directors, which in turn will make recommendations to our shareholders. Under Italian law, our shareholders determine the compensation of our directors relating to basic board service, such as annual fees for serving on the board and/or fees for attending board meetings. The board of directors, after consultation with the board of statutory auditors, may determine the remuneration of directors that serve on the various board committees and/or perform management or other special services for the Company, such as managing directors and general directors. Our directors are entitled to reimbursement for expenses incurred in connection with their service as directors, such as travel expenses to attend board meetings.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the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2" w:name="page163"/>
    <w:bookmarkEnd w:id="162"/>
    <w:p>
      <w:pPr>
        <w:ind w:right="20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must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serve as statutory auditors:</w:t>
      </w:r>
    </w:p>
    <w:p>
      <w:pPr>
        <w:spacing w:after="0" w:line="214"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person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Following the expiration of the members of the board of statutory auditors currently in office, future members will be elected by means of a slate voting mechanism: slates may be submitted by shareholders representing, individually or collectively with other shareholders joining in the submission of the slate, at least 6% of share capital eligible to vote at the shareholders’ meeting at which auditors are to be elected, such eligibility to be established by filing with the Company an appropriate certification to that effect. The slates of candidates shall be split into two sections, one for candidates for the position of statutory auditor and one for candidates for the position of alternate auditor. According to the Company’s bylaws, the board of statutory auditors will be elected as follows: (a) two statutory auditors and one alternate auditor shall be drawn from the slate that has obtained the highest number of votes on the shareholders meeting (the Majority Slate), in the order in which their name is listed in the Majority Slate, and(b) the remaining statutory auditor (who will act as President of the board of statutory auditors) and alternate auditor shall be drawn from the slate that receives the second greatest number of votes cast (the Minority Slate) so long as none of the shareholders joining in the submission of the Minority Slate has any connection whatsoever, whether directly or indirectly, with the shareholders who have submitted or voted the Majority Slate.</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join in submitting, or cast their vote for more than one slate, including through a nominee or agent. Each candidate for election as statutory auditor or alternate auditor may only be listed on single slate and will be ineligible for election if named on multiple slates.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statutory auditors to be filled as provided under paragraph (a) above, all candidates listed in the Majority Slate shall be elected statutory auditors and the remaining statutory auditors shall be drawn from the Minority Slate according to the order in which they are listed in such slate. The voting procedure according to slates provided above shall be applicable only in case of election of the entire board of statutory auditors.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statutory auditors shall be elected from that slate in accordance with applicable law at the time. If no slates are submitted, or a single slate is submitted and such slate does not obtain the requisite number of votes, or the number of statutory auditors to be elected on the basis of the slates submitted is less than the full number of statutory auditors to be elected, or the board of statutory auditors is not to be entirely elected, or it is otherwise not possible for any reason to elect the board of statutory auditors in accordance with the provisions of this title, the members of the board of statutory auditors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In the event of the resignation or removal termination of a member of the board of statutory auditors who was drawn from the Majority Slate or from the Minority Slate, as the case may be, alternate statutory auditors drawn from the same slate shall fill the vacancy, with older alternates being seated before younger alternates, subject to compliance with the requirements of our bylaws regarding the composition of the board of statutory auditors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statutory auditors may decide to call a shareholders’ meeting,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(as defined in Section “Applicable Laws”),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578"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Mayer Hoffman McCann, P.C. remains the PCAOB-registered, independent registered public accounting firm for the purposes of all of our filings in the United States; however, 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for statutory filings.This is separate and apart from the work of Mayer Hoffman McCann, P.C. The Italian external auditor’s opinion on the financial statements must be published in Italy.</w:t>
      </w:r>
    </w:p>
    <w:p>
      <w:pPr>
        <w:spacing w:after="0" w:line="21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Italian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removal, the Company and the external auditor or auditing firm must timely inform the Italian Ministry of Economics and Finance, explaining the reasons justifying the removal. In case we are considered an Open Company, such communication must be notified also to Consob.</w:t>
      </w:r>
    </w:p>
    <w:p>
      <w:pPr>
        <w:spacing w:after="0" w:line="198"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On May 20, 2021, our shareholders appointed Kreston GV Italy – Audit S.r.l., subject to the effective listing of the Company on the Nasdaq Capital Market, as our Italian external auditors for three-year term expiring at the time of the annual shareholders meeting to approve the financial statement for the financial year ending on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the board of directors (or by the board of statutory auditors) and must be called if requested by holders of at least 10% of the outstanding shares. Shareholders are not entitled to request that a meeting of shareholders be convened to vote on issues which as a matter of law fall within the authority of the board of directors. If the shareholders’ meeting is not called despite a shareholders’ request and such refusal is unjustified, a competent court may call the meeting.</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hold meetings of shareholders at our registered office, or elsewhere within Italy and any member state of the European Union or in the United States. Our bylaws provides that shareholders’ meetings, both ordinary and extraordinary, shall be called by notice published in the Italian daily newspaper “Il Sole 24 Ore” at least 15 days prior to the date of the meeting or otherwise given by our Company, provided that so long as the Company is allowed by applicable Italian law, by sending, either in the alternative or in addition to the foregoing published notice, a notice to the shareholders, to the members of the board of directors and to the members of the board of statutory auditors, by: (a) registered mail with return receipt requested; (b) e-mail with electronic acknowledgment of receipt; as long as the notice is received by the addressee at least eight calendar days before the date set for the meeting with evidence thereof as provided above. The notice shall also be posted on our Company’s web site.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 provided that in such event, any shareholder or other participant present may object to the discussion of items with respect to which he/she does not deem to have been adequately informed.</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4" w:name="page165"/>
    <w:bookmarkEnd w:id="164"/>
    <w:p>
      <w:pPr>
        <w:ind w:firstLine="648"/>
        <w:spacing w:after="0" w:line="271" w:lineRule="auto"/>
        <w:rPr>
          <w:sz w:val="20"/>
          <w:szCs w:val="20"/>
          <w:color w:val="auto"/>
        </w:rPr>
      </w:pPr>
      <w:r>
        <w:rPr>
          <w:rFonts w:ascii="Arial" w:cs="Arial" w:eastAsia="Arial" w:hAnsi="Arial"/>
          <w:sz w:val="17"/>
          <w:szCs w:val="17"/>
          <w:color w:val="auto"/>
        </w:rPr>
        <w:t>We may call extraordinary shareholders’ meetings to vote upon spin-offs, split-ups, dissolutions, appointment of receivers and similar extraordinary actions. We may also call extraordinary shareholders’ meetings to vote upon proposed amendments to our bylaws, issuance of convertible debentures, mergers and de-mergers and capital increases and reductions, if such actions may not be authorized by the board of directors without shareholder approval.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0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quorum for an ordinary meeting of our shareholders on the first call, also in the event we are considered an Open Company, is at least 50% of the outstanding ordinary shares, while on second call there is no quorum requirement. In either case, resolutions may be adopted with the majority of ordinary shares in attendance or represented at the meeting. The quorum for an extraordinary shareholders’ meeting is more than half of the outstanding ordinary shares on the first call and more than one-third of the outstanding shares on second call. Extraordinary shareholders’ meeting resolutions may be adopted with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shares present or represented at such meeting, provided that a quorum of at least half of the share capital is attending; on second call, the majority of at least two-thirds of the shares present or represented at such meeting, provided that a quorum of more than one-third of the share capital is attending. In addition, certain matters (such as, for example, a change in our corporate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1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Shareholders may appoint proxies or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spacing w:after="0" w:line="17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(so-called Italian </w:t>
      </w:r>
      <w:r>
        <w:rPr>
          <w:rFonts w:ascii="Arial" w:cs="Arial" w:eastAsia="Arial" w:hAnsi="Arial"/>
          <w:sz w:val="16"/>
          <w:szCs w:val="16"/>
          <w:i w:val="1"/>
          <w:iCs w:val="1"/>
          <w:color w:val="auto"/>
        </w:rPr>
        <w:t>“Golden Power” regulations</w:t>
      </w:r>
      <w:r>
        <w:rPr>
          <w:rFonts w:ascii="Arial" w:cs="Arial" w:eastAsia="Arial" w:hAnsi="Arial"/>
          <w:sz w:val="16"/>
          <w:szCs w:val="16"/>
          <w:color w:val="auto"/>
        </w:rPr>
        <w:t xml:space="preserve">),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among others</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with respect to companies having assets and business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Any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this offering, the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should be noted that under Italian corporate law, while joint-stock companies are all the same type of legal entity, there is a distinction between those companies that do not have access to the capital markets (</w:t>
      </w:r>
      <w:r>
        <w:rPr>
          <w:rFonts w:ascii="Arial" w:cs="Arial" w:eastAsia="Arial" w:hAnsi="Arial"/>
          <w:sz w:val="18"/>
          <w:szCs w:val="18"/>
          <w:i w:val="1"/>
          <w:iCs w:val="1"/>
          <w:color w:val="auto"/>
        </w:rPr>
        <w:t>Private Companies</w:t>
      </w:r>
      <w:r>
        <w:rPr>
          <w:rFonts w:ascii="Arial" w:cs="Arial" w:eastAsia="Arial" w:hAnsi="Arial"/>
          <w:sz w:val="18"/>
          <w:szCs w:val="18"/>
          <w:color w:val="auto"/>
        </w:rPr>
        <w:t>) and companies that have such access. This latter category comprises both companies listed on European regulated markets (</w:t>
      </w:r>
      <w:r>
        <w:rPr>
          <w:rFonts w:ascii="Arial" w:cs="Arial" w:eastAsia="Arial" w:hAnsi="Arial"/>
          <w:sz w:val="18"/>
          <w:szCs w:val="18"/>
          <w:i w:val="1"/>
          <w:iCs w:val="1"/>
          <w:color w:val="auto"/>
        </w:rPr>
        <w:t>Public Companies</w:t>
      </w:r>
      <w:r>
        <w:rPr>
          <w:rFonts w:ascii="Arial" w:cs="Arial" w:eastAsia="Arial" w:hAnsi="Arial"/>
          <w:sz w:val="18"/>
          <w:szCs w:val="18"/>
          <w:color w:val="auto"/>
        </w:rPr>
        <w:t>) and companies whose securities are not listed on such markets, insofar as they have completed a significant distribution of their securities among the public (so-called “</w:t>
      </w:r>
      <w:r>
        <w:rPr>
          <w:rFonts w:ascii="Arial" w:cs="Arial" w:eastAsia="Arial" w:hAnsi="Arial"/>
          <w:sz w:val="18"/>
          <w:szCs w:val="18"/>
          <w:i w:val="1"/>
          <w:iCs w:val="1"/>
          <w:color w:val="auto"/>
        </w:rPr>
        <w:t>emittenti aventi strumenti finanziari diffusi tra il pubblico in</w:t>
      </w:r>
      <w:r>
        <w:rPr>
          <w:rFonts w:ascii="Arial" w:cs="Arial" w:eastAsia="Arial" w:hAnsi="Arial"/>
          <w:sz w:val="18"/>
          <w:szCs w:val="18"/>
          <w:color w:val="auto"/>
        </w:rPr>
        <w:t xml:space="preserve"> </w:t>
      </w:r>
      <w:r>
        <w:rPr>
          <w:rFonts w:ascii="Arial" w:cs="Arial" w:eastAsia="Arial" w:hAnsi="Arial"/>
          <w:sz w:val="18"/>
          <w:szCs w:val="18"/>
          <w:i w:val="1"/>
          <w:iCs w:val="1"/>
          <w:color w:val="auto"/>
        </w:rPr>
        <w:t>maniera rilevante</w:t>
      </w:r>
      <w:r>
        <w:rPr>
          <w:rFonts w:ascii="Arial" w:cs="Arial" w:eastAsia="Arial" w:hAnsi="Arial"/>
          <w:sz w:val="18"/>
          <w:szCs w:val="18"/>
          <w:color w:val="auto"/>
        </w:rPr>
        <w:t>”), according to the relevant provisions set forth in Italian Financials’ Consolidated Act and its implementing provisions (</w:t>
      </w:r>
      <w:r>
        <w:rPr>
          <w:rFonts w:ascii="Arial" w:cs="Arial" w:eastAsia="Arial" w:hAnsi="Arial"/>
          <w:sz w:val="18"/>
          <w:szCs w:val="18"/>
          <w:i w:val="1"/>
          <w:iCs w:val="1"/>
          <w:color w:val="auto"/>
        </w:rPr>
        <w:t>Open Companies</w:t>
      </w:r>
      <w:r>
        <w:rPr>
          <w:rFonts w:ascii="Arial" w:cs="Arial" w:eastAsia="Arial" w:hAnsi="Arial"/>
          <w:sz w:val="18"/>
          <w:szCs w:val="18"/>
          <w:color w:val="auto"/>
        </w:rPr>
        <w:t>).</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having at least 500 shareholders in addition to the majority shareholders who hold at least 5% of the outstanding share capital;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exceeding at least two out of the following three thresholds:</w:t>
      </w:r>
    </w:p>
    <w:p>
      <w:pPr>
        <w:spacing w:after="0" w:line="279" w:lineRule="exact"/>
        <w:rPr>
          <w:rFonts w:ascii="Arial" w:cs="Arial" w:eastAsia="Arial" w:hAnsi="Arial"/>
          <w:sz w:val="18"/>
          <w:szCs w:val="18"/>
          <w:color w:val="auto"/>
        </w:rPr>
      </w:pPr>
    </w:p>
    <w:p>
      <w:pPr>
        <w:ind w:left="1620" w:hanging="316"/>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total assets side of €4.4 million;</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total revenues of €8.8 million; and,</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 average of 50 employees during the year.</w:t>
      </w:r>
    </w:p>
    <w:p>
      <w:pPr>
        <w:spacing w:after="0" w:line="2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following completion of this offering, we issue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reserved the symbol “GNTA” for purposes of listing the ADSs on the Nasdaq Capital Market.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of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 register is currently kept by Spafid S.p.A., which acts as registrar. The share register reflects only record owners of our ordinary shares.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0" w:name="page171"/>
    <w:bookmarkEnd w:id="170"/>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2" w:name="page173"/>
    <w:bookmarkEnd w:id="172"/>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3" w:name="page174"/>
    <w:bookmarkEnd w:id="173"/>
    <w:p>
      <w:pPr>
        <w:jc w:val="both"/>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4" w:name="page175"/>
    <w:bookmarkEnd w:id="174"/>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resolution and the related documents with the companies’ register. This time limit, in particular, is intended to allow the company’s creditors, subject to limited exceptions, to file an opposition to the merger, provided however that if such an opposition is deemed groundless and the company has given adequate financial assurances, the competent court may nevertheless decide that the merger shall take place notwithstanding the opposition.</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Italian law also provides for simplified forms of merger (with less documentation needed) in cases where the merger is carried out by combining wholly-owned subsidiaries and subsidiaries which are at least 90% owned. In both cases the decision to merge is delegated to the board of directors, provided that the company’s bylaws (as in our case) so provide. The delegation of powers to the board of directors does not, in any event, release it from the obligation to file and/or publish, as the case may be, the merger plan in order to inform shareholders of the merger and to postpone consummation for 30 days from the filing/publication of the merger plan, unless the shareholders waive their right. Shareholders of the “acquiring” company representing at least 5% of the share capital may request the decision on the merger to be taken by the extraordinary shareholders’ meeting. In such a case the authority to approve the merger shifts to the extraordinary shareholders’ meeting, as provided for the non-simplified procedure.</w:t>
      </w:r>
    </w:p>
    <w:p>
      <w:pPr>
        <w:spacing w:after="0" w:line="200"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78" w:name="page179"/>
    <w:bookmarkEnd w:id="17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the company be classified as an Open Company, the board of statutory auditors must investigate without delay and report its findings and recommendations at a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of the company’s business that may cause damage to the company, shareholders representing, in Private Companies, one-tenth of the share capital or, in Open Companies, one-twentieth of the share capital can report the facts to a competent court. The court, having heard the directors and the statutory auditors, may order an investigation of the matter. The court will not order an investigation and will delay legal proceedings for a fixed period if the shareholders replace the directors and the statutory auditors and the new directors and auditors take action without delay to ascertain whether wrongdoing has been committed and, if so, to remedy it, report to the court their findings and the actions undertaken by them. If the reported wrongdoing did occur or if the investigations fail to address the matters at issue, the court may order appropriate provisional measures and call a shareholders’ meeting to adopt appropriate resolutions. In the most serious cases, the court can replace directors and the statutory auditors and appoint a receiver, determining his or her powers and duration of office.</w:t>
      </w:r>
    </w:p>
    <w:p>
      <w:pPr>
        <w:spacing w:after="0" w:line="2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Liability claims against directors and general managers may be brought either by the shareholders through resolutions approved at a shareholders’ meeting, by the board of statutory auditors (following a resolution passed with the favorable vote of two thirds of its members) or directly by shareholders representing a specified percentage of the share capital.</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reference to resolutions to be adopted at a shareholders’ meeting, a resolution concerning the liability of directors may be approved at a meeting for that purpose or at the meeting called to approve the financial statements. Unless otherwise provided for in the bylaws, resolution shall require approval by standard majority. Claims against directors are subject to a five year statute of limitations from the date of termination of the director’s office and can be waived or settled upon resolution approved by the shareholder, unless shareholders representing at least one-fifth of the share capital, in Private Companies such as ours, or, in Open Companies, one-twentieth of the share capital, vote against the resolution. The legal costs of such action shall be borne by the company unless the court orders the directors, statutory auditors or general managers to pay them.</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Shareholders representing a certain percentage of the share capital may bring claims against directors. In case of a Private Company such as ours, the percentage required is one-fifth of the share capital, while for an Open Company the percentage is one-fortieth of the share capital.</w:t>
      </w:r>
    </w:p>
    <w:p>
      <w:pPr>
        <w:spacing w:after="0" w:line="184" w:lineRule="exact"/>
        <w:rPr>
          <w:sz w:val="20"/>
          <w:szCs w:val="20"/>
          <w:color w:val="auto"/>
        </w:rPr>
      </w:pPr>
    </w:p>
    <w:p>
      <w:pPr>
        <w:sectPr>
          <w:pgSz w:w="11900" w:h="16838" w:orient="portrait"/>
          <w:cols w:equalWidth="0" w:num="2">
            <w:col w:w="5480" w:space="26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79" w:name="page180"/>
    <w:bookmarkEnd w:id="17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compliance with applicable law or the bylaws may be challenged (with certain limitations and exceptions) within 90 days of such resolution (or, if such resolution is subject to registration or filing with the Italian Company Register, within 90 days of its registration or filing) by shareholders who did not attend the meeting, dissented or abstained representing, individually or in the aggregate, at least 5% of the share capital in case of a Private Company such as ours, or for an Open Company, at least one per thousand of the share capital, as well as by the board of directors or the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resolution being challenged, in order to preserve the rights of challengers. Dissenting or absent shareholders may withdraw from the company as a result of shareholders’ resolutions approving, among other things, material modifications to the corporate purpose, the rights attached to ordinary shares (e.g., voting rights and/or economic rights related to ordinary shares), conversion from a share corporation into a different legal entity or a transfer of the registered office outside of Italy. Under any such circumstances, non-withdrawing shareholders would have pre-emptive rights to purchase the shares of the withdrawing shareholders. Should no shareholder exercise its pre-emptive rights, the shares must be offered to third parties. If no third-party desires to purchase the shares, the Company must purchase them out of available reserves. In the event that there are no reserves available, the company must reduce its capital accordingly. According to Italian law, the liquidation value of any such shares must be on terms determined by the board of directors, after consultation with the board of statutory auditors and the external auditor, after careful consideration of the company’s net asset value, prospective earnings and the market value of the ordinary shares. Under Italian law, a company may include provisions in its bylaws governing the criteria for determining the liquidation value of shares in the event of withdrawal. We have not done so as of the date of this offering.</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0" w:name="page181"/>
    <w:bookmarkEnd w:id="18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240"/>
          </w:cols>
          <w:pgMar w:left="320" w:top="711" w:right="33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resolution adopted at as shareholders’ meeting. The compensation of the chief executive officers shall be established by the board of directors, with input from the board of statutory auditors. If the bylaws so provide, the shareholders’ meeting may determine a total amount for the compensation of all directors, including the chief executive officer.</w:t>
      </w:r>
    </w:p>
    <w:p>
      <w:pPr>
        <w:spacing w:after="0" w:line="160" w:lineRule="exact"/>
        <w:rPr>
          <w:sz w:val="20"/>
          <w:szCs w:val="20"/>
          <w:color w:val="auto"/>
        </w:rPr>
      </w:pPr>
    </w:p>
    <w:p>
      <w:pPr>
        <w:sectPr>
          <w:pgSz w:w="11900" w:h="16838" w:orient="portrait"/>
          <w:cols w:equalWidth="0" w:num="2">
            <w:col w:w="5260" w:space="480"/>
            <w:col w:w="5500"/>
          </w:cols>
          <w:pgMar w:left="320" w:top="711" w:right="339" w:bottom="264"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is elected by resolution adopted at the annual shareholders’ meeting of the Company for the period established at the time of election but in no case for longer than three fiscal years. Directors may, but are not required to be, shareholders and may be reappointed for successive terms.</w:t>
      </w:r>
    </w:p>
    <w:p>
      <w:pPr>
        <w:spacing w:after="0" w:line="183" w:lineRule="exact"/>
        <w:rPr>
          <w:sz w:val="20"/>
          <w:szCs w:val="20"/>
          <w:color w:val="auto"/>
        </w:rPr>
      </w:pPr>
    </w:p>
    <w:p>
      <w:pPr>
        <w:sectPr>
          <w:pgSz w:w="11900" w:h="16838" w:orient="portrait"/>
          <w:cols w:equalWidth="0" w:num="2">
            <w:col w:w="5300" w:space="440"/>
            <w:col w:w="5500"/>
          </w:cols>
          <w:pgMar w:left="320" w:top="711" w:right="339" w:bottom="264"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spacing w:after="0" w:line="6055" w:lineRule="exact"/>
        <w:rPr>
          <w:sz w:val="20"/>
          <w:szCs w:val="20"/>
          <w:color w:val="auto"/>
        </w:rPr>
      </w:pPr>
    </w:p>
    <w:p>
      <w:pPr>
        <w:sectPr>
          <w:pgSz w:w="11900" w:h="16838" w:orient="portrait"/>
          <w:cols w:equalWidth="0" w:num="2">
            <w:col w:w="5480" w:space="260"/>
            <w:col w:w="5500"/>
          </w:cols>
          <w:pgMar w:left="320" w:top="711" w:right="33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264"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020"/>
          </w:cols>
          <w:pgMar w:left="320" w:top="711" w:right="5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Italian law, directors must perform their duties and responsibilities with the degree of diligence required by the nature of their tasks and according to their level of competence.</w:t>
      </w:r>
    </w:p>
    <w:p>
      <w:pPr>
        <w:spacing w:after="0" w:line="4584" w:lineRule="exact"/>
        <w:rPr>
          <w:sz w:val="20"/>
          <w:szCs w:val="20"/>
          <w:color w:val="auto"/>
        </w:rPr>
      </w:pPr>
    </w:p>
    <w:p>
      <w:pPr>
        <w:sectPr>
          <w:pgSz w:w="11900" w:h="16838" w:orient="portrait"/>
          <w:cols w:equalWidth="0" w:num="2">
            <w:col w:w="5520" w:space="220"/>
            <w:col w:w="5280"/>
          </w:cols>
          <w:pgMar w:left="320" w:top="711" w:right="5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11" w:right="55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Italian law, a shareholders’ meeting, both ordinary and extraordinary, may be called by the board of directors and must be called if requested by holders of at least 10% of the share capital in the case of a Private Company, as is our case, or for an Open Company, at least 5% of the share capital, unless in either case the bylaws establish a lower threshold. Shareholders are not entitled to request that a meeting of shareholders be convened to vote on issues which as a matter of law are within the authority of the board of directors. If a request by the shareholders for a meeting is rejected by the board of directors, and such refusal is unjustified, the meeting may be called by a competent court.</w:t>
      </w:r>
    </w:p>
    <w:p>
      <w:pPr>
        <w:spacing w:after="0" w:line="164"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Registered holders of the Company’s ordinary shares are entitled to attend and vote at all ordinary and extraordinary shareholders’ meetings.</w:t>
      </w:r>
    </w:p>
    <w:p>
      <w:pPr>
        <w:spacing w:after="0" w:line="15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shareholders representing at least 10% of the share capital in the case of a Private Company, as is our case, or for an Open Company, at least 5% of the share capital, unless in either case the bylaws establish lower threshold, request the board of directors to call a meeting of shareholders, they must set out in their request the proposals to be discussed.</w:t>
      </w:r>
    </w:p>
    <w:p>
      <w:pPr>
        <w:spacing w:after="0" w:line="157"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Directors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The removal is immediately effective against third parties only upon entry of the relevant resolution in the Companies Register.</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resolution approved at a shareholders’ meeting of claim for liability against a director or the occurrence of causes of ineligibility to serve under applicable law constitute just cause for removal.</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removal of a director is without just cause, the director may have a claim for damages against the company.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of directors, and the substitute will serve until the next ordinary shareholders’ meeting. If, at any time, more than half of the members of the board of directors elected by shareholders resign, such resignation is ineffective until a majority of the new board of directors has been elected. In such a case, the remaining members of the board of directors (or the board of statutory auditors if all the members of the board of directors have resigned or ceased to be directors) must promptly call an ordinary shareholders’ meeting to elect new directors.</w:t>
      </w:r>
    </w:p>
    <w:p>
      <w:pPr>
        <w:spacing w:after="0" w:line="163" w:lineRule="exact"/>
        <w:rPr>
          <w:sz w:val="20"/>
          <w:szCs w:val="20"/>
          <w:color w:val="auto"/>
        </w:rPr>
      </w:pPr>
    </w:p>
    <w:p>
      <w:pPr>
        <w:sectPr>
          <w:pgSz w:w="11900" w:h="16838" w:orient="portrait"/>
          <w:cols w:equalWidth="0" w:num="2">
            <w:col w:w="5360" w:space="38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00"/>
          </w:cols>
          <w:pgMar w:left="320" w:top="711" w:right="37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Italian law provides that a resolution approved at a shareholders’ meeting with the vote of shareholders who have, directly or indirectly, a conflict of interest with the company may be challenged.</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Italian law, a director having a personal interest in a proposed transaction must disclose his or her interest to the board of directors and to the board of statutory auditors, even if such interest does not conflict with the company’s interest in the transaction. The interested director is not required to abstain from voting on the resolution approving the transaction, but the resolution must explicitly state the reasons for the approved transaction and the benefit of the transaction to the company. If these provisions are not complied with, or if the transaction would not have been approved without the vote of the interested director, the resolution may be challenged within 90 days by any director or by the board of statutory auditors on grounds that the approved transaction would be prejudicial to the company. An authorized representative of the company having any interest in a proposed transaction that he or she has authority to approve must solicit prior board approval before consenting to such transaction. An interested director may be held liable for damages to the company resulting from a resolution adopted in breach of the above requirements. Finally, a director may be held liable for illicitly profiting from insider information or a corporate opportunity.</w:t>
      </w:r>
    </w:p>
    <w:p>
      <w:pPr>
        <w:spacing w:after="0" w:line="200" w:lineRule="exact"/>
        <w:rPr>
          <w:sz w:val="20"/>
          <w:szCs w:val="20"/>
          <w:color w:val="auto"/>
        </w:rPr>
      </w:pPr>
    </w:p>
    <w:p>
      <w:pPr>
        <w:sectPr>
          <w:pgSz w:w="11900" w:h="16838" w:orient="portrait"/>
          <w:cols w:equalWidth="0" w:num="2">
            <w:col w:w="5420" w:space="320"/>
            <w:col w:w="5460"/>
          </w:cols>
          <w:pgMar w:left="320" w:top="711" w:right="379" w:bottom="1440" w:gutter="0" w:footer="0" w:header="0"/>
          <w:type w:val="continuous"/>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and subject to the satisfaction of the claims of all creditors, upon liquidation shareholders are entitled to a distribution that is equal to a per share amount equal to positive liquidation balance divided by the number of shares outstanding. Asset distribution to preferred shareholders and holders of “participating certificates” upon corporate dissolution is typically provided by established contractual preferences. Once the rights of preferred shareholders and holders of participating certificates have been fully satisfied, holders of ordinary shares are entitled to any remaining assets.</w:t>
      </w:r>
    </w:p>
    <w:p>
      <w:pPr>
        <w:spacing w:after="0" w:line="176"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Italian law allows the Company to issue preference shares with limited voting rights, other classes of equity securities with different economic and voting rights, shares with economic rights related to the results of the corporate activity in a specific sector, “participation instruments” (</w:t>
      </w:r>
      <w:r>
        <w:rPr>
          <w:rFonts w:ascii="Arial" w:cs="Arial" w:eastAsia="Arial" w:hAnsi="Arial"/>
          <w:sz w:val="17"/>
          <w:szCs w:val="17"/>
          <w:i w:val="1"/>
          <w:iCs w:val="1"/>
          <w:color w:val="auto"/>
        </w:rPr>
        <w:t>strumenti</w:t>
      </w:r>
      <w:r>
        <w:rPr>
          <w:rFonts w:ascii="Arial" w:cs="Arial" w:eastAsia="Arial" w:hAnsi="Arial"/>
          <w:sz w:val="17"/>
          <w:szCs w:val="17"/>
          <w:color w:val="auto"/>
        </w:rPr>
        <w:t xml:space="preserve"> </w:t>
      </w:r>
      <w:r>
        <w:rPr>
          <w:rFonts w:ascii="Arial" w:cs="Arial" w:eastAsia="Arial" w:hAnsi="Arial"/>
          <w:sz w:val="17"/>
          <w:szCs w:val="17"/>
          <w:i w:val="1"/>
          <w:iCs w:val="1"/>
          <w:color w:val="auto"/>
        </w:rPr>
        <w:t>finanziari partecipativi</w:t>
      </w:r>
      <w:r>
        <w:rPr>
          <w:rFonts w:ascii="Arial" w:cs="Arial" w:eastAsia="Arial" w:hAnsi="Arial"/>
          <w:sz w:val="17"/>
          <w:szCs w:val="17"/>
          <w:color w:val="auto"/>
        </w:rPr>
        <w:t>) with limited economic and voting rights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Italian law, the charter documents consist of articles of association and bylaws. An amendment to these documents requires the approval of shareholders at an extraordinary shareholders’ meeting with the following majorities for a Private Company, such as ours: on the first call, more than half of the share capital, and on the second call, at least two-thirds of the shares present or represented at the meeting, provided that a quorum of more than one-third of the share capital is present or represented. Certain matters (such as a change in business purpose or corporate form, demergers, mergers, the transfer of the registered office outside Italy, liquidation prior to the term set forth in its bylaws, extension of the company’s term, the revocation of liquidation and the issuance of special categories of shares) must be approved by the extraordinary shareholders’ meeting pursuant to the same requirements.</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 Open Company, according to Italian law, such resolutions are adopted, on the first call, by a majority of at least two-thirds of the shares present or represented at such meeting, provided that a quorum of at least half of the share capital is present or represented; on the second call, by a majority of at least two-thirds of the shares present or represented at such meeting, provided that a quorum of more than one-third of the share capital is present or represented; on the third and subsequent calls, by a majority of at least two-thirds of the shares present or represented at such meeting, provided that a quorum of at least one-fifth of the share capital is present or represented.</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its shares has the right to withdraw from the company.</w:t>
      </w:r>
    </w:p>
    <w:p>
      <w:pPr>
        <w:spacing w:after="0" w:line="192" w:lineRule="exact"/>
        <w:rPr>
          <w:sz w:val="20"/>
          <w:szCs w:val="20"/>
          <w:color w:val="auto"/>
        </w:rPr>
      </w:pPr>
    </w:p>
    <w:p>
      <w:pPr>
        <w:sectPr>
          <w:pgSz w:w="11900" w:h="16838" w:orient="portrait"/>
          <w:cols w:equalWidth="0" w:num="2">
            <w:col w:w="5380" w:space="36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the company and the report of the statutory auditors and external auditor on the financial statements during the 15 days prior to the ordinary shareholders’ meeting called to approve those financial statements. The report remains on file at the company’s office and is also filed with the Companies’ Register of Milan and made publicly available. Moreover, any shareholder is entitled to examine the ledger of the minutes of the shareholders’ meeting at any time.</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an Open Company, insofar as the ownership of the share capital may vary on a daily basis and transfers are electronically registered by intermediaries (banks and financial institutions), the record holder shall be determined according to certifications or communications to the company from intermediaries, based to their own accounting records.</w:t>
      </w:r>
    </w:p>
    <w:p>
      <w:pPr>
        <w:spacing w:after="0" w:line="172"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any payment of dividends must be proposed by the board of directors to the shareholders and is subject to shareholder approval at the annual ordinary shareholders’ meeting. Before dividends may be paid out of profits in any year, the company must allocate an amount equal to 5% of the net profit to a legal reserve until such reserve is at least equal to 20% of the corporate capital. If the corporate capital is reduced as a result of accumulated losses, the company may not pay dividends until the capital is reconstituted or reduced by the amount of such losses. The company may distribute reserves constituting earnings retained from prior years, provided that after such payment the company must have a legal reserve at least equal to the legally required minimum of 20% of corporate capital. If the minimum requirement of a reserve equal to 20% of corporate capital is met, the board of directors could propose the payment of a dividend and the shareholders approve it, the shareholders’ resolution must specify the manner and date of dividend payment. Any dividends which shareholders do not collect within five years of the payment date will be forfeited and the money returned to the company. The board of directors may not approve dividends during the period between annual ordinary shareholders’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40"/>
          </w:cols>
          <w:pgMar w:left="320" w:top="711" w:right="35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company are permitted to purchase outstanding shares, subject to certain conditions and limitations (so-called “</w:t>
      </w:r>
      <w:r>
        <w:rPr>
          <w:rFonts w:ascii="Arial" w:cs="Arial" w:eastAsia="Arial" w:hAnsi="Arial"/>
          <w:sz w:val="16"/>
          <w:szCs w:val="16"/>
          <w:i w:val="1"/>
          <w:iCs w:val="1"/>
          <w:color w:val="auto"/>
        </w:rPr>
        <w:t>azioni proprie</w:t>
      </w:r>
      <w:r>
        <w:rPr>
          <w:rFonts w:ascii="Arial" w:cs="Arial" w:eastAsia="Arial" w:hAnsi="Arial"/>
          <w:sz w:val="16"/>
          <w:szCs w:val="16"/>
          <w:color w:val="auto"/>
        </w:rPr>
        <w:t>”). A company may only purchase shares out of profits available for dividends or out of distributable reserves, in each case as appearing on the latest financial statements approved by shareholders. Further, the company may only repurchase fully paid-in shares. Such purchases and the conditions thereto must be authorized by the shareholders at an ordinary shareholders’ meeting and the approval may not be for a period exceeding 18 months. Shares purchases in excess of the amount approved by shareholders must be sold within one year of the date of purchase and, if not sold, must be cancelled and the corporate capital must be reduced accordingly. Similar limitations apply with respect to purchases of shares by subsidiaries.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reserve equal to the purchase price of such shares must be created on the balance sheet, and such reserve is not available for dividends, unless the shares are sold or cancelled. Shares purchased and held by the company may be resold only pursuant to a resolution adopted at an ordinary shareholders’ meeting. The voting rights attaching to the shares held by the company or its subsidiaries cannot be exercised, but the shares can be counted for quorum purposes. Dividends and other rights, including pre-emptive rights, attaching to such shares, will accrue to the benefit of other shareholders.</w:t>
      </w:r>
    </w:p>
    <w:p>
      <w:pPr>
        <w:spacing w:after="0" w:line="2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foregoing limitations do not apply in case the company purchases shares: (i) pursuant to a shareholder resolution approved at a shareholders’ meeting authorizing a capital reduction through repurchase or cancellation;</w:t>
      </w:r>
    </w:p>
    <w:p>
      <w:pPr>
        <w:spacing w:after="0" w:line="2" w:lineRule="exact"/>
        <w:rPr>
          <w:sz w:val="20"/>
          <w:szCs w:val="20"/>
          <w:color w:val="auto"/>
        </w:rPr>
      </w:pPr>
    </w:p>
    <w:p>
      <w:pPr>
        <w:ind w:right="20" w:firstLine="5"/>
        <w:spacing w:after="0" w:line="277" w:lineRule="auto"/>
        <w:tabs>
          <w:tab w:leader="none" w:pos="26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without consideration, to the extent the shares are fully paid-in; (iii) as a consequence of merger or demerger; (iv) by foreclosure to satisfy a debt owed to the company, to the extent the shares are fully paid-in.</w:t>
      </w:r>
    </w:p>
    <w:p>
      <w:pPr>
        <w:spacing w:after="0" w:line="20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Italian law, the issuance of any shares, ordinary or otherwise, requires an amendment to the bylaws to increase the share capital, which must be recommended to the shareholders by the board of directors and approved by the shareholders at an extraordinary shareholders’ meeting. The board of directors shall then be authorized to issue the securities according to the terms and conditions approved by shareholders. Alternatively, the shareholders can delegate the power to increase the share capital to the board of directors, but the board’s right to exercise such power for up to five years. If the board does not approve a capital increase within five years, the authority expires automatically.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properly held to approve the capital increase, the relevant resolution should be considered invalid, and any interested person may challenge the capital increase for a period of 90 days following the approval of the financial statements for the year during which the capital increase was executed in whole or in part. Finally, once shareholders authorize a capital increase, all the new authorized shares that have been subscribed must be paid-up in full before a new capital increase may be executed.</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means of shareholders’ extraordinary resolution, the company can also increase its corporate capital (without requesting contributions from its shareholders) by allocating to capital its available reserves and other funds registered in its financial statements (so-called “</w:t>
      </w:r>
      <w:r>
        <w:rPr>
          <w:rFonts w:ascii="Arial" w:cs="Arial" w:eastAsia="Arial" w:hAnsi="Arial"/>
          <w:sz w:val="16"/>
          <w:szCs w:val="16"/>
          <w:i w:val="1"/>
          <w:iCs w:val="1"/>
          <w:color w:val="auto"/>
        </w:rPr>
        <w:t>aumento di capitale</w:t>
      </w:r>
      <w:r>
        <w:rPr>
          <w:rFonts w:ascii="Arial" w:cs="Arial" w:eastAsia="Arial" w:hAnsi="Arial"/>
          <w:sz w:val="16"/>
          <w:szCs w:val="16"/>
          <w:color w:val="auto"/>
        </w:rPr>
        <w:t xml:space="preserve"> </w:t>
      </w:r>
      <w:r>
        <w:rPr>
          <w:rFonts w:ascii="Arial" w:cs="Arial" w:eastAsia="Arial" w:hAnsi="Arial"/>
          <w:sz w:val="16"/>
          <w:szCs w:val="16"/>
          <w:i w:val="1"/>
          <w:iCs w:val="1"/>
          <w:color w:val="auto"/>
        </w:rPr>
        <w:t>gratuito</w:t>
      </w:r>
      <w:r>
        <w:rPr>
          <w:rFonts w:ascii="Arial" w:cs="Arial" w:eastAsia="Arial" w:hAnsi="Arial"/>
          <w:sz w:val="16"/>
          <w:szCs w:val="16"/>
          <w:color w:val="auto"/>
        </w:rPr>
        <w:t>”). In this case, the newly issued shares must have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as those previously issued, and they must be placed to the shareholders proportionally to their shareholdings in the company.</w:t>
      </w:r>
    </w:p>
    <w:p>
      <w:pPr>
        <w:spacing w:after="0" w:line="193"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Italian law, shareholders and holders of convertible debentures are entitled to subscribe for newly issued ordinary shares or convertible debentures in proportion to their holdings at the time of authorization of the issuance, except in the case of contributions in kind. Those who exercise such option right, provided they make such request at the same time, have a further pre-emption right with respect to shares and debentures convertible into shares that have not been subscribed. The option rights may be excluded or limited by a shareholders’ resolution approved at an extraordinary meeting of the shareholders, if such exclusion or limitation is in the interest of the company, or if the shares are to be paid for by means of a contribution in kind.</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the share capital with the exclusion or limitation of pre-emptive rights must be accompanied by a report of the board of directors setting forth the reasons for the exclusion or limitation, or, if the exclusion derives from a contribution in kind, the reasons for such contribution in kind, and in all cases the criteria adopted for determining the issue price. The report must be communicated by the directors to the board of statutory auditors and to the external auditor at least 30 days prior to the date of the shareholders’ meeting at which the capital increase is to be approved. Within 15 days, the board of statutory auditors must express its opinion on the fairness of the issue price of the new shares. The opinion of the board of statutory auditors and, only in the case of contribution in kind, the sworn report of the expert appointed by a competent court or the documentation provided by Italian law, must be available at the company’s registered office during the 15 days prior to the shareholders’ meeting. Such terms may be waived by unanimous consent of the shareholders. The shareholders’ resolution shall determine the issue price of the shares on the basis of shareholders’ equity, taking into account, in the case of shares listed on a regulated market,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500"/>
          </w:cols>
          <w:pgMar w:left="320" w:top="711" w:right="3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0" w:name="page191"/>
    <w:bookmarkEnd w:id="19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180"/>
          </w:cols>
          <w:pgMar w:left="320" w:top="711" w:right="39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Under Italian law, a company may issue debt securities in an amount not to exceed twice the sum of its corporate capital, plus legal reserves and any other disposable reserves appearing on the latest balance sheet approved by the shareholders. The board of statutory auditors must certify compliance with such limitation. This limitation may be exceeded if the debt securities issued in excess are intended for subscription by professional investors subject to regulatory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a company must allocate 5% of its net income each year until it equals at least 20% of the corporate capital. Another reserve is a “share premium reserve,” which reflects the amount paid for ordinary shares in excess of the amount allocated to corporate capital. Until its outstanding debt securities are repaid in full, a company may not voluntarily reduce its corporate capital or distribute reserves (such as by declaring dividends) if, by doing so, it fails to meet the limitation indicated above. In the event of mandatory capital reduction, or if reserves reduce as a consequence of losses, the company may not distribute dividends until the aggregate of corporate capital and reserves, following such reduction of capital and/or distribution of reserves, is equal or exceeding half of the outstanding principal amount of debt securities. If our equity is reduced by losses or otherwise, such that the principal amount of outstanding debt securities is more than twice the amount of the company’s equity, the company cannot pay dividends to shareholders until the minimum ratio between the amount of debt securities and our capital and reserves is restored. Some legal scholars are of the opinion that the ratio must be restored by a recapitalization of the company. If equity is reduced, a company could recapitalize by means of issuing new shares or having current shareholders contribute additional capital, although there can be no assurance that we would be able to find purchasers for new shares or that any of our current shareholders would be willing to contribute additional capital. These provisions regarding the ratio of debt securities to corporate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00"/>
          </w:cols>
          <w:pgMar w:left="320" w:top="711" w:right="399" w:bottom="1440" w:gutter="0" w:footer="0" w:header="0"/>
          <w:type w:val="continuous"/>
        </w:sectPr>
      </w:pPr>
    </w:p>
    <w:bookmarkStart w:id="191" w:name="page192"/>
    <w:bookmarkEnd w:id="19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a company to reduce its shareholders’ equity in certain situations. Shareholders’ equity has three main components: capital, legal reserves and other shareholders’ equity (such as any premium paid for the shares over the nominal value and any retained earnings). Losses from operations are first offset against shareholders’ equity other than legal reserves and corporate capital. If additional losses remain and, after setting aside legal reserves, corporate capital is reduced by more than one-third as a result of losses, the board of directors must call a shareholders’ meeting as soon as possible. The shareholders, having received an updated report on the company’s financial situation accompanied by a report of the board of statutory auditors, should take appropriate measures, which may include, among others</w:t>
      </w:r>
      <w:r>
        <w:rPr>
          <w:rFonts w:ascii="Arial" w:cs="Arial" w:eastAsia="Arial" w:hAnsi="Arial"/>
          <w:sz w:val="16"/>
          <w:szCs w:val="16"/>
          <w:i w:val="1"/>
          <w:iCs w:val="1"/>
          <w:color w:val="auto"/>
        </w:rPr>
        <w:t>,</w:t>
      </w:r>
      <w:r>
        <w:rPr>
          <w:rFonts w:ascii="Arial" w:cs="Arial" w:eastAsia="Arial" w:hAnsi="Arial"/>
          <w:sz w:val="16"/>
          <w:szCs w:val="16"/>
          <w:color w:val="auto"/>
        </w:rPr>
        <w:t xml:space="preserve"> reducing the legal reserves and corporate capital by the amount of the remaining losses, or carrying the losses forward up to one year. If the shareholders vote to carry the losses forward up to one year, and the losses are still more than one-third of the amount of corporate capital at the end of that year, then the company must reduce its corporate capital by the amount of the losses suffered. An S.p.A. like us must have a corporate capital of at least €50,000. If the amount of the losses would reduce our corporate capital to less than €50,000, then:</w:t>
      </w:r>
    </w:p>
    <w:p>
      <w:pPr>
        <w:spacing w:after="0" w:line="196" w:lineRule="exact"/>
        <w:rPr>
          <w:sz w:val="20"/>
          <w:szCs w:val="20"/>
          <w:color w:val="auto"/>
        </w:rPr>
      </w:pPr>
    </w:p>
    <w:p>
      <w:pPr>
        <w:ind w:left="400" w:right="80" w:hanging="242"/>
        <w:spacing w:after="0" w:line="296" w:lineRule="auto"/>
        <w:tabs>
          <w:tab w:leader="none" w:pos="4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60" w:hanging="242"/>
        <w:spacing w:after="0" w:line="296" w:lineRule="auto"/>
        <w:tabs>
          <w:tab w:leader="none" w:pos="4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20" w:hanging="242"/>
        <w:spacing w:after="0" w:line="257" w:lineRule="auto"/>
        <w:tabs>
          <w:tab w:leader="none" w:pos="4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500"/>
          </w:cols>
          <w:pgMar w:left="320" w:top="71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3" w:name="page194"/>
    <w:bookmarkEnd w:id="193"/>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ind w:firstLine="8"/>
        <w:spacing w:after="0" w:line="292" w:lineRule="auto"/>
        <w:tabs>
          <w:tab w:leader="none" w:pos="24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4" w:name="page195"/>
    <w:bookmarkEnd w:id="194"/>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5" w:name="page196"/>
    <w:bookmarkEnd w:id="195"/>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6" w:name="page197"/>
    <w:bookmarkEnd w:id="196"/>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7" w:name="page198"/>
    <w:bookmarkEnd w:id="197"/>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Roth Capital Partners, LLC is acting as the representative of the underwriters named below. We have entered into an underwriting agreement dated December 14, 2021 with the Representative.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00" w:type="dxa"/>
            <w:vAlign w:val="bottom"/>
            <w:gridSpan w:val="2"/>
          </w:tcPr>
          <w:p>
            <w:pPr>
              <w:ind w:left="4000"/>
              <w:spacing w:after="0"/>
              <w:rPr>
                <w:sz w:val="20"/>
                <w:szCs w:val="20"/>
                <w:color w:val="auto"/>
              </w:rPr>
            </w:pPr>
            <w:r>
              <w:rPr>
                <w:rFonts w:ascii="Arial" w:cs="Arial" w:eastAsia="Arial" w:hAnsi="Arial"/>
                <w:sz w:val="14"/>
                <w:szCs w:val="14"/>
                <w:b w:val="1"/>
                <w:bCs w:val="1"/>
                <w:color w:val="auto"/>
              </w:rPr>
              <w:t>Underwriter</w:t>
            </w:r>
          </w:p>
        </w:tc>
        <w:tc>
          <w:tcPr>
            <w:tcW w:w="2240" w:type="dxa"/>
            <w:vAlign w:val="bottom"/>
            <w:gridSpan w:val="2"/>
          </w:tcPr>
          <w:p>
            <w:pPr>
              <w:ind w:left="540"/>
              <w:spacing w:after="0"/>
              <w:rPr>
                <w:sz w:val="20"/>
                <w:szCs w:val="20"/>
                <w:color w:val="auto"/>
              </w:rPr>
            </w:pPr>
            <w:r>
              <w:rPr>
                <w:rFonts w:ascii="Arial" w:cs="Arial" w:eastAsia="Arial" w:hAnsi="Arial"/>
                <w:sz w:val="14"/>
                <w:szCs w:val="14"/>
                <w:b w:val="1"/>
                <w:bCs w:val="1"/>
                <w:color w:val="auto"/>
              </w:rPr>
              <w:t>Number of ADSs</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Maxim Group LLC</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480,000</w:t>
            </w:r>
          </w:p>
        </w:tc>
      </w:tr>
      <w:tr>
        <w:trPr>
          <w:trHeight w:val="216"/>
        </w:trPr>
        <w:tc>
          <w:tcPr>
            <w:tcW w:w="8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2,400,000</w:t>
            </w:r>
          </w:p>
        </w:tc>
      </w:tr>
    </w:tbl>
    <w:p>
      <w:pPr>
        <w:spacing w:after="0" w:line="21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underwriters are committed to purchase all the ADSs offered by the Company, other than those covered by the over-allotment option to purchase additional ADSs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are subject to various representations and warranties and other customary conditions specified in the underwriting agreement, such as receipt by the underwriters of officers’ certificates and legal opinions.</w:t>
      </w:r>
    </w:p>
    <w:p>
      <w:pPr>
        <w:spacing w:after="0" w:line="20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have granted the underwriters an over-allotment option. This option, which is exercisable for up to 30 days after the date of this prospectus, permits the underwriters to purchase up to an aggregate of 360,000 additional ADSs (equal to 15% of the total number of ADSs sold in this offering) at the public offering price per share, less underwriting discounts and commissions, solely to cover over-allotments, if any. If the Representative exercises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Representative has advised us that the underwriters propose to offer the ADSs to the public at the initial public offering price per share set forth on the cover page of this prospectus. The underwriters may offer ADSs to securities dealers at that price less a concession of not more than $0.4025 per ADS. After the initial offering to the public, the public offering price and other selling terms may be changed by the Representative.</w:t>
      </w:r>
    </w:p>
    <w:p>
      <w:pPr>
        <w:spacing w:after="0" w:line="17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advisory fees payable to the underwriters and proceeds, before expenses, to us assuming both no exercise and full exercise by the underwriters of their over-allotment option: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 ADS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Without Option</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35,881,311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40,021,311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0.805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2,221,800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Advisory fee (Reserved Offering, 4.5%)</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372,659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372,659</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10.695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33,576,652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37,426,852</w:t>
            </w:r>
          </w:p>
        </w:tc>
      </w:tr>
      <w:tr>
        <w:trPr>
          <w:trHeight w:val="452"/>
        </w:trPr>
        <w:tc>
          <w:tcPr>
            <w:tcW w:w="50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200" w:name="page201"/>
    <w:bookmarkEnd w:id="200"/>
    <w:p>
      <w:pPr>
        <w:ind w:right="300" w:firstLine="648"/>
        <w:spacing w:after="0" w:line="301" w:lineRule="auto"/>
        <w:rPr>
          <w:sz w:val="20"/>
          <w:szCs w:val="20"/>
          <w:color w:val="auto"/>
        </w:rPr>
      </w:pPr>
      <w:r>
        <w:rPr>
          <w:rFonts w:ascii="Arial" w:cs="Arial" w:eastAsia="Arial" w:hAnsi="Arial"/>
          <w:sz w:val="16"/>
          <w:szCs w:val="16"/>
          <w:color w:val="auto"/>
        </w:rPr>
        <w:t>The underwriters have agreed that the maximum aggregate underwriting discounts and commissions shall not exceed 6.5% of the total gross proceeds from the offering. In addition, we have also agreed to pay the reasonable and documented expenses of the underwriters relating to the offering (including the costs of document preparation, production and distribution (such as printing and binding, and photocopies), and third-party research and database services, and the reasonable fees and disbursements of independent counsel), up to an aggregate of $470,000.</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estimate the expenses of this offering payable by us, not including underwriting discounts and commissions, will be approximately $1.4 million, including a $200,000 cash advisory fee payable to Roth if more than $5 million in gross proceeds are provided by investors from the United States and the United Kingdom.</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has granted to Roth Capital Partners, LLC and Maxim Group LLC a right of first refusal to act as underwriters in a future public or private offering by the Company. This right of first refusal complies with FINRA Rule 5110(g)(6) and is deemed to have an underwriting compensation value of 1% of the amount of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Warrants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the closing of this offering, we have agreed to issue to the Underwriters’ Warrants, or the Underwriters’ Warrants, to purchase up to 26,080 ADSs equal to 4% of the total number of ADSs sold in this public offering to investors other than (i) non-US retail, family office or institutional investors identified by the Company and mutually agreed with the Representative and (ii) existing investors in the Company. The Underwriters’ Warrants will be exercisable at a per share exercise price equal to 125% of the public offering price per ADS sold in this offering. The Underwriters’ Warrants are exercisable at any time and from time to time, in whole or in part, during the four and one-half year period commencing six months from the deemed effective date of the registration statement related to this offering. The Underwriters’ Warrants provide for customary antidilution provisions and contingent registration rights in compliance with FINRA Rule 5110(g)(8)(D).</w:t>
      </w:r>
    </w:p>
    <w:p>
      <w:pPr>
        <w:spacing w:after="0" w:line="19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Underwriters’ Warrants and the ADSs underlying the Underwriters’ Warrants have been deemed compensation by the Financial Industry Regulatory Authority, or FINRA, and are therefore subject to a 180-day lock-up pursuant to FINRA Rule 5110(g)(1). The holder, or permitted assignees under such rule, may not sell, transfer, assign, pledge, or hypothecate the Underwriters’ Warrants or the ADSs underlying the Underwriters’ Warrants, nor will the holder engage in any hedging, short sale, derivative, put, or call transaction that would result in the effective economic disposition of the Underwriters’ Warrants or the underlying ADSs for a period of 180 days from the deemed effective date of the registration statement. Additionally, the Underwriters’ Warrants may not be sold transferred, assigned, pledged or hypothecated for a 180-day period following the deemed effective date of the registration statement except to any underwriter and selected dealer participating in the offering and their bona fide officers or partners. The Underwriters’ Warrants will provide for adjustment in the number and price of the Underwriters’ Warrants and the ADSs underlying such Underwriters’ Warrants in the event of recapitalization, merger, stock split or other structural transaction, or a future financing undertaken by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Offering/Directed Share Program</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our request, 720,114 ordinary shares covered by the registration statement of which this prospectus is part have been reserved for sale, at the initial public offering price, by the Company, directly or through agents, in the Reserved Offering to existing shareholders of the Company, as a mitigant for the exclusion of pre-emptive rights as resolved by the general shareholders meeting of the Company in accordance with Italian corporate law and our by-laws. The Reserved Offering will be effected in compliance with the laws of Italy, at the same price to investors as the offering of ADSs. We will receive the proceeds from the Reserved Offering minus an advisory fee payable to the underwriters equal to 4.5% of the offering price of ordinary shares sold to existing shareholders. The offer and sale of ordinary shares in the Reserved Offering (i) is contingent upon the completion of the offering of ADSs and will commence and be consummated concurrently with such offering of ADSs, (ii) has been registered for purposes of the securities laws of the United States under the registration statement of which this prospectus is part, and (iii) is conducted in Italy under applicable exemptions from Italian and European regulations concerning prospectus.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 for a period of 180 days following the date of this prospectus, offer, sell, contract to sell, pledge, grant any option to purchase, purchase any option or contract to sell, right or warrant to purchase, make any short sale, file a registration statement with respect to any ordinary shares or ADSs or any securities that are convertible into or exercisable or exchangeable for ordinary shares or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our stockholders at the time of the Corporate Conversion to abide by the restrictions of the lock-up agreement. In addition, each of our directors and executive officers and each beneficial owner of 10% or more of the ADSs or ordinary shares will abide by similar 180-day lock-up agreement with respect to their ordinary shares, ADSs, depositary shares representing the ADSs and securities that are substantially similar to the ADSs or depositary shares representing our ordinary shares, subject to customary exceptions for transfers among affiliates. The restrictions of our lock-up agreement do not apply to: (1) 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ordinary shares purchased from us in the Reserved Offering and ADSs purchased from the underwriters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Prior to this offering, there has not been a public market for our securities in the U.S. and the public offering price for the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1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ADSs have been approved for listing on the Nasdaq Capital Market under the symbol “GNTA,” subject to official notice of issuance.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3" w:name="page204"/>
    <w:bookmarkEnd w:id="203"/>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no securities have been offered or will be offered pursuant to the offering described in this prospectus to the public in that relevant member state prior to the publication of a prospectus in relation to the securities that has been approved by the competent authority in that relevant member state, all in accordance with the Prospectus Regulation, except that offers of securities may be made to the public in that relevant member state at any time:</w:t>
      </w:r>
    </w:p>
    <w:p>
      <w:pPr>
        <w:spacing w:after="0" w:line="214" w:lineRule="exact"/>
        <w:rPr>
          <w:sz w:val="20"/>
          <w:szCs w:val="20"/>
          <w:color w:val="auto"/>
        </w:rPr>
      </w:pPr>
    </w:p>
    <w:p>
      <w:pPr>
        <w:ind w:left="760" w:hanging="104"/>
        <w:spacing w:after="0"/>
        <w:tabs>
          <w:tab w:leader="none" w:pos="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qualified investors as defined under article 2(e) of the Prospectus Regulation;</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2(e) of the Prospectus Regulation); or</w:t>
      </w:r>
    </w:p>
    <w:p>
      <w:pPr>
        <w:spacing w:after="0" w:line="236" w:lineRule="exact"/>
        <w:rPr>
          <w:rFonts w:ascii="Arial" w:cs="Arial" w:eastAsia="Arial" w:hAnsi="Arial"/>
          <w:sz w:val="17"/>
          <w:szCs w:val="17"/>
          <w:color w:val="auto"/>
        </w:rPr>
      </w:pPr>
    </w:p>
    <w:p>
      <w:pPr>
        <w:ind w:left="760" w:hanging="104"/>
        <w:spacing w:after="0"/>
        <w:tabs>
          <w:tab w:leader="none" w:pos="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securities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95" w:orient="portrait"/>
          <w:cols w:equalWidth="0" w:num="1">
            <w:col w:w="11240"/>
          </w:cols>
          <w:pgMar w:left="320" w:top="715" w:right="339" w:bottom="0"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3,745</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Nasdaq listing fee</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4,740</w:t>
            </w:r>
          </w:p>
        </w:tc>
        <w:tc>
          <w:tcPr>
            <w:tcW w:w="8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6,560</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Printer fees and expenses</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18"/>
                <w:szCs w:val="18"/>
                <w:color w:val="auto"/>
              </w:rPr>
            </w:pPr>
          </w:p>
        </w:tc>
      </w:tr>
      <w:tr>
        <w:trPr>
          <w:trHeight w:val="25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1,210,045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7" w:name="page208"/>
    <w:bookmarkEnd w:id="207"/>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59"/>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gridSpan w:val="2"/>
          </w:tcPr>
          <w:p>
            <w:pPr>
              <w:jc w:val="center"/>
              <w:ind w:right="1430"/>
              <w:spacing w:after="0"/>
              <w:rPr>
                <w:sz w:val="20"/>
                <w:szCs w:val="20"/>
                <w:color w:val="auto"/>
              </w:rPr>
            </w:pPr>
            <w:r>
              <w:rPr>
                <w:rFonts w:ascii="Arial" w:cs="Arial" w:eastAsia="Arial" w:hAnsi="Arial"/>
                <w:sz w:val="18"/>
                <w:szCs w:val="18"/>
                <w:color w:val="auto"/>
                <w:w w:val="95"/>
              </w:rPr>
              <w:t>SIX MONTHS ENDED JUNE 30, 2021 AND 2020</w:t>
            </w:r>
          </w:p>
        </w:tc>
        <w:tc>
          <w:tcPr>
            <w:tcW w:w="2180" w:type="dxa"/>
            <w:vAlign w:val="bottom"/>
            <w:tcBorders>
              <w:top w:val="single" w:sz="8" w:color="CCEEFF"/>
            </w:tcBorders>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6">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F-28</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7">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F-29</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8">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F-30</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F-31</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0">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F-32</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09" w:name="page210"/>
    <w:bookmarkEnd w:id="20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6"/>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6"/>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7"/>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UMGMT-GBM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5" w:name="page216"/>
    <w:bookmarkEnd w:id="215"/>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9"/>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 Net loss per share has not been presented at December 31, 2020 and 2019, since the Company was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the Company and not actual shares. The Company did not believe that representing loss per quota was a meaningful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8" w:name="page219"/>
    <w:bookmarkEnd w:id="218"/>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1" w:name="page222"/>
    <w:bookmarkEnd w:id="221"/>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5" w:name="page226"/>
    <w:bookmarkEnd w:id="225"/>
    <w:p>
      <w:pPr>
        <w:ind w:left="660" w:right="60" w:hanging="328"/>
        <w:spacing w:after="0" w:line="269" w:lineRule="auto"/>
        <w:tabs>
          <w:tab w:leader="none" w:pos="660"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Exerciseable as of December 31, 2020</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6"/>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7"/>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6" w:name="page227"/>
    <w:bookmarkEnd w:id="226"/>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7" w:name="page228"/>
    <w:bookmarkEnd w:id="227"/>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8" w:name="page229"/>
    <w:bookmarkEnd w:id="228"/>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6"/>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30"/>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29" w:name="page230"/>
    <w:bookmarkEnd w:id="229"/>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He is the Chief Executive Officer and the Company’s Vice-Chairman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 Such Directorship agreement will be terminated by the parties for mutual consent upon signature of the employment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1"/>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Less than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5" w:name="page236"/>
    <w:bookmarkEnd w:id="235"/>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Six-Months Ended June 30,</w:t>
            </w: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2"/>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3,199,234</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2,072,129</w:t>
            </w:r>
          </w:p>
        </w:tc>
        <w:tc>
          <w:tcPr>
            <w:tcW w:w="0" w:type="dxa"/>
            <w:vAlign w:val="bottom"/>
          </w:tcPr>
          <w:p>
            <w:pPr>
              <w:spacing w:after="0"/>
              <w:rPr>
                <w:sz w:val="1"/>
                <w:szCs w:val="1"/>
                <w:color w:val="auto"/>
              </w:rPr>
            </w:pPr>
          </w:p>
        </w:tc>
      </w:tr>
      <w:tr>
        <w:trPr>
          <w:trHeight w:val="24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842,236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404,885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Income taxes (Note 5)</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per share information (unaudited):</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 basic and diluted</w:t>
            </w:r>
          </w:p>
        </w:tc>
        <w:tc>
          <w:tcPr>
            <w:tcW w:w="10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 and diluted</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14,772,610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At June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10,553,906</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15,465,243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(Note 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1,549,766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947,501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 (Note 12)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121,432</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12,103,672</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(Note 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Other asset-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(Note 8)</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1,163,375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945,618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1,187,337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and stockholders’ equity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270,941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544,988</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Accounts payable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88,392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365,969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Accrued expenses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809,605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1,359,191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53,243</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1,668,310</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 (Note 9)</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21,645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Quotaholders’ and stockholders’ equity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Corporate capital</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37,056</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i w:val="1"/>
                <w:iCs w:val="1"/>
                <w:color w:val="auto"/>
              </w:rPr>
              <w:t>Additional paid-in capital</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36,604,728</w:t>
            </w:r>
          </w:p>
        </w:tc>
        <w:tc>
          <w:tcPr>
            <w:tcW w:w="80" w:type="dxa"/>
            <w:vAlign w:val="bottom"/>
          </w:tcPr>
          <w:p>
            <w:pPr>
              <w:spacing w:after="0"/>
              <w:rPr>
                <w:sz w:val="18"/>
                <w:szCs w:val="18"/>
                <w:color w:val="auto"/>
              </w:rPr>
            </w:pPr>
          </w:p>
        </w:tc>
      </w:tr>
      <w:tr>
        <w:trPr>
          <w:trHeight w:val="202"/>
        </w:trPr>
        <w:tc>
          <w:tcPr>
            <w:tcW w:w="6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no par value, 59,700,000 shares authorized and 15,000,000 shares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(unaudited) (Note 10)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37,139,431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(25,538,377)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(21,490,475)</w:t>
            </w:r>
          </w:p>
        </w:tc>
      </w:tr>
      <w:tr>
        <w:trPr>
          <w:trHeight w:val="236"/>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quotaholders’ and stockholders’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11,601,054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liabilities and quotaholders’ and stockholders’ equity</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Quotaholders’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Additional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paid-in</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1"/>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stock, no</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capital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par</w:t>
            </w: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34,713,225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(15,898,461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4080" w:type="dxa"/>
            <w:vAlign w:val="bottom"/>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230,097</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(2,479,304)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(2,479,304)</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34,943,322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(18,377,765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16,601,742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36,604,728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 (21,490,475)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15,151,309</w:t>
            </w: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497,104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497,104</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Quota B repurchased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capital adjustment from Srl to SpA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(37,599)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11,279,700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37,599</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increase related to SpA (Unaudited)</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12,401</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Conversion adjustment from Srl to SpA (Unaudited)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(37,089,431)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37,089,431</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Accumulated deficit (Unaudited)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(4,047,902)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(4,047,902)</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37,139,431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(25,538,377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€ 11,601,054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20" w:type="dxa"/>
            <w:vAlign w:val="bottom"/>
            <w:gridSpan w:val="7"/>
          </w:tcPr>
          <w:p>
            <w:pPr>
              <w:jc w:val="center"/>
              <w:ind w:right="540"/>
              <w:spacing w:after="0"/>
              <w:rPr>
                <w:sz w:val="20"/>
                <w:szCs w:val="20"/>
                <w:color w:val="auto"/>
              </w:rPr>
            </w:pPr>
            <w:r>
              <w:rPr>
                <w:rFonts w:ascii="Arial" w:cs="Arial" w:eastAsia="Arial" w:hAnsi="Arial"/>
                <w:sz w:val="20"/>
                <w:szCs w:val="20"/>
                <w:b w:val="1"/>
                <w:bCs w:val="1"/>
                <w:color w:val="auto"/>
                <w:w w:val="89"/>
              </w:rPr>
              <w:t>Six Months Ended June 30,</w:t>
            </w:r>
          </w:p>
        </w:tc>
      </w:tr>
      <w:tr>
        <w:trPr>
          <w:trHeight w:val="250"/>
        </w:trPr>
        <w:tc>
          <w:tcPr>
            <w:tcW w:w="6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4"/>
          </w:tcPr>
          <w:p>
            <w:pPr>
              <w:jc w:val="center"/>
              <w:ind w:left="881"/>
              <w:spacing w:after="0"/>
              <w:rPr>
                <w:sz w:val="20"/>
                <w:szCs w:val="20"/>
                <w:color w:val="auto"/>
              </w:rPr>
            </w:pPr>
            <w:r>
              <w:rPr>
                <w:rFonts w:ascii="Arial" w:cs="Arial" w:eastAsia="Arial" w:hAnsi="Arial"/>
                <w:sz w:val="20"/>
                <w:szCs w:val="20"/>
                <w:color w:val="auto"/>
                <w:w w:val="92"/>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20"/>
                <w:szCs w:val="20"/>
                <w:color w:val="auto"/>
              </w:rPr>
              <w:t>Net loss</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(4,047,902)</w:t>
            </w:r>
          </w:p>
        </w:tc>
        <w:tc>
          <w:tcPr>
            <w:tcW w:w="500" w:type="dxa"/>
            <w:vAlign w:val="bottom"/>
            <w:gridSpan w:val="2"/>
          </w:tcPr>
          <w:p>
            <w:pPr>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(2,479,304)</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w w:val="98"/>
              </w:rPr>
              <w:t>Adjustments to reconcile net loss to net cash used in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Depreciation expense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2,086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566</w:t>
            </w:r>
          </w:p>
        </w:tc>
        <w:tc>
          <w:tcPr>
            <w:tcW w:w="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Retirement benefit obligation</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4,256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3,014</w:t>
            </w: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Share-based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497,104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230,097</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Changes in operating assets and liabilities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(263,548)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(61,337)</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non-current assets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(217,757)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100,229</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(274,047)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70,769</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Accounts payable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78,365</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796,753</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52,602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(30,647)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Accrued expenses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(549,586)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(579,138)</w:t>
            </w: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27,558</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5,532</w:t>
            </w:r>
          </w:p>
        </w:tc>
      </w:tr>
      <w:tr>
        <w:trPr>
          <w:trHeight w:val="24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(4,690,869</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(1,943,466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Cash flows from investing activities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Purchases of property and equipment</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(3,727)</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(13,194)</w:t>
            </w:r>
          </w:p>
        </w:tc>
      </w:tr>
      <w:tr>
        <w:trPr>
          <w:trHeight w:val="223"/>
        </w:trPr>
        <w:tc>
          <w:tcPr>
            <w:tcW w:w="6380" w:type="dxa"/>
            <w:vAlign w:val="bottom"/>
            <w:tcBorders>
              <w:top w:val="single" w:sz="8" w:color="CCEEFF"/>
              <w:bottom w:val="single" w:sz="8" w:color="CCEEFF"/>
            </w:tcBorders>
          </w:tcPr>
          <w:p>
            <w:pPr>
              <w:spacing w:after="0" w:line="216" w:lineRule="exact"/>
              <w:rPr>
                <w:sz w:val="20"/>
                <w:szCs w:val="20"/>
                <w:color w:val="auto"/>
              </w:rPr>
            </w:pPr>
            <w:r>
              <w:rPr>
                <w:rFonts w:ascii="Arial" w:cs="Arial" w:eastAsia="Arial" w:hAnsi="Arial"/>
                <w:sz w:val="20"/>
                <w:szCs w:val="20"/>
                <w:color w:val="auto"/>
              </w:rPr>
              <w:t>Net cash used in investing activities</w:t>
            </w:r>
          </w:p>
        </w:tc>
        <w:tc>
          <w:tcPr>
            <w:tcW w:w="60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(3,727</w:t>
            </w:r>
          </w:p>
        </w:tc>
        <w:tc>
          <w:tcPr>
            <w:tcW w:w="320" w:type="dxa"/>
            <w:vAlign w:val="bottom"/>
            <w:tcBorders>
              <w:top w:val="single" w:sz="8" w:color="CCEEFF"/>
              <w:bottom w:val="single" w:sz="8" w:color="CCEEFF"/>
            </w:tcBorders>
          </w:tcPr>
          <w:p>
            <w:pPr>
              <w:jc w:val="right"/>
              <w:ind w:right="141"/>
              <w:spacing w:after="0" w:line="216"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(13,194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Proceeds from the exercise of stock options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715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Quota B repurchased</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(172)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Prepaid offering costs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(217,284)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r>
      <w:tr>
        <w:trPr>
          <w:trHeight w:val="24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provided (used in) by financing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(216,741</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7"/>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Net decrease in cash and cash equivalents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(4,911,337)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20"/>
                <w:szCs w:val="20"/>
                <w:color w:val="auto"/>
              </w:rPr>
              <w:t>(1,956,524)</w:t>
            </w:r>
          </w:p>
        </w:tc>
        <w:tc>
          <w:tcPr>
            <w:tcW w:w="100" w:type="dxa"/>
            <w:vAlign w:val="bottom"/>
            <w:gridSpan w:val="2"/>
          </w:tcPr>
          <w:p>
            <w:pPr>
              <w:spacing w:after="0"/>
              <w:rPr>
                <w:sz w:val="18"/>
                <w:szCs w:val="18"/>
                <w:color w:val="auto"/>
              </w:rPr>
            </w:pPr>
          </w:p>
        </w:tc>
      </w:tr>
      <w:tr>
        <w:trPr>
          <w:trHeight w:val="263"/>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period</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15,465,243</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20,141,379</w:t>
            </w:r>
          </w:p>
        </w:tc>
        <w:tc>
          <w:tcPr>
            <w:tcW w:w="80" w:type="dxa"/>
            <w:vAlign w:val="bottom"/>
            <w:shd w:val="clear" w:color="auto" w:fill="CCEEFF"/>
          </w:tcPr>
          <w:p>
            <w:pPr>
              <w:spacing w:after="0"/>
              <w:rPr>
                <w:sz w:val="22"/>
                <w:szCs w:val="22"/>
                <w:color w:val="auto"/>
              </w:rPr>
            </w:pPr>
          </w:p>
        </w:tc>
      </w:tr>
      <w:tr>
        <w:trPr>
          <w:trHeight w:val="230"/>
        </w:trPr>
        <w:tc>
          <w:tcPr>
            <w:tcW w:w="6380" w:type="dxa"/>
            <w:vAlign w:val="bottom"/>
            <w:tcBorders>
              <w:top w:val="single" w:sz="8" w:color="CCEEFF"/>
            </w:tcBorders>
          </w:tcPr>
          <w:p>
            <w:pPr>
              <w:spacing w:after="0"/>
              <w:rPr>
                <w:sz w:val="20"/>
                <w:szCs w:val="20"/>
                <w:color w:val="auto"/>
              </w:rPr>
            </w:pPr>
            <w:r>
              <w:rPr>
                <w:rFonts w:ascii="Arial" w:cs="Arial" w:eastAsia="Arial" w:hAnsi="Arial"/>
                <w:sz w:val="20"/>
                <w:szCs w:val="20"/>
                <w:b w:val="1"/>
                <w:bCs w:val="1"/>
                <w:color w:val="auto"/>
              </w:rPr>
              <w:t>Cash and cash equivalents at end of period</w:t>
            </w:r>
          </w:p>
        </w:tc>
        <w:tc>
          <w:tcPr>
            <w:tcW w:w="60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10,553,906</w:t>
            </w:r>
          </w:p>
        </w:tc>
        <w:tc>
          <w:tcPr>
            <w:tcW w:w="320" w:type="dxa"/>
            <w:vAlign w:val="bottom"/>
            <w:tcBorders>
              <w:top w:val="single" w:sz="8" w:color="CCEEFF"/>
            </w:tcBorders>
          </w:tcPr>
          <w:p>
            <w:pPr>
              <w:spacing w:after="0"/>
              <w:rPr>
                <w:sz w:val="20"/>
                <w:szCs w:val="20"/>
                <w:color w:val="auto"/>
              </w:rPr>
            </w:pPr>
          </w:p>
        </w:tc>
        <w:tc>
          <w:tcPr>
            <w:tcW w:w="20" w:type="dxa"/>
            <w:vAlign w:val="bottom"/>
            <w:tcBorders>
              <w:top w:val="single" w:sz="8" w:color="CCEEFF"/>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18,184,855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Genenta Science S.p.A. (formerly Genenta Science S.r.l.) (the “Company”)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second clinical trial to study Temferon™ in liver cancers, possibly in the United States.</w:t>
      </w:r>
    </w:p>
    <w:p>
      <w:pPr>
        <w:spacing w:after="0" w:line="187" w:lineRule="exact"/>
        <w:rPr>
          <w:sz w:val="20"/>
          <w:szCs w:val="20"/>
          <w:color w:val="auto"/>
        </w:rPr>
      </w:pPr>
    </w:p>
    <w:p>
      <w:pPr>
        <w:ind w:right="80" w:firstLine="647"/>
        <w:spacing w:after="0" w:line="290" w:lineRule="auto"/>
        <w:rPr>
          <w:sz w:val="20"/>
          <w:szCs w:val="20"/>
          <w:color w:val="auto"/>
        </w:rPr>
      </w:pPr>
      <w:r>
        <w:rPr>
          <w:rFonts w:ascii="Arial" w:cs="Arial" w:eastAsia="Arial" w:hAnsi="Arial"/>
          <w:sz w:val="16"/>
          <w:szCs w:val="16"/>
          <w:color w:val="auto"/>
        </w:rPr>
        <w:t>Genenta Science S.p.A.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by San Raffaele Hospital (“OSR”), in Milan, Italy, Pierluigi Paracchi, Luigi Naldini and Bernhard Gentner and was incorporated in July 2014. On May 20, 2021, the quotaholders resolved that the Company converted from an S.r.l. to an S.p.A. and determined that the outstanding quota be converted to 15 million common shares at no par value. (See Note 10. Quotaholder’s and stockholder’s equity.) New Bylaws have been adopted, two new Board members were appointed and the existing Board of Directors and Board of Statutory Advisors were re-appointed. The registered office remained located in Milan, Italy. The Company’s reporting currency is Euros. In May 2021, the Company formed a wholly owned, Delaware incorporated subsidiary, Genenta Science, Inc., intended for future operations in the United States. The Company’s subsidiary will operate in US Dollars.</w:t>
      </w:r>
    </w:p>
    <w:p>
      <w:pPr>
        <w:spacing w:after="0" w:line="165" w:lineRule="exact"/>
        <w:rPr>
          <w:sz w:val="20"/>
          <w:szCs w:val="20"/>
          <w:color w:val="auto"/>
        </w:rPr>
      </w:pPr>
    </w:p>
    <w:p>
      <w:pPr>
        <w:ind w:right="80" w:firstLine="647"/>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incurred losses since its inception, including a net loss of €4,047,902 and €2,479,304 for the six-month periods ended June 30, 2021 and 2020, respectively. In addition, at June 30, 2021, the Company had an accumulated deficit of €25,538,377. There is no certainty that the Company will become profitable in the future. The Company has primarily funded these losses through the proceeds from sales of convertible debt and equity quotas, prior to the Company’s conversion into an S.p.A.</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evaluated whether there are conditions and events considered in the aggregate that raise substantial doubt about the Company’s ability to continue as a going concern. Although the Company has incurred recurring losses and expects to continue to incur losses for the foreseeable future, the Company expects that its existing consolidated cash and cash equivalents on hand at September 27, 2021 of approximately €8.9 million will be sufficient to fund projected cash requirements through the fourth quarter of 2022. Therefore, the Company will require significant additional financing in the future to fund operations. Accordingly, the accompanying financial statements have been prepared assuming that the Company will continue as a going concern.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8"/>
        <w:spacing w:after="0" w:line="259" w:lineRule="auto"/>
        <w:rPr>
          <w:sz w:val="20"/>
          <w:szCs w:val="20"/>
          <w:color w:val="auto"/>
        </w:rPr>
      </w:pPr>
      <w:r>
        <w:rPr>
          <w:rFonts w:ascii="Arial" w:cs="Arial" w:eastAsia="Arial" w:hAnsi="Arial"/>
          <w:sz w:val="18"/>
          <w:szCs w:val="18"/>
          <w:color w:val="auto"/>
        </w:rPr>
        <w:t>The future viability of the Company is dependent on its ability to raise additional capital to finance its operations and the Company intends to pursue financings in the US public market.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U.S. generally accepted accounting principles for interim financial information and with the instructions to Form 20-F and Article 10 of Regulation S-X promulgated by the Securities and Exchange Commission (“SEC”). Accordingly, certain information and footnote disclosures normally included in annual financial statements have been condensed or omitted. In the opinion of management, the accompanying unaudited interim consolidated financial statements reflect all adjustments (including normal recurring adjustments and the elimination of intercompany accounts) considered necessary for a fair statement of all periods presented. The results of operations of the Company for any interim periods are not necessarily indicative of the results of operations for any other interim periods or for a full fiscal year. These unaudited interim condensed consolidated financial statements for the six months ended June 30, 2021 and 2020 should be read in conjunction with the audited consolidated financial statements and footnotes thereto for the years ended December 31, 2020 and 2019, included elsewhere herein.</w:t>
      </w:r>
    </w:p>
    <w:p>
      <w:pPr>
        <w:spacing w:after="0" w:line="181"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ind w:left="260" w:right="7740" w:hanging="252"/>
        <w:spacing w:after="0" w:line="503" w:lineRule="auto"/>
        <w:tabs>
          <w:tab w:leader="none" w:pos="197"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right="56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1" w:name="page242"/>
    <w:bookmarkEnd w:id="24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7"/>
        <w:spacing w:after="0" w:line="31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15,462,805</w:t>
            </w:r>
          </w:p>
        </w:tc>
        <w:tc>
          <w:tcPr>
            <w:tcW w:w="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in hand &amp; prepaid cards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10,553,906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Loss per share (“EPS”) is computed in accordance with US GAAP. Basic EPS is computed by dividing net loss by the weighted average number of common shares outstanding during the period. Diluted EPS reflects potential dilution and is computed by dividing loss by the weighted average number of common shares outstanding during the period increased by the number of additional common shares that would have been outstanding if all potential common shares had been issued and were dilutive. Since the Company was an S.r.l. in previous periods, QPS (quota per share) has not been included in the historical audited financial statements or the interim Statement of Operations and Comprehensive Loss at June 30, 2020 because the Company determined it was not a meaningful or material disclosure due to the Company’s capital structure. This calculation was applied, after the increase in capital to €50,000 required to be an S.p.A. by Italian law. The Company’s stockholders authorized 59.7 million ordinary common shares. The Company has 15.0 million common shares issued and outstanding at June 30, 2021 with no outstanding options or warrants and 2.7 million common shares reserved for the Company’s Equity Incentive Plan 2021–2025. Diluted EPS is not relevant at June 30, 2021, as there were no common share equivalents. (See Note 10. Quotaholders’ and stockholders’ equity and Note 11.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647"/>
        <w:spacing w:after="0" w:line="273" w:lineRule="auto"/>
        <w:rPr>
          <w:sz w:val="20"/>
          <w:szCs w:val="20"/>
          <w:color w:val="auto"/>
        </w:rPr>
      </w:pPr>
      <w:r>
        <w:rPr>
          <w:rFonts w:ascii="Arial" w:cs="Arial" w:eastAsia="Arial" w:hAnsi="Arial"/>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During the periods ended June 30, 2021 and 2020, foreign exchange gains and losses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7"/>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7"/>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40" w:firstLine="647"/>
        <w:spacing w:after="0" w:line="301" w:lineRule="auto"/>
        <w:rPr>
          <w:sz w:val="20"/>
          <w:szCs w:val="20"/>
          <w:color w:val="auto"/>
        </w:rPr>
      </w:pPr>
      <w:r>
        <w:rPr>
          <w:rFonts w:ascii="Arial" w:cs="Arial" w:eastAsia="Arial" w:hAnsi="Arial"/>
          <w:sz w:val="16"/>
          <w:szCs w:val="16"/>
          <w:color w:val="auto"/>
        </w:rPr>
        <w:t>In line with the legislation in force until June 30, 2021,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is equal to 20% (12% in FY 2020) of the eligible costs incurred, with a maximum annual amount of €4.0 million (€3.0 million for FY 2020).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3" w:name="page244"/>
    <w:bookmarkEnd w:id="243"/>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right="4300" w:firstLine="8"/>
        <w:spacing w:after="0" w:line="521" w:lineRule="auto"/>
        <w:tabs>
          <w:tab w:leader="none" w:pos="1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To determine the cost basis of the benefit, the following expenses are eligible:</w:t>
      </w: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Depreciation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Expenses for consulting services and equivalent services related to eligible research and development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research and development projects.</w:t>
      </w:r>
    </w:p>
    <w:p>
      <w:pPr>
        <w:spacing w:after="0" w:line="225"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 xml:space="preserve">The Company, by analogy, accounts for this receivable in accordance with International Accounting Standards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The receivable is recognized when there is reasonable assurance that: (1) the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7" w:lineRule="exact"/>
        <w:rPr>
          <w:sz w:val="20"/>
          <w:szCs w:val="20"/>
          <w:color w:val="auto"/>
        </w:rPr>
      </w:pPr>
    </w:p>
    <w:p>
      <w:pPr>
        <w:ind w:right="80" w:firstLine="647"/>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7"/>
        <w:spacing w:after="0" w:line="275" w:lineRule="auto"/>
        <w:rPr>
          <w:sz w:val="20"/>
          <w:szCs w:val="20"/>
          <w:color w:val="auto"/>
        </w:rPr>
      </w:pPr>
      <w:r>
        <w:rPr>
          <w:rFonts w:ascii="Arial" w:cs="Arial" w:eastAsia="Arial" w:hAnsi="Arial"/>
          <w:sz w:val="17"/>
          <w:szCs w:val="17"/>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 At June 30, 2021, there were no outstanding options, as all options had been vested and/or accelerated and exercised prior to the Company’s conversion to an S.p.A.</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recipients based on the fair value on the date of the grant and recognizes compensation expense for those awards over the requisite service period(s), which is the vesting period of the respective award. Forfeitures were accounted for as they occurred. The measurement date for option awards was the date of the grant.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firstLine="647"/>
        <w:spacing w:after="0" w:line="259" w:lineRule="auto"/>
        <w:rPr>
          <w:sz w:val="20"/>
          <w:szCs w:val="20"/>
          <w:color w:val="auto"/>
        </w:rPr>
      </w:pPr>
      <w:r>
        <w:rPr>
          <w:rFonts w:ascii="Arial" w:cs="Arial" w:eastAsia="Arial" w:hAnsi="Arial"/>
          <w:sz w:val="18"/>
          <w:szCs w:val="18"/>
          <w:color w:val="auto"/>
        </w:rPr>
        <w:t>With the adoption of ASU No. 2018-07, Compensation— 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depreciation rates:</w:t>
      </w:r>
    </w:p>
    <w:p>
      <w:pPr>
        <w:spacing w:after="0" w:line="187"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Electronic office equipment: 10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ind w:right="160" w:firstLine="647"/>
        <w:spacing w:after="0" w:line="275" w:lineRule="auto"/>
        <w:rPr>
          <w:sz w:val="20"/>
          <w:szCs w:val="20"/>
          <w:color w:val="auto"/>
        </w:rPr>
      </w:pPr>
      <w:r>
        <w:rPr>
          <w:rFonts w:ascii="Arial" w:cs="Arial" w:eastAsia="Arial" w:hAnsi="Arial"/>
          <w:sz w:val="17"/>
          <w:szCs w:val="17"/>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June 30,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fundraising activities (e.g., an initial public offering (IPO)), are capitalized within prepaid expenses and other current assets. The deferred offering costs will be offset against proceeds from fundraising activities (e.g., an IPO) upon the consummation of an offering. In the event the fundraising activities are terminated without raising capital, any deferred offering costs will be expensed. The Company has incurred €373,545 in deferred offering costs for the six months ended June 30, 2021. (Also, see Note 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00" w:firstLine="647"/>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78" w:lineRule="exact"/>
        <w:rPr>
          <w:sz w:val="20"/>
          <w:szCs w:val="20"/>
          <w:color w:val="auto"/>
        </w:rPr>
      </w:pPr>
    </w:p>
    <w:p>
      <w:pPr>
        <w:ind w:right="200" w:firstLine="647"/>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The Company is taxed in various countries where it has permanent establishment, as applicable. Due to the tax loss position reported, no income taxes were due for the periods ending June 30, 2021 and 2020.</w:t>
      </w:r>
    </w:p>
    <w:p>
      <w:pPr>
        <w:spacing w:after="0" w:line="17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At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61" w:lineRule="exact"/>
        <w:rPr>
          <w:sz w:val="20"/>
          <w:szCs w:val="20"/>
          <w:color w:val="auto"/>
        </w:rPr>
      </w:pPr>
    </w:p>
    <w:p>
      <w:pPr>
        <w:ind w:right="140" w:firstLine="697"/>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(2016-2020) are potentially subject to audit.</w:t>
      </w:r>
    </w:p>
    <w:p>
      <w:pPr>
        <w:spacing w:after="0" w:line="165" w:lineRule="exact"/>
        <w:rPr>
          <w:sz w:val="20"/>
          <w:szCs w:val="20"/>
          <w:color w:val="auto"/>
        </w:rPr>
      </w:pPr>
    </w:p>
    <w:p>
      <w:pPr>
        <w:ind w:right="500" w:firstLine="697"/>
        <w:spacing w:after="0" w:line="277" w:lineRule="auto"/>
        <w:rPr>
          <w:sz w:val="20"/>
          <w:szCs w:val="20"/>
          <w:color w:val="auto"/>
        </w:rPr>
      </w:pPr>
      <w:r>
        <w:rPr>
          <w:rFonts w:ascii="Arial" w:cs="Arial" w:eastAsia="Arial" w:hAnsi="Arial"/>
          <w:sz w:val="18"/>
          <w:szCs w:val="18"/>
          <w:color w:val="auto"/>
        </w:rPr>
        <w:t>At June 30, 2021 and 2020, the Company believes there are no significant differences with regards to its deferred tax assets and its relevant components, compared to the computations of the preceding periods.</w:t>
      </w:r>
    </w:p>
    <w:p>
      <w:pPr>
        <w:spacing w:after="0" w:line="170" w:lineRule="exact"/>
        <w:rPr>
          <w:sz w:val="20"/>
          <w:szCs w:val="20"/>
          <w:color w:val="auto"/>
        </w:rPr>
      </w:pPr>
    </w:p>
    <w:p>
      <w:pPr>
        <w:ind w:right="140" w:firstLine="647"/>
        <w:spacing w:after="0" w:line="257"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June 30, 2021 and 2020 is deemed not significant with respect of the preceding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0"/>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480" w:type="dxa"/>
            <w:vAlign w:val="bottom"/>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374,667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156,261</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Advances to suppliers- related party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121,432</w:t>
            </w:r>
          </w:p>
        </w:tc>
        <w:tc>
          <w:tcPr>
            <w:tcW w:w="80" w:type="dxa"/>
            <w:vAlign w:val="bottom"/>
          </w:tcPr>
          <w:p>
            <w:pPr>
              <w:spacing w:after="0"/>
              <w:rPr>
                <w:sz w:val="18"/>
                <w:szCs w:val="18"/>
                <w:color w:val="auto"/>
              </w:rPr>
            </w:pPr>
          </w:p>
        </w:tc>
      </w:tr>
      <w:tr>
        <w:trPr>
          <w:trHeight w:val="250"/>
        </w:trPr>
        <w:tc>
          <w:tcPr>
            <w:tcW w:w="48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77,397</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1,549,766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2021 and 2020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2021, and approximately €3.9 million at December 31, 2020,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2022.</w:t>
      </w:r>
    </w:p>
    <w:p>
      <w:pPr>
        <w:spacing w:after="0" w:line="192"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During the six months ended June 30, 2021, the Company utilized approximately €204,000 to offset certain social contributions and taxes payable, while during the financial year 2020, the Company utilized approximately €281,000. The benefit recorded for the six months ended June, 2021 and 2020, to offset research and development expenses was approximately €204,000 and €136,000, respectively. The Company reclassified to other non-current assets as a portion of the receivable, which is expected to be realized beyond 12 months. The utilization rate of research and development credit, in the periods following June 30, 2021, is projected in a consistent manner to previous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amount of €373,545 in “deferred offering costs” in the chart above, mainly relate to legal fees incurred from fundraising activities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(€263,368) and audit expenses (€110,177). Fundraising deferred offering costs will be offset against the funding proceeds and reclassified to common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 upon completion of the funding effort. If the funding is unsuccessful, the Company will expense all the related fundraising costs. (See Note 2.)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amount of €77,397 in “other prepaids” in the chart above, mainly relates to insurance expenses (€30,824) and various advance payments and operational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remaining balance is comprised of miscellaneous minor prepaid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8" w:name="page249"/>
    <w:bookmarkEnd w:id="248"/>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rPr>
              <w:t>At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80" w:type="dxa"/>
            <w:vAlign w:val="bottom"/>
            <w:shd w:val="clear" w:color="auto" w:fill="CCEEFF"/>
          </w:tcPr>
          <w:p>
            <w:pPr>
              <w:spacing w:after="0"/>
              <w:rPr>
                <w:sz w:val="18"/>
                <w:szCs w:val="18"/>
                <w:color w:val="auto"/>
              </w:rPr>
            </w:pPr>
          </w:p>
        </w:tc>
      </w:tr>
      <w:tr>
        <w:trPr>
          <w:trHeight w:val="283"/>
        </w:trPr>
        <w:tc>
          <w:tcPr>
            <w:tcW w:w="1140" w:type="dxa"/>
            <w:vAlign w:val="bottom"/>
          </w:tcPr>
          <w:p>
            <w:pPr>
              <w:spacing w:after="0"/>
              <w:rPr>
                <w:sz w:val="24"/>
                <w:szCs w:val="24"/>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Borders>
              <w:bottom w:val="single" w:sz="8" w:color="CCEEFF"/>
            </w:tcBorders>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24,598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20,871</w:t>
            </w:r>
          </w:p>
        </w:tc>
        <w:tc>
          <w:tcPr>
            <w:tcW w:w="80" w:type="dxa"/>
            <w:vAlign w:val="bottom"/>
            <w:shd w:val="clear" w:color="auto" w:fill="CCEEFF"/>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29"/>
        </w:trPr>
        <w:tc>
          <w:tcPr>
            <w:tcW w:w="114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Property and equipment consist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Value Added Tax (VAT)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Research and development tax credit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 related party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rPr>
              <w:t>At</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02"/>
        </w:trPr>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975,215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664,987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187,333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945,618</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-770890</wp:posOffset>
            </wp:positionV>
            <wp:extent cx="5700395"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-488315</wp:posOffset>
            </wp:positionV>
            <wp:extent cx="5700395"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-179070</wp:posOffset>
            </wp:positionV>
            <wp:extent cx="5700395" cy="162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60"/>
          </w:cols>
          <w:pgMar w:left="320" w:top="1440" w:right="359" w:bottom="1440" w:gutter="0" w:footer="0" w:header="0"/>
          <w:type w:val="continuous"/>
        </w:sectPr>
      </w:pPr>
    </w:p>
    <w:p>
      <w:pPr>
        <w:spacing w:after="0" w:line="2" w:lineRule="exact"/>
        <w:rPr>
          <w:sz w:val="20"/>
          <w:szCs w:val="20"/>
          <w:color w:val="auto"/>
        </w:rPr>
      </w:pPr>
    </w:p>
    <w:p>
      <w:pPr>
        <w:ind w:right="180" w:firstLine="647"/>
        <w:spacing w:after="0" w:line="277" w:lineRule="auto"/>
        <w:rPr>
          <w:sz w:val="20"/>
          <w:szCs w:val="20"/>
          <w:color w:val="auto"/>
        </w:rPr>
      </w:pPr>
      <w:r>
        <w:rPr>
          <w:rFonts w:ascii="Arial" w:cs="Arial" w:eastAsia="Arial" w:hAnsi="Arial"/>
          <w:sz w:val="18"/>
          <w:szCs w:val="18"/>
          <w:color w:val="auto"/>
        </w:rPr>
        <w:t>Other assets - related party include a security deposit of €3,350 paid to Ospedale San Raffaele (“OSR”) as security guarantee for the office lease contract. (See Note 13.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June 30, 2021, and December 31, 2020 was €21,645 and €17,388,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and stockholders’ equity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49" w:name="page250"/>
    <w:bookmarkEnd w:id="249"/>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was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was divided between the five quotas as summarized below at December 31, 2020:</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Ownership</w:t>
            </w:r>
          </w:p>
        </w:tc>
      </w:t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Quota</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6,886</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five (5) quotas:</w:t>
      </w:r>
    </w:p>
    <w:p>
      <w:pPr>
        <w:spacing w:after="0" w:line="225" w:lineRule="exact"/>
        <w:rPr>
          <w:sz w:val="20"/>
          <w:szCs w:val="20"/>
          <w:color w:val="auto"/>
        </w:rPr>
      </w:pPr>
    </w:p>
    <w:p>
      <w:pPr>
        <w:ind w:left="660" w:right="60" w:hanging="328"/>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D.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0" w:name="page251"/>
    <w:bookmarkEnd w:id="25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both"/>
        <w:ind w:left="660" w:hanging="328"/>
        <w:spacing w:after="0" w:line="269"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8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the six months ended June 30, 2021, two events occurred which together had a significant impact on the Company’s equity:</w:t>
      </w:r>
    </w:p>
    <w:p>
      <w:pPr>
        <w:spacing w:after="0" w:line="225"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€ 37,771 (€37,056 corporate capital at December 31, 2020 + €715 exercise of Quota B options before the conversion).</w:t>
      </w:r>
    </w:p>
    <w:p>
      <w:pPr>
        <w:spacing w:after="0" w:line="18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On May 20, 2021, at a special Quotaholders’ meeting in May 2021, the Quotaholders resolved to convert the Company from an S.r.l. to an S.p.A., which conversion became effective on June 18, 2021. As consequence of the conversion, the Corporate Capital has been converted to ordinary common stock with no par value and it was increased to €50,000 to satisfy the minimum capital requirement to qualify as an S.p.A. This increase was an adjustment from Additional Paid-in Capital to Common stock, no par value.</w:t>
      </w:r>
    </w:p>
    <w:p>
      <w:pPr>
        <w:spacing w:after="0" w:line="187"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As a result of the Company conversion, the Corporate Capital was reclassified as ordinary Common Stock no par value, combining the minimum capital amount of €50,000 with the Additional Paid-In Capital for a total of €37,139,431. The outstanding quota of €50,000 before the conversion were all converted into 15 million shares of ordinary common stock no par value after the conversion at the same conversion rate of approximately 300 quota percentage of ownership. All preferences related to the quota classes were terminated and all stockholders now hold ordinary common stock, no par value. All of shares outstanding after the conversion are held in ledger form. The Company adopted a new Article of Association, appointed two new directors (including Mr. Squinto as Chairman) and re-appointed the existing members of the Board of Directors and the existing Board of Statutory Auditors.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right="120" w:firstLine="647"/>
        <w:spacing w:after="0" w:line="286" w:lineRule="auto"/>
        <w:rPr>
          <w:sz w:val="20"/>
          <w:szCs w:val="20"/>
          <w:color w:val="auto"/>
        </w:rPr>
      </w:pPr>
      <w:r>
        <w:rPr>
          <w:rFonts w:ascii="Arial" w:cs="Arial" w:eastAsia="Arial" w:hAnsi="Arial"/>
          <w:sz w:val="17"/>
          <w:szCs w:val="17"/>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65" w:lineRule="exact"/>
        <w:rPr>
          <w:sz w:val="20"/>
          <w:szCs w:val="20"/>
          <w:color w:val="auto"/>
        </w:rPr>
      </w:pPr>
    </w:p>
    <w:p>
      <w:pPr>
        <w:ind w:right="160" w:firstLine="647"/>
        <w:spacing w:after="0" w:line="279" w:lineRule="auto"/>
        <w:rPr>
          <w:sz w:val="20"/>
          <w:szCs w:val="20"/>
          <w:color w:val="auto"/>
        </w:rPr>
      </w:pPr>
      <w:r>
        <w:rPr>
          <w:rFonts w:ascii="Arial" w:cs="Arial" w:eastAsia="Arial" w:hAnsi="Arial"/>
          <w:sz w:val="17"/>
          <w:szCs w:val="17"/>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This totals €715 quota B that were issued and exercised during the six months ended June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00" w:firstLine="647"/>
        <w:spacing w:after="0" w:line="296" w:lineRule="auto"/>
        <w:rPr>
          <w:sz w:val="20"/>
          <w:szCs w:val="20"/>
          <w:color w:val="auto"/>
        </w:rPr>
      </w:pPr>
      <w:r>
        <w:rPr>
          <w:rFonts w:ascii="Arial" w:cs="Arial" w:eastAsia="Arial" w:hAnsi="Arial"/>
          <w:sz w:val="16"/>
          <w:szCs w:val="16"/>
          <w:color w:val="auto"/>
        </w:rPr>
        <w:t>Also, in May 2021 as part of the conversion to an S.p.A., the shareholders adopted a medium-to long-term incentive plan, “Equity Incentive Plan 2021–2025,” (the “Plan”) with the purpose of providing incentive and retention for key officers, directors, employees and consultants with a view to developing the Company’s business over the next few years. The Board of Directors and the Board of Statutory Auditors reviewed a draft of the Plan. The Plan is intended to last four years and will have a maximum of 2,700,000 new ordinary common shares, or 10% of the total outstanding common shares of the Company. No grants were made under the Plan and the Compensation Committee of the Board of Directors will administer the Plan.</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18, 2021, the date of the Company’s conversion to an S.p.A., all stock options were granted, fully vested, exercised and converted into ordinary common stock with no par value. At June 30, 2021, there were no outstanding stock options.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Number of</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 Average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Contractual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37"/>
        </w:trPr>
        <w:tc>
          <w:tcPr>
            <w:tcW w:w="47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Options on Quota</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Intrinsic Value</w:t>
            </w: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Outstanding, vested and expected to vest as of January 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1,056,316</w:t>
            </w:r>
          </w:p>
        </w:tc>
        <w:tc>
          <w:tcPr>
            <w:tcW w:w="80" w:type="dxa"/>
            <w:vAlign w:val="bottom"/>
            <w:shd w:val="clear" w:color="auto" w:fill="CCEEFF"/>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472,184</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Outstanding, vested and expected to vest as of December 31,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584,132</w:t>
            </w:r>
          </w:p>
        </w:tc>
        <w:tc>
          <w:tcPr>
            <w:tcW w:w="80" w:type="dxa"/>
            <w:vAlign w:val="bottom"/>
            <w:shd w:val="clear" w:color="auto" w:fill="CCEEFF"/>
          </w:tcPr>
          <w:p>
            <w:pPr>
              <w:spacing w:after="0"/>
              <w:rPr>
                <w:sz w:val="22"/>
                <w:szCs w:val="22"/>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December 31, 2020</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183,831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715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777,920</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vested and expected to vest as of June 30, 2021</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Exercisable as of June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six months ended June 30, 2021 and 2020, is represented by the following table: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45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&amp; development expense - related party</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179,480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163,200</w:t>
            </w:r>
          </w:p>
        </w:tc>
        <w:tc>
          <w:tcPr>
            <w:tcW w:w="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66,897</w:t>
            </w:r>
          </w:p>
        </w:tc>
      </w:tr>
      <w:tr>
        <w:trPr>
          <w:trHeight w:val="21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497,104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fair value of the options granted during 2021 was €1,088.</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periods ended June 30, 2021 and 2020, the Company recorded €497,104 and €230,097, respectively as the fair value of the stock options granted. There was no amount of unrecognized expense at June 30, 2021, since there were no outstanding stock options and approximately €540,000 of unrecognized expense at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had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 average shares</w:t>
      </w:r>
    </w:p>
    <w:p>
      <w:pPr>
        <w:spacing w:after="0" w:line="21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As a result of the Company’s conversion to an S.P.A., the Company was able to calculate both a weighted average and pro forma weighted average number of shares outstanding. The calculation was performed by taking the number of quota outstanding during a given period and weighting them for the number of days that number of quota were outstanding and then converting the quota to common stock using the same conversion that was used at June 18, 2021. The quota carried different rights and privileges, as indicated above, so the Company was not sure how all quota would be treated in a conversion; however, all classes of quota were treated the same. Therefore, the conversion was straight forward. For the six months ended June 30, 2021 and 2020, there was a weighted average of €37,029.65 and €35, 190.54 quota, respectively, which converted into 14,772,610 and 14,038.916 shares of the Company’s common stock, no par value, after the Corporate Capital adjustment.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717,905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717,905</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401,380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10,445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10,445</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6"/>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1,478,228</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383,901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608,831</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608,831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155,633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31,106</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1,181,471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Research and development (related party) expenses during the six months ended June 30, 2021, mainly relate to the clinical trial activity done as per the agreement with the San Raffaele Hospital. This trial activity increased significantly from the second half of 2020 both for number of patients enrolled in the trial and the number of patients subsequently dosed. (Also see </w:t>
      </w:r>
      <w:r>
        <w:rPr>
          <w:rFonts w:ascii="Arial" w:cs="Arial" w:eastAsia="Arial" w:hAnsi="Arial"/>
          <w:sz w:val="17"/>
          <w:szCs w:val="17"/>
          <w:b w:val="1"/>
          <w:bCs w:val="1"/>
          <w:i w:val="1"/>
          <w:iCs w:val="1"/>
          <w:color w:val="auto"/>
        </w:rPr>
        <w:t>OSR – San Raffaele Hospital</w:t>
      </w:r>
      <w:r>
        <w:rPr>
          <w:rFonts w:ascii="Arial" w:cs="Arial" w:eastAsia="Arial" w:hAnsi="Arial"/>
          <w:sz w:val="17"/>
          <w:szCs w:val="17"/>
          <w:color w:val="auto"/>
        </w:rPr>
        <w:t xml:space="preserve"> section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685,039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247,685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6"/>
          </w:tcPr>
          <w:p>
            <w:pPr>
              <w:spacing w:after="0"/>
              <w:rPr>
                <w:sz w:val="20"/>
                <w:szCs w:val="20"/>
                <w:color w:val="auto"/>
              </w:rPr>
            </w:pPr>
            <w:r>
              <w:rPr>
                <w:rFonts w:ascii="Arial" w:cs="Arial" w:eastAsia="Arial" w:hAnsi="Arial"/>
                <w:sz w:val="18"/>
                <w:szCs w:val="18"/>
                <w:color w:val="auto"/>
                <w:w w:val="91"/>
              </w:rPr>
              <w:t>The Company’s accounts payable to related parties are comprised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20" w:type="dxa"/>
            <w:vAlign w:val="bottom"/>
            <w:gridSpan w:val="5"/>
          </w:tcPr>
          <w:p>
            <w:pPr>
              <w:ind w:left="980"/>
              <w:spacing w:after="0"/>
              <w:rPr>
                <w:sz w:val="20"/>
                <w:szCs w:val="20"/>
                <w:color w:val="auto"/>
              </w:rPr>
            </w:pPr>
            <w:r>
              <w:rPr>
                <w:rFonts w:ascii="Arial" w:cs="Arial" w:eastAsia="Arial" w:hAnsi="Arial"/>
                <w:sz w:val="18"/>
                <w:szCs w:val="18"/>
                <w:b w:val="1"/>
                <w:bCs w:val="1"/>
                <w:color w:val="auto"/>
              </w:rPr>
              <w:t>At 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2"/>
              </w:rPr>
              <w:t>At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XDG Biomed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5,942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Naldini</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Genter</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Drs. Naldini and Gentner outstanding balances represent the “quotas” reimbursement due to the Company as a result of the quota repurchase.</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1440" w:right="759" w:bottom="1440" w:gutter="0" w:footer="0" w:header="0"/>
        </w:sectPr>
      </w:pPr>
    </w:p>
    <w:bookmarkStart w:id="255" w:name="page256"/>
    <w:bookmarkEnd w:id="255"/>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The Company’s accrued expenses to related parties are comprised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80" w:type="dxa"/>
            <w:vAlign w:val="bottom"/>
            <w:gridSpan w:val="4"/>
          </w:tcPr>
          <w:p>
            <w:pPr>
              <w:ind w:left="920"/>
              <w:spacing w:after="0"/>
              <w:rPr>
                <w:sz w:val="20"/>
                <w:szCs w:val="20"/>
                <w:color w:val="auto"/>
              </w:rPr>
            </w:pPr>
            <w:r>
              <w:rPr>
                <w:rFonts w:ascii="Arial" w:cs="Arial" w:eastAsia="Arial" w:hAnsi="Arial"/>
                <w:sz w:val="18"/>
                <w:szCs w:val="18"/>
                <w:b w:val="1"/>
                <w:bCs w:val="1"/>
                <w:color w:val="auto"/>
              </w:rPr>
              <w:t>At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2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Pierluigi Paracchi</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49"/>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6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amounts were due and recorded at June 30, 2021 to Mr. Paracchi and XDG Biomed, since their performance bonuses were paid in June 2021.</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100" w:firstLine="647"/>
        <w:spacing w:after="0" w:line="296" w:lineRule="auto"/>
        <w:rPr>
          <w:sz w:val="20"/>
          <w:szCs w:val="20"/>
          <w:color w:val="auto"/>
        </w:rPr>
      </w:pPr>
      <w:r>
        <w:rPr>
          <w:rFonts w:ascii="Arial" w:cs="Arial" w:eastAsia="Arial" w:hAnsi="Arial"/>
          <w:sz w:val="16"/>
          <w:szCs w:val="16"/>
          <w:color w:val="auto"/>
        </w:rPr>
        <w:t>Pierluigi Parcchi, former President and Chairman of the Company prior to the conversion, is the Chief Executive Officer as well as co-founder. His annual compensation amounts to of €250,000 plus an annual performance bonus of €50,000, maturing in the period July-June of each year payable after Board of Directors approval. In 2020, the bonus was paid in July 2020. In 2021, the bonus was paid in June 2021. For the six months ended June 30, 2021 and 2020, the Company expensed €150,000 each period, respectively, related to compensation for Mr. Paracchi. At June 30, 2021 and the year ended December 31, 2020, the Company accrued €0 and €25,000, respectively, related to compensation for Mr. Paracchi.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agreement with Dr. Naldini was signed in 2019 and it is still in force. The annual fee is €50,000. During the six months ended June 30, 2020, he billed additional fees for €6,250. For the six months ended June 30, 2021 and 2020, the Company expensed €25,000 and €31,250, respectively, related to Dr. Naldini. At June 30, 2021 and the year ended December 31, 2020, the Company did not accrue anything related to Dr. Naldini.</w:t>
      </w:r>
    </w:p>
    <w:p>
      <w:pPr>
        <w:spacing w:after="0" w:line="192" w:lineRule="exact"/>
        <w:rPr>
          <w:sz w:val="20"/>
          <w:szCs w:val="20"/>
          <w:color w:val="auto"/>
        </w:rPr>
      </w:pPr>
    </w:p>
    <w:p>
      <w:pPr>
        <w:ind w:right="300" w:firstLine="647"/>
        <w:spacing w:after="0" w:line="259" w:lineRule="auto"/>
        <w:rPr>
          <w:sz w:val="20"/>
          <w:szCs w:val="20"/>
          <w:color w:val="auto"/>
        </w:rPr>
      </w:pPr>
      <w:r>
        <w:rPr>
          <w:rFonts w:ascii="Arial" w:cs="Arial" w:eastAsia="Arial" w:hAnsi="Arial"/>
          <w:sz w:val="18"/>
          <w:szCs w:val="18"/>
          <w:color w:val="auto"/>
        </w:rPr>
        <w:t>Dr. Gentner, like Dr. Naldini, oversees pre-clinical research related to the platform technology. In addition, he analyzes clinical biological data. The last agreement with Dr. Gentner, which is still in force, was signed in 2017. His annual fee is €30,000. For the six months ended June 30, 2021 and 2020, the Company expensed €15,000 and €22,950, respectively, related to Dr. Gentner. At June 30, 2021 and the year ended December 31, 2020, the Company did not accrue anything related to Dr. Gentner.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120" w:firstLine="647"/>
        <w:spacing w:after="0" w:line="272"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plus a performance bonus of €50,000 maturing for the period July-June of each year and payable after Board of Directors approval. In 2020, the bonus was paid in July 2020. In 2021, the bonus was paid in June 2021. For the six months ended June 30, 2021 and 2020, the Company expensed €175,000 and €175,000, respectively, related to XDG Biomed. At June 30, 2021 and the year ended December 31, 2020, the Company accrued €0 and €25,000, respectively, related to XDG Biomed.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29"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San Raffaele Hospital (“OSR”) is a co-founder of the Company, and the Company is a corporate and research spin-off of OSR. At June 30, 2021, OSR held 12.64% of the Company’s common shares.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24" w:lineRule="exact"/>
        <w:rPr>
          <w:sz w:val="20"/>
          <w:szCs w:val="20"/>
          <w:color w:val="auto"/>
        </w:rPr>
      </w:pPr>
    </w:p>
    <w:p>
      <w:pPr>
        <w:ind w:left="1300" w:hanging="320"/>
        <w:spacing w:after="0"/>
        <w:tabs>
          <w:tab w:leader="none" w:pos="1300" w:val="left"/>
        </w:tabs>
        <w:numPr>
          <w:ilvl w:val="0"/>
          <w:numId w:val="145"/>
        </w:numPr>
        <w:rPr>
          <w:rFonts w:ascii="Arial" w:cs="Arial" w:eastAsia="Arial" w:hAnsi="Arial"/>
          <w:sz w:val="36"/>
          <w:szCs w:val="36"/>
          <w:color w:val="auto"/>
          <w:vertAlign w:val="superscript"/>
        </w:rPr>
      </w:pPr>
      <w:r>
        <w:rPr>
          <w:rFonts w:ascii="Arial" w:cs="Arial" w:eastAsia="Arial" w:hAnsi="Arial"/>
          <w:sz w:val="18"/>
          <w:szCs w:val="18"/>
          <w:color w:val="auto"/>
        </w:rPr>
        <w:t>Lympho-Hematopoietic Indication</w:t>
      </w:r>
      <w:r>
        <w:rPr>
          <w:rFonts w:ascii="Arial" w:cs="Arial" w:eastAsia="Arial" w:hAnsi="Arial"/>
          <w:sz w:val="29"/>
          <w:szCs w:val="29"/>
          <w:color w:val="auto"/>
          <w:vertAlign w:val="superscript"/>
        </w:rPr>
        <w:t>1</w:t>
      </w:r>
      <w:r>
        <w:rPr>
          <w:rFonts w:ascii="Arial" w:cs="Arial" w:eastAsia="Arial" w:hAnsi="Arial"/>
          <w:sz w:val="18"/>
          <w:szCs w:val="18"/>
          <w:color w:val="auto"/>
        </w:rPr>
        <w:t>; and,</w:t>
      </w:r>
    </w:p>
    <w:p>
      <w:pPr>
        <w:ind w:left="1300" w:hanging="320"/>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9" w:lineRule="exact"/>
        <w:rPr>
          <w:sz w:val="20"/>
          <w:szCs w:val="20"/>
          <w:color w:val="auto"/>
        </w:rPr>
      </w:pPr>
    </w:p>
    <w:p>
      <w:pPr>
        <w:ind w:firstLine="8"/>
        <w:spacing w:after="0" w:line="194" w:lineRule="auto"/>
        <w:tabs>
          <w:tab w:leader="none" w:pos="120" w:val="left"/>
        </w:tabs>
        <w:numPr>
          <w:ilvl w:val="0"/>
          <w:numId w:val="147"/>
        </w:numPr>
        <w:rPr>
          <w:rFonts w:ascii="Arial" w:cs="Arial" w:eastAsia="Arial" w:hAnsi="Arial"/>
          <w:sz w:val="30"/>
          <w:szCs w:val="30"/>
          <w:color w:val="auto"/>
          <w:vertAlign w:val="superscript"/>
        </w:rPr>
      </w:pPr>
      <w:r>
        <w:rPr>
          <w:rFonts w:ascii="Arial" w:cs="Arial" w:eastAsia="Arial" w:hAnsi="Arial"/>
          <w:sz w:val="18"/>
          <w:szCs w:val="18"/>
          <w:color w:val="auto"/>
        </w:rPr>
        <w:t>The Company later amended the License agreement focusing on GBM options. The TEM-MM option fee has never been exercised and instead the related research was abandoned in early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7"/>
        <w:spacing w:after="0" w:line="277"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170"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six months ended June 30, 2021 and 2020, there were no costs incurred for the above activities.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protocol TEM-GBM_001received approval by national Competent Authorities in September 2018 and recruited the first patient in April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#2</w:t>
      </w:r>
    </w:p>
    <w:p>
      <w:pPr>
        <w:spacing w:after="0" w:line="225" w:lineRule="exact"/>
        <w:rPr>
          <w:sz w:val="20"/>
          <w:szCs w:val="20"/>
          <w:color w:val="auto"/>
        </w:rPr>
      </w:pPr>
    </w:p>
    <w:p>
      <w:pPr>
        <w:ind w:right="100" w:firstLine="647"/>
        <w:spacing w:after="0" w:line="288"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six months ended June 30, 2021, the comparable costs incurred and expensed for the GBM program were approximately €0.8 million. During the six months ended June 30, 2020, the comparable costs incurred and expensed for the GBM program were approximately €0.5 million.</w:t>
      </w:r>
    </w:p>
    <w:p>
      <w:pPr>
        <w:spacing w:after="0" w:line="168" w:lineRule="exact"/>
        <w:rPr>
          <w:sz w:val="20"/>
          <w:szCs w:val="20"/>
          <w:color w:val="auto"/>
        </w:rPr>
      </w:pPr>
    </w:p>
    <w:p>
      <w:pPr>
        <w:ind w:right="340" w:firstLine="647"/>
        <w:spacing w:after="0" w:line="277" w:lineRule="auto"/>
        <w:rPr>
          <w:sz w:val="20"/>
          <w:szCs w:val="20"/>
          <w:color w:val="auto"/>
        </w:rPr>
      </w:pPr>
      <w:r>
        <w:rPr>
          <w:rFonts w:ascii="Arial" w:cs="Arial" w:eastAsia="Arial" w:hAnsi="Arial"/>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#3</w:t>
      </w:r>
    </w:p>
    <w:p>
      <w:pPr>
        <w:spacing w:after="0" w:line="225"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the Amendment #3 formalized the new arrangement as follows:</w:t>
      </w:r>
    </w:p>
    <w:p>
      <w:pPr>
        <w:spacing w:after="0" w:line="225" w:lineRule="exact"/>
        <w:rPr>
          <w:sz w:val="20"/>
          <w:szCs w:val="20"/>
          <w:color w:val="auto"/>
        </w:rPr>
      </w:pPr>
    </w:p>
    <w:p>
      <w:pPr>
        <w:ind w:left="980" w:right="540" w:hanging="324"/>
        <w:spacing w:after="0" w:line="258" w:lineRule="auto"/>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exercise of option fee on the first solid cancer indication = €0.5 million (accrued in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by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and was paid on June 30,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8" w:name="page259"/>
    <w:bookmarkEnd w:id="25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7"/>
        <w:spacing w:after="0" w:line="301" w:lineRule="auto"/>
        <w:rPr>
          <w:sz w:val="20"/>
          <w:szCs w:val="20"/>
          <w:color w:val="auto"/>
        </w:rPr>
      </w:pPr>
      <w:r>
        <w:rPr>
          <w:rFonts w:ascii="Arial" w:cs="Arial" w:eastAsia="Arial" w:hAnsi="Arial"/>
          <w:sz w:val="16"/>
          <w:szCs w:val="16"/>
          <w:color w:val="auto"/>
        </w:rPr>
        <w:t>At June 30, 2021, no milestones were achieved related to any indication, as provided by License Agreement and subsequent amendments, therefore, no payments were due to OSR. The Company has paid €0.75 million to OSR, since inception under the license agreement. No events have occurred or have been achieved (and none are considered probable) to trigger any contingent payments under the license agreement at December 31, 2020. For information relating to the contingency payments or future milestones for these indications, please refer to Note 13 - Commitments and Contingencies.</w:t>
      </w:r>
    </w:p>
    <w:p>
      <w:pPr>
        <w:spacing w:after="0" w:line="157"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2021, the Company recorded expenses for OSR for clinical trial in the amount of approximately €1.3 million, while during the six months ended June 30, 2020, the expenses for clinical trials was approximately €0.5 million. The difference between the two periods is due to the increase of the trial activity in the second half of 2020, since a greater number of patients were included in the trial and subsequently dosed.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 total amount of expenses for the OSR clinical trial activity amounted to €8.1 million and it includes the cost for the exercise of the first and the second Solid Cancer indication Option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six months ended June 30, 2021 and 2020, the Company expensed €0 and approximately €65,000,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1620" w:right="320" w:hanging="316"/>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70" w:lineRule="exact"/>
        <w:rPr>
          <w:rFonts w:ascii="Arial" w:cs="Arial" w:eastAsia="Arial" w:hAnsi="Arial"/>
          <w:sz w:val="18"/>
          <w:szCs w:val="18"/>
          <w:color w:val="auto"/>
        </w:rPr>
      </w:pPr>
    </w:p>
    <w:p>
      <w:pPr>
        <w:ind w:left="1620" w:hanging="316"/>
        <w:spacing w:after="0" w:line="263"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June 30, 2021, the Company paid and expensed €375,000 related to the SRA. At June 30, 2021, the Company accrued €125,000 related to the SRA.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 non-cancelable lease agreement for office space in January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7"/>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 obligations by contractual maturity at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Payments by period</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w w:val="88"/>
              </w:rPr>
              <w:t>4 to 5 years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OSR operating leases and office rent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26,800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AGC</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40,250</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32,200</w:t>
            </w:r>
          </w:p>
        </w:tc>
        <w:tc>
          <w:tcPr>
            <w:tcW w:w="102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59,000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CMOs and CROs agreements</w:t>
      </w:r>
    </w:p>
    <w:p>
      <w:pPr>
        <w:spacing w:after="0" w:line="225"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00" w:firstLine="647"/>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GBM. The Company’s contingent liability for this first solid cancer indication potentially payable to OSR was €53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200" w:firstLine="647"/>
        <w:spacing w:after="0" w:line="286"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had incurred €1.5 million of expense during the six months ended June 30, 2020 compared to €2.6 million of cumulative expense for 2019 and prior years. The Company has incurred approximately €682,000 during the six months ended June 30,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60" w:firstLine="647"/>
        <w:spacing w:after="0" w:line="286" w:lineRule="auto"/>
        <w:rPr>
          <w:sz w:val="20"/>
          <w:szCs w:val="20"/>
          <w:color w:val="auto"/>
        </w:rPr>
      </w:pPr>
      <w:r>
        <w:rPr>
          <w:rFonts w:ascii="Arial" w:cs="Arial" w:eastAsia="Arial" w:hAnsi="Arial"/>
          <w:sz w:val="17"/>
          <w:szCs w:val="17"/>
          <w:color w:val="auto"/>
        </w:rPr>
        <w:t>In the early 2020, the Company and AGC amended the Master Service Agreement for the fourth time to regulate some new production activities for which the total estimated budget amounts to €0.3 million. For the six months ended June 30, 2021, the Company is committed to pay a total of €40,250 relating to various stability timepoints, which will be realized and come due at different times through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€20,000 and €20,000 have been incurred for the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Biogazelle agreement on exploratory analyses for trial endpoints is a five-year agreement that can be withdrawn by each party with a notice period of six months, or in case of breach. The Company shall compensate Biogazelle for any and all work (including but not limited to work-in-progress) performed or commenced prior to the effective date of termination or expiration and reimburse Biogazelle for any and all costs, expenses and consumables (including non-refundable) approved by the Company and incurred by Biogazelle prior to the effective date of termination or expiration of this agreement. For the six months ended June 30, 2021 and 2020, the Company had incurred and paid approximately €14,000 and €12,000, respectively. At June 30, 2021, there were no future commitment to Biogazelle identified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On January 1, 2020, the Company began a six-year non-cancelable lease agreement for office space with OSR. Withdrawal is allowed from the fourth year with a notice of 12 months. Since the annual rent amounts to €13,400, at June 30, 2021, outstanding minimum payments amount to €33,500 until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July 2021, the Company signed a financial advisory agreement with Roth Capital. The minimum commitment relates to some expenses to be reimbursed by the Company up to US$50,000, or €42,373, using the spot exchange rate at the time the agreement was signed. The agreement also calls for the Company to pay Roth variable commission, estimated to average six percent of funds raised, if and when determined.</w:t>
      </w:r>
    </w:p>
    <w:p>
      <w:pPr>
        <w:spacing w:after="0" w:line="165" w:lineRule="exact"/>
        <w:rPr>
          <w:sz w:val="20"/>
          <w:szCs w:val="20"/>
          <w:color w:val="auto"/>
        </w:rPr>
      </w:pPr>
    </w:p>
    <w:p>
      <w:pPr>
        <w:ind w:right="560" w:firstLine="647"/>
        <w:spacing w:after="0" w:line="342" w:lineRule="auto"/>
        <w:rPr>
          <w:sz w:val="20"/>
          <w:szCs w:val="20"/>
          <w:color w:val="auto"/>
        </w:rPr>
      </w:pPr>
      <w:r>
        <w:rPr>
          <w:rFonts w:ascii="Arial" w:cs="Arial" w:eastAsia="Arial" w:hAnsi="Arial"/>
          <w:sz w:val="16"/>
          <w:szCs w:val="16"/>
          <w:color w:val="auto"/>
        </w:rPr>
        <w:t>In September 2021, the Company entered a new service agreement for shipment services with Marken. The budget provided through 2024 amounts to approximately €106,000, but the agreement can be withdrawal at any time with a reasonable but non-specific notice period.</w:t>
      </w:r>
    </w:p>
    <w:p>
      <w:pPr>
        <w:spacing w:after="0" w:line="124" w:lineRule="exact"/>
        <w:rPr>
          <w:sz w:val="20"/>
          <w:szCs w:val="20"/>
          <w:color w:val="auto"/>
        </w:rPr>
      </w:pPr>
    </w:p>
    <w:p>
      <w:pPr>
        <w:jc w:val="both"/>
        <w:ind w:right="140" w:firstLine="647"/>
        <w:spacing w:after="0" w:line="263" w:lineRule="auto"/>
        <w:rPr>
          <w:sz w:val="20"/>
          <w:szCs w:val="20"/>
          <w:color w:val="auto"/>
        </w:rPr>
      </w:pPr>
      <w:r>
        <w:rPr>
          <w:rFonts w:ascii="Arial" w:cs="Arial" w:eastAsia="Arial" w:hAnsi="Arial"/>
          <w:sz w:val="18"/>
          <w:szCs w:val="18"/>
          <w:color w:val="auto"/>
        </w:rPr>
        <w:t>In August and September 2021, the Company entered into two new purchase orders with AGC for a total amount of €155,200 to be delivered by the end of the year. The purchase orders with AGC are non-cancelable, except in the case of breach of contract, consistent with the disclosure in Note 13 above.</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In September 2021, the Company signed two purchase order with Cross NT amounting to €141,006 to be executed in three years through January 2024. Based on the Master Service Agreement in place with Cross NT, the Company can withdraw any task order with a notice period of 60 business days.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3" w:name="page264"/>
    <w:bookmarkEnd w:id="263"/>
    <w:p>
      <w:pPr>
        <w:jc w:val="center"/>
        <w:ind w:right="-219"/>
        <w:spacing w:after="0"/>
        <w:rPr>
          <w:sz w:val="20"/>
          <w:szCs w:val="20"/>
          <w:color w:val="auto"/>
        </w:rPr>
      </w:pPr>
      <w:r>
        <w:rPr>
          <w:rFonts w:ascii="Arial" w:cs="Arial" w:eastAsia="Arial" w:hAnsi="Arial"/>
          <w:sz w:val="25"/>
          <w:szCs w:val="25"/>
          <w:b w:val="1"/>
          <w:bCs w:val="1"/>
          <w:color w:val="auto"/>
        </w:rPr>
        <w:t>3,120,114 Ordinary Shares</w:t>
      </w:r>
    </w:p>
    <w:p>
      <w:pPr>
        <w:spacing w:after="0" w:line="248"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(including 2,400,000 Ordinary Shares in the form of American Depository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165735</wp:posOffset>
            </wp:positionV>
            <wp:extent cx="4286250" cy="9683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8625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i w:val="1"/>
          <w:i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481965</wp:posOffset>
            </wp:positionV>
            <wp:extent cx="2143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54610</wp:posOffset>
            </wp:positionV>
            <wp:extent cx="21431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Maxim Group LLC</w:t>
      </w:r>
    </w:p>
    <w:p>
      <w:pPr>
        <w:spacing w:after="0" w:line="2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December 15, 2021</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Through and including January 8, 2022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320" w:top="71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lowerRoman"/>
      <w:start w:val="2"/>
    </w:lvl>
    <w:lvl w:ilvl="1">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1)"/>
      <w:numFmt w:val="decimal"/>
      <w:start w:val="1"/>
    </w:lvl>
  </w:abstractNum>
  <w:abstractNum w:abstractNumId="10">
    <w:nsid w:val="68EB2F63"/>
    <w:multiLevelType w:val="hybridMultilevel"/>
    <w:lvl w:ilvl="0">
      <w:lvlJc w:val="left"/>
      <w:lvlText w:val="(%1)"/>
      <w:numFmt w:val="decimal"/>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1"/>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1."/>
      <w:numFmt w:val="decimal"/>
      <w:start w:val="1"/>
    </w:lvl>
  </w:abstractNum>
  <w:abstractNum w:abstractNumId="68">
    <w:nsid w:val="1D9F6E5F"/>
    <w:multiLevelType w:val="hybridMultilevel"/>
    <w:lvl w:ilvl="0">
      <w:lvlJc w:val="left"/>
      <w:lvlText w:val="%1)"/>
      <w:numFmt w:val="lowerLetter"/>
      <w:start w:val="1"/>
    </w:lvl>
  </w:abstractNum>
  <w:abstractNum w:abstractNumId="69">
    <w:nsid w:val="97E1B4E"/>
    <w:multiLevelType w:val="hybridMultilevel"/>
    <w:lvl w:ilvl="0">
      <w:lvlJc w:val="left"/>
      <w:lvlText w:val="(%1)"/>
      <w:numFmt w:val="decimal"/>
      <w:start w:val="1"/>
    </w:lvl>
  </w:abstractNum>
  <w:abstractNum w:abstractNumId="70">
    <w:nsid w:val="51088277"/>
    <w:multiLevelType w:val="hybridMultilevel"/>
    <w:lvl w:ilvl="0">
      <w:lvlJc w:val="left"/>
      <w:lvlText w:val="(%1)"/>
      <w:numFmt w:val="lowerRoman"/>
      <w:start w:val="1"/>
    </w:lvl>
  </w:abstractNum>
  <w:abstractNum w:abstractNumId="71">
    <w:nsid w:val="1CA0C5FA"/>
    <w:multiLevelType w:val="hybridMultilevel"/>
    <w:lvl w:ilvl="0">
      <w:lvlJc w:val="left"/>
      <w:lvlText w:val="%1"/>
      <w:numFmt w:val="upperLetter"/>
      <w:start w:val="1"/>
    </w:lvl>
    <w:lvl w:ilvl="1">
      <w:lvlJc w:val="left"/>
      <w:lvlText w:val="%2)"/>
      <w:numFmt w:val="upperLetter"/>
      <w:start w:val="1"/>
    </w:lvl>
  </w:abstractNum>
  <w:abstractNum w:abstractNumId="72">
    <w:nsid w:val="53584BCB"/>
    <w:multiLevelType w:val="hybridMultilevel"/>
    <w:lvl w:ilvl="0">
      <w:lvlJc w:val="left"/>
      <w:lvlText w:val="%1)"/>
      <w:numFmt w:val="upperLetter"/>
      <w:start w:val="2"/>
    </w:lvl>
    <w:lvl w:ilvl="1">
      <w:lvlJc w:val="left"/>
      <w:lvlText w:val="%2"/>
      <w:numFmt w:val="upperLetter"/>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lvl w:ilvl="1">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1)"/>
      <w:numFmt w:val="lowerLetter"/>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1)"/>
      <w:numFmt w:val="lowerRoman"/>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1)"/>
      <w:numFmt w:val="decimal"/>
      <w:start w:val="1"/>
    </w:lvl>
  </w:abstractNum>
  <w:abstractNum w:abstractNumId="103">
    <w:nsid w:val="2C6E4AFD"/>
    <w:multiLevelType w:val="hybridMultilevel"/>
    <w:lvl w:ilvl="0">
      <w:lvlJc w:val="left"/>
      <w:lvlText w:val="(%1)"/>
      <w:numFmt w:val="lowerLetter"/>
      <w:start w:val="1"/>
    </w:lvl>
  </w:abstractNum>
  <w:abstractNum w:abstractNumId="104">
    <w:nsid w:val="17A1B582"/>
    <w:multiLevelType w:val="hybridMultilevel"/>
    <w:lvl w:ilvl="0">
      <w:lvlJc w:val="left"/>
      <w:lvlText w:val="(%1)"/>
      <w:numFmt w:val="lowerLetter"/>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1)"/>
      <w:numFmt w:val="lowerRoman"/>
      <w:start w:val="1"/>
    </w:lvl>
  </w:abstractNum>
  <w:abstractNum w:abstractNumId="110">
    <w:nsid w:val="19E21BB2"/>
    <w:multiLevelType w:val="hybridMultilevel"/>
    <w:lvl w:ilvl="0">
      <w:lvlJc w:val="left"/>
      <w:lvlText w:val="%1)"/>
      <w:numFmt w:val="lowerLetter"/>
      <w:start w:val="1"/>
    </w:lvl>
    <w:lvl w:ilvl="1">
      <w:lvlJc w:val="left"/>
      <w:lvlText w:val="-"/>
      <w:numFmt w:val="bullet"/>
      <w:start w:val="1"/>
    </w:lvl>
  </w:abstractNum>
  <w:abstractNum w:abstractNumId="111">
    <w:nsid w:val="75E0858A"/>
    <w:multiLevelType w:val="hybridMultilevel"/>
    <w:lvl w:ilvl="0">
      <w:lvlJc w:val="left"/>
      <w:lvlText w:val="●"/>
      <w:numFmt w:val="bullet"/>
      <w:start w:val="1"/>
    </w:lvl>
    <w:lvl w:ilvl="1">
      <w:lvlJc w:val="left"/>
      <w:lvlText w:val="●"/>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1)"/>
      <w:numFmt w:val="lowerRoman"/>
      <w:start w:val="2"/>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decimal"/>
      <w:start w:val="3"/>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
      <w:numFmt w:val="bullet"/>
      <w:start w:val="1"/>
    </w:lvl>
  </w:abstractNum>
  <w:abstractNum w:abstractNumId="124">
    <w:nsid w:val="4BEE5A5B"/>
    <w:multiLevelType w:val="hybridMultilevel"/>
    <w:lvl w:ilvl="0">
      <w:lvlJc w:val="left"/>
      <w:lvlText w:val="%1)"/>
      <w:numFmt w:val="lowerLetter"/>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1)"/>
      <w:numFmt w:val="lowerLetter"/>
      <w:start w:val="17"/>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
      <w:numFmt w:val="bullet"/>
      <w:start w:val="1"/>
    </w:lvl>
  </w:abstractNum>
  <w:abstractNum w:abstractNumId="129">
    <w:nsid w:val="2A31B62D"/>
    <w:multiLevelType w:val="hybridMultilevel"/>
    <w:lvl w:ilvl="0">
      <w:lvlJc w:val="left"/>
      <w:lvlText w:val="●"/>
      <w:numFmt w:val="bullet"/>
      <w:start w:val="1"/>
    </w:lvl>
  </w:abstractNum>
  <w:abstractNum w:abstractNumId="130">
    <w:nsid w:val="1849C29B"/>
    <w:multiLevelType w:val="hybridMultilevel"/>
    <w:lvl w:ilvl="0">
      <w:lvlJc w:val="left"/>
      <w:lvlText w:val="%1."/>
      <w:numFmt w:val="decimal"/>
      <w:start w:val="10"/>
    </w:lvl>
    <w:lvl w:ilvl="1">
      <w:lvlJc w:val="left"/>
      <w:lvlText w:val="●"/>
      <w:numFmt w:val="bullet"/>
      <w:start w:val="1"/>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1)"/>
      <w:numFmt w:val="lowerLetter"/>
      <w:start w:val="1"/>
    </w:lvl>
  </w:abstractNum>
  <w:abstractNum w:abstractNumId="134">
    <w:nsid w:val="2A6DE806"/>
    <w:multiLevelType w:val="hybridMultilevel"/>
    <w:lvl w:ilvl="0">
      <w:lvlJc w:val="left"/>
      <w:lvlText w:val="●"/>
      <w:numFmt w:val="bullet"/>
      <w:start w:val="1"/>
    </w:lvl>
  </w:abstractNum>
  <w:abstractNum w:abstractNumId="135">
    <w:nsid w:val="1816F8C4"/>
    <w:multiLevelType w:val="hybridMultilevel"/>
    <w:lvl w:ilvl="0">
      <w:lvlJc w:val="left"/>
      <w:lvlText w:val="●"/>
      <w:numFmt w:val="bullet"/>
      <w:start w:val="1"/>
    </w:lvl>
  </w:abstractNum>
  <w:abstractNum w:abstractNumId="136">
    <w:nsid w:val="37DF2233"/>
    <w:multiLevelType w:val="hybridMultilevel"/>
    <w:lvl w:ilvl="0">
      <w:lvlJc w:val="left"/>
      <w:lvlText w:val="%1."/>
      <w:numFmt w:val="decimal"/>
      <w:start w:val="2"/>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1)"/>
      <w:numFmt w:val="lowerLetter"/>
      <w:start w:val="17"/>
    </w:lvl>
    <w:lvl w:ilvl="1">
      <w:lvlJc w:val="left"/>
      <w:lvlText w:val="●"/>
      <w:numFmt w:val="bullet"/>
      <w:start w:val="1"/>
    </w:lvl>
  </w:abstractNum>
  <w:abstractNum w:abstractNumId="139">
    <w:nsid w:val="61E74EA3"/>
    <w:multiLevelType w:val="hybridMultilevel"/>
    <w:lvl w:ilvl="0">
      <w:lvlJc w:val="left"/>
      <w:lvlText w:val="●"/>
      <w:numFmt w:val="bullet"/>
      <w:start w:val="1"/>
    </w:lvl>
  </w:abstractNum>
  <w:abstractNum w:abstractNumId="140">
    <w:nsid w:val="597B4D84"/>
    <w:multiLevelType w:val="hybridMultilevel"/>
    <w:lvl w:ilvl="0">
      <w:lvlJc w:val="left"/>
      <w:lvlText w:val="●"/>
      <w:numFmt w:val="bullet"/>
      <w:start w:val="1"/>
    </w:lvl>
  </w:abstractNum>
  <w:abstractNum w:abstractNumId="141">
    <w:nsid w:val="F819E7F"/>
    <w:multiLevelType w:val="hybridMultilevel"/>
    <w:lvl w:ilvl="0">
      <w:lvlJc w:val="left"/>
      <w:lvlText w:val="●"/>
      <w:numFmt w:val="bullet"/>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
      <w:numFmt w:val="bullet"/>
      <w:start w:val="1"/>
    </w:lvl>
  </w:abstractNum>
  <w:abstractNum w:abstractNumId="144">
    <w:nsid w:val="631B64D4"/>
    <w:multiLevelType w:val="hybridMultilevel"/>
    <w:lvl w:ilvl="0">
      <w:lvlJc w:val="left"/>
      <w:lvlText w:val="%1)"/>
      <w:numFmt w:val="lowerLetter"/>
      <w:start w:val="1"/>
    </w:lvl>
  </w:abstractNum>
  <w:abstractNum w:abstractNumId="145">
    <w:nsid w:val="78B5E776"/>
    <w:multiLevelType w:val="hybridMultilevel"/>
    <w:lvl w:ilvl="0">
      <w:lvlJc w:val="left"/>
      <w:lvlText w:val="●"/>
      <w:numFmt w:val="bullet"/>
      <w:start w:val="1"/>
    </w:lvl>
  </w:abstractNum>
  <w:abstractNum w:abstractNumId="146">
    <w:nsid w:val="75486E47"/>
    <w:multiLevelType w:val="hybridMultilevel"/>
    <w:lvl w:ilvl="0">
      <w:lvlJc w:val="left"/>
      <w:lvlText w:val="1"/>
      <w:numFmt w:val="bullet"/>
      <w:start w:val="1"/>
    </w:lvl>
  </w:abstractNum>
  <w:abstractNum w:abstractNumId="147">
    <w:nsid w:val="6E534CDE"/>
    <w:multiLevelType w:val="hybridMultilevel"/>
    <w:lvl w:ilvl="0">
      <w:lvlJc w:val="left"/>
      <w:lvlText w:val="-"/>
      <w:numFmt w:val="bullet"/>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2021-12-15T10:29:28Z</dcterms:created>
  <dcterms:modified xsi:type="dcterms:W3CDTF">2021-12-15T10:29:28Z</dcterms:modified>
</cp:coreProperties>
</file>