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333-271901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May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142875</wp:posOffset>
            </wp:positionV>
            <wp:extent cx="276034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4,285,715 American Depositary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Ordinary Shares</w:t>
      </w:r>
    </w:p>
    <w:p>
      <w:pPr>
        <w:spacing w:after="0" w:line="20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offering 4,285,715 of our American Depositary Shares (“ADSs”), at a purchase price of $3.50 per ADS, for gross proceeds of approximately $15.0 million, to certain institutional investors in a registered direct offering pursuant to this prospectus supplement, and the accompanying prospectus and a securities purchase agreement with such investors. Each ADS represents one (1) ordinary share, no par value per share (“Ordinary Share”), of the Company.</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Capital Market under the symbol “GNTA.” The last reported sale price of the ADSs on the Nasdaq Capital Market on October 24, 2025 was $6.20 per ADS.</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herein or incorporated by reference in this prospectus supplement. We have not authorized any other person to provide you with different information.</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engaged Maxim Group LLC (“Maxim”) and Rodman &amp; Renshaw LLC (“Rodman” and together with Maxim, the “Placement Agents”) as our placement agents to use their reasonable best efforts to solicit offers to purchase ADSs in this offering. The Placement Agents have no obligation to buy any of the ADSs from us or to arrange for the purchase or sale of any specific number or dollar amount of the ADSs.</w:t>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 ADS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fees(1)</w:t>
            </w:r>
          </w:p>
        </w:tc>
        <w:tc>
          <w:tcPr>
            <w:tcW w:w="384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900,000.15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84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14,100,002.35</w:t>
            </w:r>
          </w:p>
        </w:tc>
      </w:tr>
    </w:tbl>
    <w:p>
      <w:pPr>
        <w:spacing w:after="0" w:line="198" w:lineRule="exact"/>
        <w:rPr>
          <w:sz w:val="24"/>
          <w:szCs w:val="24"/>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Agents in connection with this offering a cash fee equal to 6.0% of the aggregate gross proceeds from the sale of the securities in this offering. For additional information, see “Plan of Distribution” beginning on page S-12 of this prospectus supplement.</w:t>
      </w:r>
    </w:p>
    <w:p>
      <w:pPr>
        <w:spacing w:after="0" w:line="158"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S-5 of this prospectus supplement, as well as the section entitled “Item 3. Key Information—D. Risk Factors” beginning on page 3 of our Annual Report on Form 20-F for the year ended December 31, 2024, which report is incorporated by reference in this prospectus supplement, before investing in our securities.</w:t>
      </w:r>
    </w:p>
    <w:p>
      <w:pPr>
        <w:spacing w:after="0" w:line="182"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ADSs is expected to be made on or about October 28, 2025, subject to the satisfaction of certain customary closing conditions.</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Placement Agents</w:t>
      </w:r>
    </w:p>
    <w:p>
      <w:pPr>
        <w:spacing w:after="0" w:line="223" w:lineRule="exact"/>
        <w:rPr>
          <w:sz w:val="24"/>
          <w:szCs w:val="24"/>
          <w:color w:val="auto"/>
        </w:rPr>
      </w:pPr>
    </w:p>
    <w:p>
      <w:pPr>
        <w:ind w:left="2060"/>
        <w:spacing w:after="0"/>
        <w:tabs>
          <w:tab w:leader="none" w:pos="7400" w:val="left"/>
        </w:tabs>
        <w:rPr>
          <w:sz w:val="20"/>
          <w:szCs w:val="20"/>
          <w:color w:val="auto"/>
        </w:rPr>
      </w:pPr>
      <w:r>
        <w:rPr>
          <w:rFonts w:ascii="Times New Roman" w:cs="Times New Roman" w:eastAsia="Times New Roman" w:hAnsi="Times New Roman"/>
          <w:sz w:val="18"/>
          <w:szCs w:val="18"/>
          <w:b w:val="1"/>
          <w:bCs w:val="1"/>
          <w:color w:val="auto"/>
        </w:rPr>
        <w:t>Maxim Group LLC</w:t>
      </w:r>
      <w:r>
        <w:rPr>
          <w:sz w:val="20"/>
          <w:szCs w:val="20"/>
          <w:color w:val="auto"/>
        </w:rPr>
        <w:tab/>
      </w:r>
      <w:r>
        <w:rPr>
          <w:rFonts w:ascii="Times New Roman" w:cs="Times New Roman" w:eastAsia="Times New Roman" w:hAnsi="Times New Roman"/>
          <w:sz w:val="18"/>
          <w:szCs w:val="18"/>
          <w:b w:val="1"/>
          <w:bCs w:val="1"/>
          <w:color w:val="auto"/>
        </w:rPr>
        <w:t>Rodman &amp; Renshaw LLC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8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25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1860" w:type="dxa"/>
            <w:vAlign w:val="bottom"/>
            <w:tcBorders>
              <w:bottom w:val="single" w:sz="8" w:color="CCEEFF"/>
            </w:tcBorders>
            <w:gridSpan w:val="5"/>
            <w:shd w:val="clear" w:color="auto" w:fill="CCEEFF"/>
          </w:tcPr>
          <w:p>
            <w:pPr>
              <w:spacing w:after="0"/>
              <w:rPr>
                <w:sz w:val="17"/>
                <w:szCs w:val="17"/>
                <w:color w:val="auto"/>
              </w:rPr>
            </w:pPr>
          </w:p>
        </w:tc>
        <w:tc>
          <w:tcPr>
            <w:tcW w:w="59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176"/>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98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9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S-4</w:t>
            </w:r>
          </w:p>
        </w:tc>
      </w:tr>
      <w:tr>
        <w:trPr>
          <w:trHeight w:val="175"/>
        </w:trPr>
        <w:tc>
          <w:tcPr>
            <w:tcW w:w="9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420" w:type="dxa"/>
            <w:vAlign w:val="bottom"/>
            <w:tcBorders>
              <w:top w:val="single" w:sz="8" w:color="CCEEFF"/>
            </w:tcBorders>
            <w:gridSpan w:val="14"/>
          </w:tcPr>
          <w:p>
            <w:pPr>
              <w:spacing w:after="0"/>
              <w:rPr>
                <w:sz w:val="15"/>
                <w:szCs w:val="15"/>
                <w:color w:val="auto"/>
              </w:rPr>
            </w:pPr>
          </w:p>
        </w:tc>
        <w:tc>
          <w:tcPr>
            <w:tcW w:w="59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9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S-8</w:t>
            </w:r>
          </w:p>
        </w:tc>
      </w:tr>
      <w:tr>
        <w:trPr>
          <w:trHeight w:val="175"/>
        </w:trPr>
        <w:tc>
          <w:tcPr>
            <w:tcW w:w="388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tcBorders>
              <w:top w:val="single" w:sz="8" w:color="CCEEFF"/>
            </w:tcBorders>
            <w:gridSpan w:val="2"/>
          </w:tcPr>
          <w:p>
            <w:pPr>
              <w:spacing w:after="0"/>
              <w:rPr>
                <w:sz w:val="15"/>
                <w:szCs w:val="15"/>
                <w:color w:val="auto"/>
              </w:rPr>
            </w:pPr>
          </w:p>
        </w:tc>
        <w:tc>
          <w:tcPr>
            <w:tcW w:w="59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59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11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3180" w:type="dxa"/>
            <w:vAlign w:val="bottom"/>
            <w:tcBorders>
              <w:top w:val="single" w:sz="8" w:color="CCEEFF"/>
            </w:tcBorders>
            <w:gridSpan w:val="12"/>
          </w:tcPr>
          <w:p>
            <w:pPr>
              <w:spacing w:after="0"/>
              <w:rPr>
                <w:sz w:val="15"/>
                <w:szCs w:val="15"/>
                <w:color w:val="auto"/>
              </w:rPr>
            </w:pPr>
          </w:p>
        </w:tc>
        <w:tc>
          <w:tcPr>
            <w:tcW w:w="59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920" w:type="dxa"/>
            <w:vAlign w:val="bottom"/>
            <w:tcBorders>
              <w:bottom w:val="single" w:sz="8" w:color="CCEEFF"/>
            </w:tcBorders>
            <w:gridSpan w:val="11"/>
            <w:shd w:val="clear" w:color="auto" w:fill="CCEEFF"/>
          </w:tcPr>
          <w:p>
            <w:pPr>
              <w:spacing w:after="0"/>
              <w:rPr>
                <w:sz w:val="17"/>
                <w:szCs w:val="17"/>
                <w:color w:val="auto"/>
              </w:rPr>
            </w:pPr>
          </w:p>
        </w:tc>
        <w:tc>
          <w:tcPr>
            <w:tcW w:w="59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5"/>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98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800" w:type="dxa"/>
            <w:vAlign w:val="bottom"/>
            <w:tcBorders>
              <w:bottom w:val="single" w:sz="8" w:color="CCEEFF"/>
            </w:tcBorders>
            <w:gridSpan w:val="18"/>
            <w:shd w:val="clear" w:color="auto" w:fill="CCEEFF"/>
          </w:tcPr>
          <w:p>
            <w:pPr>
              <w:spacing w:after="0"/>
              <w:rPr>
                <w:sz w:val="17"/>
                <w:szCs w:val="17"/>
                <w:color w:val="auto"/>
              </w:rPr>
            </w:pPr>
          </w:p>
        </w:tc>
        <w:tc>
          <w:tcPr>
            <w:tcW w:w="59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176"/>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98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Information by Reference</w:t>
            </w:r>
          </w:p>
        </w:tc>
        <w:tc>
          <w:tcPr>
            <w:tcW w:w="59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432"/>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880" w:type="dxa"/>
            <w:vAlign w:val="bottom"/>
            <w:tcBorders>
              <w:top w:val="single" w:sz="8" w:color="CCEEFF"/>
            </w:tcBorders>
            <w:gridSpan w:val="2"/>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445"/>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9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4360" w:type="dxa"/>
            <w:vAlign w:val="bottom"/>
            <w:gridSpan w:val="1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w:t>
            </w:r>
          </w:p>
        </w:tc>
        <w:tc>
          <w:tcPr>
            <w:tcW w:w="598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15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780" w:type="dxa"/>
            <w:vAlign w:val="bottom"/>
            <w:tcBorders>
              <w:top w:val="single" w:sz="8" w:color="CCEEFF"/>
            </w:tcBorders>
            <w:gridSpan w:val="9"/>
          </w:tcPr>
          <w:p>
            <w:pPr>
              <w:spacing w:after="0"/>
              <w:rPr>
                <w:sz w:val="15"/>
                <w:szCs w:val="15"/>
                <w:color w:val="auto"/>
              </w:rPr>
            </w:pPr>
          </w:p>
        </w:tc>
        <w:tc>
          <w:tcPr>
            <w:tcW w:w="6880" w:type="dxa"/>
            <w:vAlign w:val="bottom"/>
            <w:tcBorders>
              <w:top w:val="single" w:sz="8" w:color="CCEEFF"/>
            </w:tcBorders>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40" w:type="dxa"/>
            <w:vAlign w:val="bottom"/>
            <w:tcBorders>
              <w:bottom w:val="single" w:sz="8" w:color="CCEEFF"/>
            </w:tcBorders>
            <w:gridSpan w:val="15"/>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6"/>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88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180" w:type="dxa"/>
            <w:vAlign w:val="bottom"/>
            <w:tcBorders>
              <w:bottom w:val="single" w:sz="8" w:color="CCEEFF"/>
            </w:tcBorders>
            <w:gridSpan w:val="12"/>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5"/>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 and Governing Documents</w:t>
            </w:r>
          </w:p>
        </w:tc>
        <w:tc>
          <w:tcPr>
            <w:tcW w:w="688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2560" w:type="dxa"/>
            <w:vAlign w:val="bottom"/>
            <w:tcBorders>
              <w:bottom w:val="single" w:sz="8" w:color="CCEEFF"/>
            </w:tcBorders>
            <w:gridSpan w:val="8"/>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88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340" w:type="dxa"/>
            <w:vAlign w:val="bottom"/>
            <w:tcBorders>
              <w:bottom w:val="single" w:sz="8" w:color="CCEEFF"/>
            </w:tcBorders>
            <w:gridSpan w:val="13"/>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88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43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w:t>
            </w:r>
          </w:p>
        </w:tc>
        <w:tc>
          <w:tcPr>
            <w:tcW w:w="6880" w:type="dxa"/>
            <w:vAlign w:val="bottom"/>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w:t>
            </w:r>
          </w:p>
        </w:tc>
        <w:tc>
          <w:tcPr>
            <w:tcW w:w="688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480" w:type="dxa"/>
            <w:vAlign w:val="bottom"/>
            <w:tcBorders>
              <w:bottom w:val="single" w:sz="8" w:color="CCEEFF"/>
            </w:tcBorders>
            <w:gridSpan w:val="4"/>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43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Information by Reference</w:t>
            </w:r>
          </w:p>
        </w:tc>
        <w:tc>
          <w:tcPr>
            <w:tcW w:w="688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and incorporated by reference in this prospectus supplement, the accompanying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May 24, 2023 are part of a registration statement that we filed with the SEC using a “shelf” registration process. Under this shelf registration process, we may sell from time to time any combination of the securities described in the accompanying prospectus included in the shelf registration statement from time to time in one or more offerings up to a total aggregate offering price of $100,000,000.</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ADSs and also adds to and updates information contained in the accompanying prospectus and the documents incorporated by reference into this prospectus supplement and the accompanying prospectus. To the extent there is a conflict between the information contained in this prospectus supplement, on the one hand, and the information contained in the accompanying prospectus or any document incorporated by reference into this prospectus supplement or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buying any of the ADSs that we are offering, we urge you to carefully read this prospectus supplement and the accompanying prospectus, and any free writing prospectus that we have authorized for use in connection with this offering, and the information incorporated by reference as described under the headings “Where You Can Find More Information” and “Incorporation of Information by Reference” in this prospectus supplement and the accompanying prospectus. These documents contain important information that you should consider when making your investment decision.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we nor the Placement Agents have authorized anyone to provide you with any information other than that contained or incorporated by reference in this prospectus supplement, the accompanying prospectus or any related free writing prospectus to which we have referred you. Neither we nor the Placement Agents take any responsibility for and can provide no assurance as to the reliability of, any other information others may give you. Neither we nor the Placement Agents are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and the accompanying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in their entirety before making an investment decision.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ADSs only in jurisdictions where offers and sales are permitted. The distribution of this prospectus supplement and the accompanying prospectus and the offering of ADSs in certain jurisdictions may be restricted by law. Persons outside the United States who come into possession of this prospectus supplement and the accompanying prospectus must inform themselves about, and observe any restrictions relating to, the offering of ADSs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references in this prospectus supplement to “U.S. dollars” or “$” are to the legal currency of the United States and all references to “€” or “euro” are to the currency introduced at the start of the third stage of the European economic and monetary union pursuant to the treaty establishing the European Community, as amended.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figures included in this prospectus supplement have been rounded for ease of presentation. Percentage figures included in this prospectus supplement have not in all cases been calculated on the basis of such rounded figures but on the basis of such amounts prior to rounding. For this reason, percentage amounts in this prospectus supplement may vary slightly from those obtained by performing the same calculations using the figures in our consolidated financial statements. Certain other amounts that appear in this prospectus supplement may similarly not sum due to rounding.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throughout this prospectus supplement, the accompanying prospectus, and any related free-writing prospectus, the words “Genenta,” “we,” “us,” “our,” “the Company,” “our company” or similar references refer to Genenta Science S.p.A. and its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supplement and the accompanying prospectus or incorporated by reference in this prospectus supplement and the accompanying prospectus from our Annual Report on Form 20-F for the year ended December 31, 2024 and our other filings with the SEC listed below under the heading “Incorporation of Information by Reference.” This summary may not contain all the information that you should consider before investing in the ADSs. You should read the entire prospectus supplement and the accompanying prospectus, and the information incorporated by reference in this prospectus supplement and the accompanying prospectus carefully, including “Risk Factors” and the financial data and related notes and other information incorporated by reference, before making an investment decision. See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engaged in the development of hematopoietic stem cell gene therapies for the treatment of solid tumors. We have developed a novel biologic platform that involves the ex-vivo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technology incorporates the use of an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180" w:lineRule="exact"/>
        <w:rPr>
          <w:sz w:val="20"/>
          <w:szCs w:val="20"/>
          <w:color w:val="auto"/>
        </w:rPr>
      </w:pPr>
    </w:p>
    <w:p>
      <w:pPr>
        <w:jc w:val="both"/>
        <w:ind w:left="640" w:right="20" w:hanging="321"/>
        <w:spacing w:after="0" w:line="25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Trojan Horse Mechanism of Action (“MoA”): We use and modify TEMs, a subpopulation of tumor-associated myeloid cells, known to be involved in tumor growth and in the inhibition of immune system response, to allow the immune system to recognize the tumor and to deliver to the cancer site a chosen therapeutic.</w:t>
      </w:r>
    </w:p>
    <w:p>
      <w:pPr>
        <w:spacing w:after="0" w:line="1" w:lineRule="exact"/>
        <w:rPr>
          <w:rFonts w:ascii="Times New Roman" w:cs="Times New Roman" w:eastAsia="Times New Roman" w:hAnsi="Times New Roman"/>
          <w:sz w:val="18"/>
          <w:szCs w:val="18"/>
          <w:color w:val="auto"/>
        </w:rPr>
      </w:pP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Regulation of Transgene Expression: Our selected control of the chosen therapeutic gene expression is designed to avoid off-target and systemic toxicity.</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Long-Term Effect: Through the use of hematopoietic stem cells, our therapeutic candidate is designed as a “living therapy” intended to break the cancer-induced immune tolerance and to establish a competent immune surveillance throughout the life of the patient.</w:t>
      </w:r>
    </w:p>
    <w:p>
      <w:pPr>
        <w:jc w:val="both"/>
        <w:ind w:left="640" w:right="20" w:hanging="321"/>
        <w:spacing w:after="0" w:line="255"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Agnostic Response: In contrast to antigen-restricted CAR-T cells, our platform is not restricted to a pre-selected tumor antigen, nor any one tumor type. As such, it may be applied to a broad range of solid tumors and cancer subtypes, which would overcome one of the central unresolved challenges of immune-oncology cancer therapies.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Temferon-modified TEMs express the transgene payload, IFN-α, in the tumor microenvironment, thereby reprogramming the Tumor Micro Environment (“TME”) which disrupts tumor induced immune-tolerance in blocks. Consequently, the immune system has been observed to recognize the tumor, respond, and inhibit tumor growth. Because Temferon is designed to deliver the IFN-α payload directly into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4" w:name="page5"/>
    <w:bookmarkEnd w:id="4"/>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4967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4967605"/>
                    </a:xfrm>
                    <a:prstGeom prst="rect">
                      <a:avLst/>
                    </a:prstGeom>
                    <a:noFill/>
                  </pic:spPr>
                </pic:pic>
              </a:graphicData>
            </a:graphic>
          </wp:anchor>
        </w:drawing>
        <w:t>We are currently developing Temferon for the treatment of glioblastoma multiforme (“GBM”) in patients who have an unmethylated MGMT gene promoter (“uMGMT-GBM”). GBM is the most common malignant primary brain tumor, accounting for more than half of all central nervous system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The preliminary results in uMGT-GBM patients indicate that Temferon has been generally well tolerated, with no dose limiting toxicities observed to date.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recently started a Phase 1/2a study of Temferon in metastatic Renal Cell Carcinoma (“mRCC”),the most common form of kidney cancer accounting for close to 74,000 new cases annually in the United States. Despite treatment with curative intent, about one-third of patients experience metastatic disease recurrence. Additionally, 30% of patients present with metastatic disease at the time of diagnosis. Metastatic RCC remains a highly lethal condition with a five-year overall survival (OS) rate of approximately 14%. In addition to our Temferon clinical programs for uMGMT-GBM and mRCC,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AGC Biologics facility in Bresso,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Genenta was formed as an Italian limited liability company (società a responsabilità limitata) in 2014. In May 2021, our Board approved changing the legal form of our company under Italian law to a joint stock company (società per azioni), which was codified under Italian law in June 2021.</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Via Olgettina No. 58, 20132 Milan, Italy. Our telephone number in Italy is +39-02-2643-468120. Our website address is www.genenta.com. The information contained on, or that can be accessed through, our website is not part of, and is not incorporated by reference into, this prospectus supplement or the accompanying prospectus. We have included our website address in this prospectus supplement solely as an inactive textual reference. Investors should not rely on any such information in deciding whether to purchase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ADSs, each representing one Ordinary Share, have been listed on the Nasdaq Capital Market under the symbol “GNTA” since December 2021.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8" w:right="479" w:bottom="1440" w:gutter="0" w:footer="0" w:header="0"/>
        </w:sectPr>
      </w:pPr>
    </w:p>
    <w:bookmarkStart w:id="5" w:name="page6"/>
    <w:bookmarkEnd w:id="5"/>
    <w:p>
      <w:pPr>
        <w:jc w:val="center"/>
        <w:ind w:right="-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47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t>THE OFFERING</w:t>
      </w:r>
    </w:p>
    <w:p>
      <w:pPr>
        <w:sectPr>
          <w:pgSz w:w="11900" w:h="16838" w:orient="portrait"/>
          <w:cols w:equalWidth="0" w:num="1">
            <w:col w:w="10925"/>
          </w:cols>
          <w:pgMar w:left="475" w:top="914" w:right="499" w:bottom="1440" w:gutter="0" w:footer="0" w:header="0"/>
        </w:sectPr>
      </w:pP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ADSs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4,285,715 ADSs, each representing one (1) Ordinary Share, having an aggregate offering price of up to $15,000,002.50.</w:t>
      </w:r>
    </w:p>
    <w:p>
      <w:pPr>
        <w:spacing w:after="0" w:line="162" w:lineRule="exact"/>
        <w:rPr>
          <w:sz w:val="20"/>
          <w:szCs w:val="20"/>
          <w:color w:val="auto"/>
        </w:rPr>
      </w:pPr>
    </w:p>
    <w:p>
      <w:pPr>
        <w:sectPr>
          <w:pgSz w:w="11900" w:h="16838" w:orient="portrait"/>
          <w:cols w:equalWidth="0" w:num="2">
            <w:col w:w="1805" w:space="720"/>
            <w:col w:w="8400"/>
          </w:cols>
          <w:pgMar w:left="475" w:top="914" w:right="499" w:bottom="1440" w:gutter="0" w:footer="0" w:header="0"/>
          <w:type w:val="continuous"/>
        </w:sectPr>
      </w:pPr>
    </w:p>
    <w:p>
      <w:pPr>
        <w:ind w:left="5"/>
        <w:spacing w:after="0"/>
        <w:rPr>
          <w:sz w:val="20"/>
          <w:szCs w:val="20"/>
          <w:color w:val="auto"/>
        </w:rPr>
      </w:pPr>
      <w:r>
        <w:rPr>
          <w:rFonts w:ascii="Times New Roman" w:cs="Times New Roman" w:eastAsia="Times New Roman" w:hAnsi="Times New Roman"/>
          <w:sz w:val="18"/>
          <w:szCs w:val="18"/>
          <w:color w:val="auto"/>
        </w:rPr>
        <w:t>Ordinary Shares to be outstanding 23,432,183 Ordinary Shares.</w:t>
      </w:r>
    </w:p>
    <w:p>
      <w:pPr>
        <w:spacing w:after="0" w:line="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immediately after this offering</w:t>
      </w:r>
    </w:p>
    <w:p>
      <w:pPr>
        <w:sectPr>
          <w:pgSz w:w="11900" w:h="16838" w:orient="portrait"/>
          <w:cols w:equalWidth="0" w:num="1">
            <w:col w:w="10925"/>
          </w:cols>
          <w:pgMar w:left="475" w:top="914" w:right="499" w:bottom="1440" w:gutter="0" w:footer="0" w:header="0"/>
          <w:type w:val="continuous"/>
        </w:sectPr>
      </w:pPr>
    </w:p>
    <w:p>
      <w:pPr>
        <w:spacing w:after="0" w:line="2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Offering Price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 per ADS.</w:t>
      </w:r>
    </w:p>
    <w:p>
      <w:pPr>
        <w:spacing w:after="0" w:line="200" w:lineRule="exact"/>
        <w:rPr>
          <w:sz w:val="20"/>
          <w:szCs w:val="20"/>
          <w:color w:val="auto"/>
        </w:rPr>
      </w:pPr>
    </w:p>
    <w:p>
      <w:pPr>
        <w:sectPr>
          <w:pgSz w:w="11900" w:h="16838" w:orient="portrait"/>
          <w:cols w:equalWidth="0" w:num="2">
            <w:col w:w="1805" w:space="720"/>
            <w:col w:w="8400"/>
          </w:cols>
          <w:pgMar w:left="475" w:top="914" w:right="499" w:bottom="1440" w:gutter="0" w:footer="0" w:header="0"/>
          <w:type w:val="continuous"/>
        </w:sectPr>
      </w:pPr>
    </w:p>
    <w:p>
      <w:pPr>
        <w:spacing w:after="0" w:line="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ADSs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ADS represents one (1) Ordinary Share, with no par value. The ADSs may be evidenced by American Depositary Receipts (“ADRs”). The depositary will hold in custody the Ordinary Shares underlying the ADSs and you will have the rights of an ADS holder as provided in the Deposit Agreement among us, the depositary and owners and holders of ADSs from time to time.</w:t>
      </w:r>
    </w:p>
    <w:p>
      <w:pPr>
        <w:spacing w:after="0" w:line="180" w:lineRule="exact"/>
        <w:rPr>
          <w:sz w:val="20"/>
          <w:szCs w:val="20"/>
          <w:color w:val="auto"/>
        </w:rPr>
      </w:pPr>
    </w:p>
    <w:p>
      <w:pPr>
        <w:sectPr>
          <w:pgSz w:w="11900" w:h="16838" w:orient="portrait"/>
          <w:cols w:equalWidth="0" w:num="2">
            <w:col w:w="1805" w:space="720"/>
            <w:col w:w="8400"/>
          </w:cols>
          <w:pgMar w:left="475" w:top="914" w:right="499" w:bottom="1440" w:gutter="0" w:footer="0" w:header="0"/>
          <w:type w:val="continuous"/>
        </w:sectPr>
      </w:pPr>
    </w:p>
    <w:p>
      <w:pPr>
        <w:ind w:left="5"/>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proceeds to use from this offering will be approximately $13.8 million based on the sale of an aggregate of 4,285,715 ADSs at the public offering price of $3.50 per ADS, after deducting estimated placement agent fees and estimated offering expenses payable by us. We intend to use the net proceeds from the sale of the ADSs under this prospectus supplement for working capital and general corporate purposes. See “Use of Proceeds.”</w:t>
      </w:r>
    </w:p>
    <w:p>
      <w:pPr>
        <w:spacing w:after="0" w:line="180" w:lineRule="exact"/>
        <w:rPr>
          <w:sz w:val="20"/>
          <w:szCs w:val="20"/>
          <w:color w:val="auto"/>
        </w:rPr>
      </w:pPr>
    </w:p>
    <w:p>
      <w:pPr>
        <w:sectPr>
          <w:pgSz w:w="11900" w:h="16838" w:orient="portrait"/>
          <w:cols w:equalWidth="0" w:num="2">
            <w:col w:w="1805" w:space="720"/>
            <w:col w:w="8400"/>
          </w:cols>
          <w:pgMar w:left="475" w:top="914" w:right="499" w:bottom="1440" w:gutter="0" w:footer="0" w:header="0"/>
          <w:type w:val="continuous"/>
        </w:sectPr>
      </w:pPr>
    </w:p>
    <w:p>
      <w:pPr>
        <w:ind w:left="5"/>
        <w:spacing w:after="0"/>
        <w:rPr>
          <w:sz w:val="20"/>
          <w:szCs w:val="20"/>
          <w:color w:val="auto"/>
        </w:rPr>
      </w:pPr>
      <w:r>
        <w:rPr>
          <w:rFonts w:ascii="Times New Roman" w:cs="Times New Roman" w:eastAsia="Times New Roman" w:hAnsi="Times New Roman"/>
          <w:sz w:val="17"/>
          <w:szCs w:val="17"/>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200" w:lineRule="exact"/>
        <w:rPr>
          <w:sz w:val="20"/>
          <w:szCs w:val="20"/>
          <w:color w:val="auto"/>
        </w:rPr>
      </w:pPr>
    </w:p>
    <w:p>
      <w:pPr>
        <w:sectPr>
          <w:pgSz w:w="11900" w:h="16838" w:orient="portrait"/>
          <w:cols w:equalWidth="0" w:num="2">
            <w:col w:w="1805" w:space="720"/>
            <w:col w:w="8400"/>
          </w:cols>
          <w:pgMar w:left="475" w:top="914" w:right="499" w:bottom="1440" w:gutter="0" w:footer="0" w:header="0"/>
          <w:type w:val="continuous"/>
        </w:sectPr>
      </w:pPr>
    </w:p>
    <w:p>
      <w:pPr>
        <w:spacing w:after="0" w:line="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Bank of New York Mellon, as custodian, acting through an office located in the United Kingdom.</w:t>
      </w:r>
    </w:p>
    <w:p>
      <w:pPr>
        <w:spacing w:after="0" w:line="200" w:lineRule="exact"/>
        <w:rPr>
          <w:sz w:val="20"/>
          <w:szCs w:val="20"/>
          <w:color w:val="auto"/>
        </w:rPr>
      </w:pPr>
    </w:p>
    <w:p>
      <w:pPr>
        <w:sectPr>
          <w:pgSz w:w="11900" w:h="16838" w:orient="portrait"/>
          <w:cols w:equalWidth="0" w:num="2">
            <w:col w:w="1805" w:space="720"/>
            <w:col w:w="8400"/>
          </w:cols>
          <w:pgMar w:left="475" w:top="914" w:right="499" w:bottom="1440" w:gutter="0" w:footer="0" w:header="0"/>
          <w:type w:val="continuous"/>
        </w:sectPr>
      </w:pPr>
    </w:p>
    <w:p>
      <w:pPr>
        <w:spacing w:after="0" w:line="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the ADSs involves significant risks. See the disclosure under the heading “Risk Factors” on page S-5 in this prospectus supplement and accompanying prospectus and under similar headings in other documents incorporated by reference into this prospectus supplement and the accompanying prospectus.</w:t>
      </w:r>
    </w:p>
    <w:p>
      <w:pPr>
        <w:spacing w:after="0" w:line="176" w:lineRule="exact"/>
        <w:rPr>
          <w:sz w:val="20"/>
          <w:szCs w:val="20"/>
          <w:color w:val="auto"/>
        </w:rPr>
      </w:pPr>
    </w:p>
    <w:p>
      <w:pPr>
        <w:sectPr>
          <w:pgSz w:w="11900" w:h="16838" w:orient="portrait"/>
          <w:cols w:equalWidth="0" w:num="2">
            <w:col w:w="1805" w:space="720"/>
            <w:col w:w="8400"/>
          </w:cols>
          <w:pgMar w:left="475" w:top="914" w:right="499" w:bottom="1440" w:gutter="0" w:footer="0" w:header="0"/>
          <w:type w:val="continuous"/>
        </w:sectPr>
      </w:pPr>
    </w:p>
    <w:p>
      <w:pPr>
        <w:ind w:left="5"/>
        <w:spacing w:after="0" w:line="282" w:lineRule="auto"/>
        <w:rPr>
          <w:sz w:val="20"/>
          <w:szCs w:val="20"/>
          <w:color w:val="auto"/>
        </w:rPr>
      </w:pPr>
      <w:r>
        <w:rPr>
          <w:rFonts w:ascii="Times New Roman" w:cs="Times New Roman" w:eastAsia="Times New Roman" w:hAnsi="Times New Roman"/>
          <w:sz w:val="18"/>
          <w:szCs w:val="18"/>
          <w:color w:val="auto"/>
        </w:rPr>
        <w:t>The 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“GNTA”</w:t>
      </w:r>
    </w:p>
    <w:p>
      <w:pPr>
        <w:spacing w:after="0" w:line="452" w:lineRule="exact"/>
        <w:rPr>
          <w:sz w:val="20"/>
          <w:szCs w:val="20"/>
          <w:color w:val="auto"/>
        </w:rPr>
      </w:pPr>
    </w:p>
    <w:p>
      <w:pPr>
        <w:sectPr>
          <w:pgSz w:w="11900" w:h="16838" w:orient="portrait"/>
          <w:cols w:equalWidth="0" w:num="2">
            <w:col w:w="1985" w:space="540"/>
            <w:col w:w="8400"/>
          </w:cols>
          <w:pgMar w:left="475" w:top="914" w:right="499" w:bottom="1440" w:gutter="0" w:footer="0" w:header="0"/>
          <w:type w:val="continuous"/>
        </w:sectPr>
      </w:pPr>
    </w:p>
    <w:p>
      <w:pPr>
        <w:ind w:left="5"/>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after this offering as shown above is based on 19,146,468 of our Ordinary Shares outstanding as of June 30, 2025, and excludes:</w:t>
      </w:r>
    </w:p>
    <w:p>
      <w:pPr>
        <w:spacing w:after="0" w:line="162" w:lineRule="exact"/>
        <w:rPr>
          <w:sz w:val="20"/>
          <w:szCs w:val="20"/>
          <w:color w:val="auto"/>
        </w:rPr>
      </w:pPr>
    </w:p>
    <w:p>
      <w:pPr>
        <w:ind w:left="325" w:hanging="325"/>
        <w:spacing w:after="0" w:line="282" w:lineRule="auto"/>
        <w:tabs>
          <w:tab w:leader="none" w:pos="3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1,465,815 Ordinary Shares issuable upon exercise of stock options outstanding as of June 30, 2025 with a weighted-average exercise price of $$3.96 per share;</w:t>
      </w:r>
    </w:p>
    <w:p>
      <w:pPr>
        <w:spacing w:after="0" w:line="161" w:lineRule="exact"/>
        <w:rPr>
          <w:rFonts w:ascii="Times New Roman" w:cs="Times New Roman" w:eastAsia="Times New Roman" w:hAnsi="Times New Roman"/>
          <w:sz w:val="18"/>
          <w:szCs w:val="18"/>
          <w:color w:val="auto"/>
        </w:rPr>
      </w:pPr>
    </w:p>
    <w:p>
      <w:pPr>
        <w:ind w:left="325" w:hanging="325"/>
        <w:spacing w:after="0" w:line="282" w:lineRule="auto"/>
        <w:tabs>
          <w:tab w:leader="none" w:pos="3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23,502 Ordinary Shares represented by ADSs issuable upon exercise of warrants outstanding as of June 30, 2025 with an exercise price of $14.375 per ADS; and</w:t>
      </w:r>
    </w:p>
    <w:p>
      <w:pPr>
        <w:spacing w:after="0" w:line="161" w:lineRule="exact"/>
        <w:rPr>
          <w:rFonts w:ascii="Times New Roman" w:cs="Times New Roman" w:eastAsia="Times New Roman" w:hAnsi="Times New Roman"/>
          <w:sz w:val="18"/>
          <w:szCs w:val="18"/>
          <w:color w:val="auto"/>
        </w:rPr>
      </w:pPr>
    </w:p>
    <w:p>
      <w:pPr>
        <w:ind w:left="325" w:hanging="325"/>
        <w:spacing w:after="0" w:line="282" w:lineRule="auto"/>
        <w:tabs>
          <w:tab w:leader="none" w:pos="3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1,914,646 Ordinary Shares reserved for future issuance under our 2021 – 2025 Stock Option Plan (the “Stock Option Plan”) as of June 30, 2025.</w:t>
      </w:r>
    </w:p>
    <w:p>
      <w:pPr>
        <w:spacing w:after="0" w:line="162" w:lineRule="exact"/>
        <w:rPr>
          <w:sz w:val="20"/>
          <w:szCs w:val="20"/>
          <w:color w:val="auto"/>
        </w:rPr>
      </w:pPr>
    </w:p>
    <w:p>
      <w:pPr>
        <w:ind w:left="5"/>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does not assume or give effect to the grant of any stock options or the exercise of outstanding stock options, warrants or conversion of mandatory convertible bonds after June 30, 2025.</w:t>
      </w:r>
    </w:p>
    <w:p>
      <w:pPr>
        <w:spacing w:after="0" w:line="200" w:lineRule="exact"/>
        <w:rPr>
          <w:sz w:val="20"/>
          <w:szCs w:val="20"/>
          <w:color w:val="auto"/>
        </w:rPr>
      </w:pPr>
    </w:p>
    <w:p>
      <w:pPr>
        <w:spacing w:after="0" w:line="20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5"/>
          </w:cols>
          <w:pgMar w:left="475" w:top="914" w:right="4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Investment in the ADSs sold in this offering involves risks. You should carefully consider the risk factors described below and in our Annual Report on Form 20-F for the year ended December 31, 2024, which is incorporated by reference in this prospectus supplement and the accompanying prospectus, and which may be amended, supplemented or superseded from time to time by any amendment or update thereto, other reports subsequently filed or furnished with the SEC, and all other information contained or incorporated by reference in this prospectus supplement and the accompanying prospectus, as updated by our subsequent filings with the SEC. The occurrence of any of these risks might cause you to lose all or part of your investment in the ADSs offered under this prospectus supplement. The risks and uncertainties previously described and discussed below are not the only ones we face. Additional risks and uncertainties not presently known to us, or that we currently see as immaterial, may also harm our business. If any of these risks actually occurs, our business, financial condition, results of operation or cash flow could be adversely affected. This could cause the trading price of the ADSs to decline, resulting in a loss of all or part of your investment. Please also read carefully the section below 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the ADSs sold in this offering, you may experience immediate and substantial dilution in the net tangible book value of the ADSs. In addition, we may issue additional equity or convertible debt securities in the future, which may result in additional dilution to you.</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the offering price of our ADSs being offered is substantially higher than the net tangible book value per share of our ADSs, you will pay a price per ADS that substantially exceeds the as adjusted book value of our tangible assets after subtracting our liabilities divided by our outstanding ADSs as of June 30, 2025. Based on a public offering price of $3.50 per ADS, you will experience immediate dilution of $2.34 per ADS, representing the difference between our net tangible book value per ADS as of June 30, 2025, after giving effect to this offering, and the offering price.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outstanding stock options or warrants are exercised, there will be further dilution to new investors. In addition, to the extent we need to raise additional capital in the future and we issue additional Ordinary Shares, Ordinary Shares represented by ADSs or securities convertible or exchangeable for our Ordinary Shares and/or Ordinary Shares represented by ADSs, our then existing shareholders may experience dilution and the new securities may have rights senior to those of the ADSs offered in this offering. The price per share or ADS at which we sell additional Ordinary Shares or ADSs, as applicable, or securities convertible or exchangeable into Ordinary Shares and/or ADSs, in any future transactions may be higher or lower than the price per ADS paid by investors in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working capital and general corporate purposes and working capital. The failure by our management to apply these funds effectively could harm our business. Pending their use, we plan to invest the net proceeds from this offering in a variety of capital preservation investments, including short-term, investment grade, and interest-bearing instruments and government securities. If we do not invest or apply the net proceeds from this offering in ways that enhance value for investors, we may fail to achieve expected financial results, which could cause the price of the ADSs to decline.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the ADSs and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require additional financing to fund future operations, including expansion in current and new markets, development and acquisition, capital costs and the costs of any necessary implementation of technological innovations or alternative technologies. We may not be able to obtain financing on favorable terms, if at all. If we raise additional funds by issuing equity securities, the percentage ownership of our current shareholders will be reduced, and the holders of the new equity securities may have rights superior to those of our existing securityholders, which could adversely affect the market price of the ADSs and the voting power of the ADSs.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and do not intend to pay, dividends on our Ordinary Shares and, therefore, unless the ADSs appreciate in value, our investors may not benefit from holding the ADSs.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for additional information.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ADSs in the public market or the perception that future sales may occur, could cause the market price of the ADSs to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offering, we will sell 4,285,715 ADSs representing 4,285,715 Ordinary Shares, which represent approximately 18.3% of our outstanding Ordinary Shares as of October 26, 2025, after giving effect to the Ordinary Shares represented by the ADSs sold in this offering. This sale and any future sales of a substantial number of ADSs in the public market or the perception that such sales may occur, could cause the market price of our ADSs on the Nasdaq Capital Market to decline. We cannot predict the effect, if any, that market sales of those ADSs or the availability of those ADSs for sale will have on the market price of our ADSs.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highly volatile.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January 1, 2025, the trading price of the ADSs has fluctuated, ranging from a closing price low of $2.75 on September 11, 2025 to a closing price high of $6.20 on October 24, 2025, and is likely to continue to be highly volatile. The following factors, in addition to other risk factors described in this section, may have a significant impact on the market price of the ADSs:</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 and non-clinical studies or clinical trials;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other gene therapy products or clinical studies of such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the approvals necessary to commence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results of clinical trials;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the failure to obtain it, or specific label indications or patient populations for its use, or changes or delays in the regulatory review process;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authorities with respect to our clinical trials, manufacturing supply chain or sales and marketing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the treatment of cancer tumors, or any other indication that we may seek to develop;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manufacturers or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biotechnology and pharmaceutical industries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 or our failure to meet expectations;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commencement of, or involvement in,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board of directors or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regulatory, research and development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in the United States relating to the sale or pricing of biotechnology or gene therapy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of the trading market in the ADSs;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recessions, inflation, increasing interest rates, supply chain shortages, rising fuel prices, tariffs and trade tensions or political instability in global, U.S. or particular foreign economies and markets;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or U.S. banking systems or the banking systems of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a local or worldwide pandemic geopolitical actions, including war and terrorism, or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or exercise of employee stock options or other equity awards;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securities analysts’ perception of the business risks and conditions of our business.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Nasdaq Capital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the ADS price to decline rapidly and unexpectedly.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that we are or will become classified as a passive foreign investment company. If we are or become classified as a passive foreign investment company, our U.S. shareholders may suffer adverse tax consequences as a result.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we will be treated as a passive foreign investment company (a “PFIC”) for U.S. federal income tax purposes in any taxable year in which either:</w:t>
      </w:r>
    </w:p>
    <w:p>
      <w:pPr>
        <w:spacing w:after="0" w:line="225" w:lineRule="exact"/>
        <w:rPr>
          <w:sz w:val="20"/>
          <w:szCs w:val="20"/>
          <w:color w:val="auto"/>
        </w:rPr>
      </w:pPr>
    </w:p>
    <w:p>
      <w:pPr>
        <w:jc w:val="both"/>
        <w:ind w:firstLine="8"/>
        <w:spacing w:after="0" w:line="258"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interest income earned by reason of the temporary investment of funds, including those raised in a public offering, and the excess of certain foreign currency gains over certain foreign currency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Our status may also depend, in part, on how quickly we utilize the cash proceeds from this offering in our business. Based on preliminary analysis, we believe that we may be classified as a PFIC for 2025 and future years.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a PFIC in any taxable year during which a U.S. taxpayer holds the ADSs, such U.S. taxpayer would be subject to certain adverse U.S. federal income tax rules. In particular, if the U.S. taxpayer did not make an election to treat us as a “qualified electing fund”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U.S. taxpayers that have held the ADSs during a period when we were a PFIC will be subject to the foregoing rules, even if we cease to be a PFIC in subsequent years, subject to exceptions for U.S. taxpayer who made a timely QEF or mark-to-market election.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do not expect to provide U.S. shareholders with the information necessary for a U.S. shareholder to make a QEF election. Prospective investors should assume that a QEF election will not be available.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“Taxation—U.S. Federal Income Taxation.”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4" w:right="339" w:bottom="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many statements that are “forward-looking” within the meaning of Section 27A of the Securities Act of 1933, as amended (the “Securities Act”), and Section 21E of the Securities Exchange Act of 1934, as amended (the “Exchange Act”),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prospectus supplement, any or all of those assumptions could prove to be inaccurate. As a result, the forward-looking statements based on those assumptions could also be incorrect. The forward-looking statements in this prospectus supplement, the accompanying prospectus and the documents incorporated by reference herein and therein include, without limitation, statements relating to:</w:t>
      </w:r>
    </w:p>
    <w:p>
      <w:pPr>
        <w:spacing w:after="0" w:line="18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application of the net proceeds from this offering;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revenues, profits, earnings and other financial information;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potential customers and suppliers in the future;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regarding our industry; and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as set forth under the “Risk Factors” section of this prospectus supplement and under “Item 3. Key Information—D. Risk Factors.” in our Annual Report on Form 20-F for the year ended December 31, 2024, which report is incorporated by reference in this prospectus supplement.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supplement in greater detail under the heading “Risk Factors” and elsewhere in this prospectus supplement. You should not rely upon forward-looking statements as predictions of future events.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 supplement.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SEC after the date of this prospectus supplement. See “Where You Can Find More Information.”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supplement, in “Item 3. Key Information—D. Risk Factors” in our Annual Report on Form 20-F for the year ended December 31, 2024, and in the other documents that we file with the SEC after the date of this prospectus supplement that are incorporated by reference into this prospectus supplement and the accompanying prospectus to better understand the risks and uncertainties inherent in our business and underlying any forward-looking statements. As a result of these factors, we cannot assure you that the forward-looking statements in this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net proceeds from our issuance and sale of ADSs in this offering will be approximately $13.8 million, after deducting estimated fees payable to the Placement Agents and estimated offering expenses payable by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We may also use a portion of the net proceeds to acquire or make investments in businesses, products, offerings and technologies, although we do not have agreements or commitments for any material acquisitions or investments at this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determined the amount of net proceeds to be used specifically for the foregoing purposes. As a result, our management will have broad discretion in the allocation of the net proceeds from this offering. Pending use of the net proceeds, we currently intend to invest any proceeds in a variety of capital preservation instruments, including short-term, investment grade, and interest-bearing instruments and government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invest in the ADSs in this offering, your interest will be diluted to the extent of the difference between the public offering price per ADS in this offering and the net tangible book value per ADS immediately after this offering. The net tangible book value of our Ordinary Shares as of June 30, 2025 was approximately $13.5million, or approximately $0.70 per Ordinary Share, based upon 19,146,468 Ordinary Shares outstanding as of June 30, 2025. Net tangible book value per Ordinary Share is equal to our total tangible assets, less our total liabilities, divided by the total number of Ordinary Shares outstanding as of June 30, 2025. For purposes of illustration, the following discussion assumes that all of our outstanding Ordinary Shares both before and after this offering are represented by ADSs, each representing one Ordinary Share.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the 4,285,715 ADSs in the aggregate amount of $15,000,002.50 in this offering, at the public offering price of $3.50 per ADS, and after deducting commissions and estimated offering expenses payable by us, our as adjusted net tangible book value as of June 30, 2025 would have been $27.3million, or $1.16per ADS. This represents an immediate increase in net tangible book value of $0.46per ADS to our existing shareholders and an immediate dilution in net tangible book value of $2.34per ADS to new investors in this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illustrates this calculation on a per ADS basis. The as-adjusted information is illustrative only and will adjust based on the actual price to the public, the actual number of ADSs sold, and other terms of the offering determined at the time ADSs are sold pursuant to this prospectus supplement. The as-adjusted information assumes that all of the 4,285,715 ADSs in the aggregate amount of $15,000,002.50 will be sold at the public offering price of $3.50 per ADS.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ADS</w:t>
            </w:r>
          </w:p>
        </w:tc>
        <w:tc>
          <w:tcPr>
            <w:tcW w:w="152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ADS as of June 30, 2025</w:t>
            </w:r>
          </w:p>
        </w:tc>
        <w:tc>
          <w:tcPr>
            <w:tcW w:w="15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0.70</w:t>
            </w:r>
          </w:p>
        </w:tc>
        <w:tc>
          <w:tcPr>
            <w:tcW w:w="11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ADS attributable to the offering</w:t>
            </w:r>
          </w:p>
        </w:tc>
        <w:tc>
          <w:tcPr>
            <w:tcW w:w="152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0.46</w:t>
            </w:r>
          </w:p>
        </w:tc>
        <w:tc>
          <w:tcPr>
            <w:tcW w:w="11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ADS after giving effect to the offering</w:t>
            </w:r>
          </w:p>
        </w:tc>
        <w:tc>
          <w:tcPr>
            <w:tcW w:w="15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ADS to new investors participating in the offering</w:t>
            </w:r>
          </w:p>
        </w:tc>
        <w:tc>
          <w:tcPr>
            <w:tcW w:w="152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r>
      <w:tr>
        <w:trPr>
          <w:trHeight w:val="43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The foregoing table excludes:</w:t>
            </w:r>
          </w:p>
        </w:tc>
        <w:tc>
          <w:tcPr>
            <w:tcW w:w="1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1,465,815 Ordinary Shares issuable upon exercise of stock options outstanding as of June 30, 2025 with a weighted-average exercise price of $3.96 per share;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23,502 Ordinary Shares represented by ADSs issuable upon exercise of warrants outstanding as of June 30, 2025 with an exercise price of $14.375 per ADS;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1,914,646 Ordinary Shares reserved for future issuance under the Stock Option Plan as of June 30,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table does not assume or give effect to the grant of any stock options or the exercise of outstanding stock options, warrants, or conversion of mandatory convertible bonds after June 30, 2025. To the extent stock options are exercised, there may be further dilution to new investors.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engaged Maxim Group LLC and Rodman &amp; Renshaw LLC to act as our placement agents in connection with this offering, on a reasonable best efforts basis, of our ADSs pursuant to this prospectus supplement and accompanying prospectus and subject to the terms and conditions of the placement agency agreement dated October 26,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this offering were subject to market conditions and negotiations between us, the Placement Agents and prospective investors. The engagement with the Placement Agents does not give rise to any commitment by the Placement Agents to purchase any of our ADSs, and the Placement Agents will have no authority to bind us by virtue of the engagement. Further, the Placement Agents do not guarantee that it will be able to raise new capital in any prospective offering. The Placement Agents may, with our prior written consent, engage sub-agents or selected dealers to assist with the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securities purchase agreement directly with certain institutional investors in connection with this offering, and we will only sell to investors pursuant to the terms of the securities purchase agreement. The securities purchase agreement provides that the obligations of the investors are subject to certain conditions precedent, including, among other things, the absence of any material adverse change in our business and the receipt of customary opinions and closing certificates.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securities purchase agreement were made solely for the benefit of us and the purchasers party thereto. In addition, such representations, warranties and covenants (i) are intended as a way of allocating the risk between us and the purchasers and not as statements of fact, and (ii) may apply standards of materiality in a way that is different from what may be viewed as material by shareholders of, or other investors in, our company. Moreover, information concerning the subject matter of the representations and warranties may change after the date of the securities purchase agreement, which subsequent information may or may not be fully reflected in public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deliver the ADSs on or about October 28, 2025, subject to satisfaction of customary closing conditions.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 and Expenses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 ADS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fees(1)</w:t>
            </w:r>
          </w:p>
        </w:tc>
        <w:tc>
          <w:tcPr>
            <w:tcW w:w="384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900,000.15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84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14,100,002.35</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Agents in connection with this offering a cash fee equal to 6.0% of the aggregate gross proceeds from the sale of the securities in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total expenses payable by us for this offering to be approximately $1.2 million, which amount includes (i) a fee of $900,000.15 payable to the Placement Agents, (ii) an expense allowance of $75,000 for legal fees and other out-of-pocket expenses of the Placement Agents; and (iii) other estimated expenses in connection with this offering of approximately $300,000 which include legal, accounting, and printing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Capital Market under the symbol “GNTA.” The last reported sale price of the ADSs on the Nasdaq Capital Market on October 24, 2025 was $6.20 per ADS. The trading price of the ADSs has fluctuated and is likely to continue to fluctuate due to a variety of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for the ADSs to be issued in this offering is The Bank of New York Mellon.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until ninety (90) days following the closing of this offering, not to (i) issue, enter into any agreement to issue or announce the issuance or proposed issuance of any ADSs, Ordinary Shares or equivalent securities; or (ii) file or caused to be filed any registration statement or amendment or supplement thereto, subject to certain limited exceptions.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also agreed, subject to certain exceptions, until (6) six months following the closing of this offering, not to conduct any sales of ADSs, Ordinary Shares or equivalent securities, involving a transaction in which the Company (i) issues or sells any debt or equity securities that are convertible into, exchangeable or exercisable for, or include the right to receive additional ADSs and/or Ordinary Shares either (A) at a conversion price, exercise price or exchange rate or other price that is based upon and/or varies with the trading prices of or quotations for the ADSs and/or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ADSs and/or Ordinary Shares,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provided, however, that, after ninety (90) days after the closing of this offering, the entry into and/or issuance of securities in an “at the market” offering with the Placement Agents, as sales agents, shall not be subject to the restrictions described above.</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officers and directors have agreed with the Placement Agents to be subject to a lock-up period of ninety (90) days following the closing of this offering. This means that, during the applicable lock-up period, such persons may not offer, sell, contract to sell, hypothecate, pledge or otherwise dispose of, or enter into any transaction which is designed to, or might reasonably be expected to, result in the disposition of any securities of the Company or otherwise publicly disclose the intention to do so,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Placement Agents may engage in syndicate covering transactions, stabilizing transactions and penalty bids or purchases for the purpose of pegging, fixing or maintaining the price of ADS:</w:t>
      </w:r>
    </w:p>
    <w:p>
      <w:pPr>
        <w:spacing w:after="0" w:line="162" w:lineRule="exact"/>
        <w:rPr>
          <w:sz w:val="20"/>
          <w:szCs w:val="20"/>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securities in the open market after the distribution has been completed in order to cover syndicate short positions. Such a naked short position would be closed out by buying securities in the open market. A naked short position is more likely to be created if the Placement Agents are concerned that there could be downward pressure on the price of the securities in the open market after pricing that could adversely affect investors who purchase in the offering.</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specific maximum.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Placement Agents to reclaim a selling concession from a syndicate member when the securities originally sold by the syndicate member are purchased in a stabilizing or syndicate covering transaction to cover syndicate short positions.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syndicate covering transactions, stabilizing transactions and penalty bids may have the effect of raising or maintaining the market prices of our securities or preventing or retarding a decline in the market prices of our securities. As a result, the price of ADS may be higher than the price that might otherwise exist in the open market. Neither we nor the Placement Agents make any representation or prediction as to the effect that the transactions described above may have on the price of ADS. These transactions may be effected on The Nasdaq Capital Market, in the over-the-counter market or on any other trading market and, if commenced, may be discontinued at any time.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Placement Agents also may engage in passive market making transactions in ADS in accordance with Regulation M during a period before the commencement of offers or sales of shares of ADS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the Placement Agents make any representation or prediction as to the direction or magnitude of any effect that the transactions described above may have on the prices of our securities. In addition, neither we nor the Placement Agents make any representation that the Placement Agents will engage in these transactions or that any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Agents against certain liabilities, including certain liabilities arising under the Securities Act, or to contribute to payments that the Placement Agents may be required to make for these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Placement Agents may be deemed to be underwriters within the meaning of Section 2(a)(11) of the Securities Act and any fees received by each of them and any profit realized on the sale of the securities by each of them while acting as principal might be deemed to be underwriting discounts or commissions under the Securities Act. The Placement Agents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Agents. Under these rules and regulations, the Placement Agents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Rodman acts as an agent for our “at-the-market” equity offering program. From time to time, the Placement Agents and each of their respective affiliates may provide in the future, various advisory, investment banking and other commercial services in the ordinary course of business to us or our affiliates. The Placement Agents have received, or may in the future receive, customary fees and commissions for these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does not purport to be a complete statement of the terms and conditions of the placement agency agreement and the form of the securities purchase agreement. A copy of the form of the securities purchase agreement with the purchasers will be included as an exhibit to our Current Report on Form 6-K to be furnished with the SEC and incorporated by reference into the registration statement of which this prospectus supplement and the accompanying prospectus form a part. See “Incorporation of Documents by Reference” and “Where You Can Find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a website maintained by the Placement Agents, and the Placement Agents may distribute this prospectus supplement and the accompanying prospectus electronically.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legal matters concerning this offering will be passed upon for us by Orrick, Herrington and Sutcliffe LLP, San Francisco, California. Certain legal matters with respect to the validity of the Ordinary Shares represented by ADSs offered by this prospectus supplement will be passed upon for us by Lexia, Milan, Italy. The Placement Agents are being represented in connection with this offering by Ellenoff Grossman &amp; Schole LLP, New York, New York, with respect to certain U.S. legal matters, and Chiomenti Studio Legale LLC, Milan, Italy, with respect to certain Italian legal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of Genenta as of December 31, 2024, 2023 and 2022 and for its fiscal years ended December 31, 2024, 2023 and 2022, respectively, included in the Company’s Annual Report on Form 20-F for the year ended December 31, 2024, incorporated by reference herein has been audited by Dannible and McKee, LLP, independent registered public accounting firm, as set forth in their report thereon. Such financial statements are incorporated by reference in this prospectus supplement in reliance upon such report given on the authority of such firm as experts in accounting and auditing. The address of Dannible &amp; McKee, LLP is 221 S. Warren Street #500, Syracuse, New York,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under the Securities Act, relating to this offering of securities. This prospectus supplement does not contain all of the information contained in the registration statement. The rules and regulations of the SEC allow us to omit certain information from this prospectus supplement that is included in the registration statement. Statements made in this prospectus supplement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reports on Form 20-F and other information with the SEC and furnish reports on Form 6-K to the SEC.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of the Exchange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www.genenta.com.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w:t>
      </w:r>
    </w:p>
    <w:p>
      <w:pPr>
        <w:spacing w:after="0" w:line="176"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28, 2025;</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6-K furnished to the SEC on </w:t>
      </w:r>
      <w:hyperlink r:id="rId31">
        <w:r>
          <w:rPr>
            <w:rFonts w:ascii="Times New Roman" w:cs="Times New Roman" w:eastAsia="Times New Roman" w:hAnsi="Times New Roman"/>
            <w:sz w:val="18"/>
            <w:szCs w:val="18"/>
            <w:u w:val="single" w:color="auto"/>
            <w:color w:val="0000EE"/>
          </w:rPr>
          <w:t>March 19,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March 19,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August 1, 2025</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September 10,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October 3,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October 10,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October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descriptions of our Ordinary Shares and ADSs contained in </w:t>
      </w:r>
      <w:hyperlink r:id="rId38">
        <w:r>
          <w:rPr>
            <w:rFonts w:ascii="Times New Roman" w:cs="Times New Roman" w:eastAsia="Times New Roman" w:hAnsi="Times New Roman"/>
            <w:sz w:val="18"/>
            <w:szCs w:val="18"/>
            <w:u w:val="single" w:color="auto"/>
            <w:color w:val="0000EE"/>
          </w:rPr>
          <w:t>Exhibit 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year ended December 31, 2024 filed by us with the SEC on March 28, 2025, including any amendment or report filed to update such description and any subsequent amendments or reports filed for the purpose of updating such description.</w:t>
      </w:r>
    </w:p>
    <w:p>
      <w:pPr>
        <w:spacing w:after="0" w:line="186" w:lineRule="exact"/>
        <w:rPr>
          <w:rFonts w:ascii="Times New Roman" w:cs="Times New Roman" w:eastAsia="Times New Roman" w:hAnsi="Times New Roman"/>
          <w:sz w:val="18"/>
          <w:szCs w:val="18"/>
          <w:color w:val="0000EE"/>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annual reports on Form 20-F and any amendment thereto and any report on Form 6-K (or portion thereof) that expressly indicates it is being incorporated by reference in this prospectus supplement, in each case, that we file with or furnish to the SEC prior to the termination or completion of the offering under this prospectus supplement (including all such reports or documents we may file with or furnish to the SEC on or after the date on which the registration statement of which this prospectus supplement is a part is first filed with the SEC and prior to the effectiveness of the registration statement), will also be incorporated by reference into this prospectus supplement and deemed to be part of this prospectus supplement from the date of the filing or furnishing of such reports and documents. Unless expressly incorporated by reference, nothing in this prospectus supplement shall be deemed to incorporate by reference information furnished to, but not filed with, the SEC.</w:t>
      </w:r>
    </w:p>
    <w:p>
      <w:pPr>
        <w:spacing w:after="0" w:line="189"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any document incorporated by reference herein shall be deemed to be modified or superseded for purposes of this prospectus supplement to the extent that a statement contained in this prospectus supplement modifies or supersedes such statement. Any statement so modified or superseded shall not be deemed, except as so modified or superseded, to constitute a part of this prospectus supplement.</w:t>
      </w:r>
    </w:p>
    <w:p>
      <w:pPr>
        <w:spacing w:after="0" w:line="176" w:lineRule="exact"/>
        <w:rPr>
          <w:rFonts w:ascii="Times New Roman" w:cs="Times New Roman" w:eastAsia="Times New Roman" w:hAnsi="Times New Roman"/>
          <w:sz w:val="18"/>
          <w:szCs w:val="18"/>
          <w:color w:val="0000EE"/>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documents that are incorporated by reference are available at the website maintained by the SEC at http://www.sec.gov. In addition,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to whom a copy of this prospectus supplement is delivered on the written or oral request of that person made to: Genenta Science S.p.A., Via Olgettina No. 58, 20132, Milan, Italy, Attention: Pierluigi Paracchi.</w:t>
      </w:r>
    </w:p>
    <w:p>
      <w:pPr>
        <w:spacing w:after="0" w:line="18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5"/>
          <w:szCs w:val="25"/>
          <w:b w:val="1"/>
          <w:bCs w:val="1"/>
          <w:color w:val="auto"/>
        </w:rPr>
        <w:t>$100,000,000</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Ordinary Shares Represented by American Depositary Shares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139700</wp:posOffset>
            </wp:positionV>
            <wp:extent cx="2760345" cy="625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27603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this prospectus, we may offer and sell from time to time, in one or more offerings, together or separately, ordinary shares; ordinary shares represented by American depositary shares (“ADSs”), each ADS representing one of our ordinary shares; rights exercisable for ordinary shares and/or ordinary shares represented by ADSs (“rights”); or any combination thereof as described in this prospectus. The total amount of these securities will have an initial aggregate offering price of up to $100,000,000. You should carefully read this prospectus, any prospectus supplement and any free writing prospectus, as well as any documents incorporated in any of the foregoing by reference, before you invest in our securities. This prospectus may not be used to sell our securities unless accompanied by a prospectus supplement. A prospectus supplement or any related free writing prospectus may also add to, update, supplement or clarify information contained in this prospectus.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Capital Market (“Nasdaq”) under the symbol “GNTA.” The last reported sale price of the ADSs on the Nasdaq on May 11, 2023 was $5.95 per ADS.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3 of this prospectus, as well as the section entitled “Item 3. Key Information—D. Risk Factors” beginning on page 3 of our Annual Report on Form 20-F for the year ended December 31, 2022, which report is incorporated by reference in this prospectus, before investing in our securities.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6"/>
        </w:trPr>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2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4360" w:type="dxa"/>
            <w:vAlign w:val="bottom"/>
            <w:gridSpan w:val="1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w:t>
            </w:r>
          </w:p>
        </w:tc>
        <w:tc>
          <w:tcPr>
            <w:tcW w:w="62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5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780" w:type="dxa"/>
            <w:vAlign w:val="bottom"/>
            <w:tcBorders>
              <w:top w:val="single" w:sz="8" w:color="CCEEFF"/>
            </w:tcBorders>
            <w:gridSpan w:val="7"/>
          </w:tcPr>
          <w:p>
            <w:pPr>
              <w:spacing w:after="0"/>
              <w:rPr>
                <w:sz w:val="15"/>
                <w:szCs w:val="15"/>
                <w:color w:val="auto"/>
              </w:rPr>
            </w:pPr>
          </w:p>
        </w:tc>
        <w:tc>
          <w:tcPr>
            <w:tcW w:w="6880" w:type="dxa"/>
            <w:vAlign w:val="bottom"/>
            <w:tcBorders>
              <w:top w:val="single" w:sz="8" w:color="CCEEFF"/>
            </w:tcBorders>
            <w:gridSpan w:val="2"/>
          </w:tcPr>
          <w:p>
            <w:pPr>
              <w:jc w:val="center"/>
              <w:ind w:left="61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40" w:type="dxa"/>
            <w:vAlign w:val="bottom"/>
            <w:tcBorders>
              <w:bottom w:val="single" w:sz="8" w:color="CCEEFF"/>
            </w:tcBorders>
            <w:gridSpan w:val="12"/>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61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43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880" w:type="dxa"/>
            <w:vAlign w:val="bottom"/>
            <w:gridSpan w:val="2"/>
          </w:tcPr>
          <w:p>
            <w:pPr>
              <w:jc w:val="center"/>
              <w:ind w:left="61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180" w:type="dxa"/>
            <w:vAlign w:val="bottom"/>
            <w:tcBorders>
              <w:bottom w:val="single" w:sz="8" w:color="CCEEFF"/>
            </w:tcBorders>
            <w:gridSpan w:val="10"/>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61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43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 and Governing Documents</w:t>
            </w:r>
          </w:p>
        </w:tc>
        <w:tc>
          <w:tcPr>
            <w:tcW w:w="6880" w:type="dxa"/>
            <w:vAlign w:val="bottom"/>
            <w:gridSpan w:val="2"/>
          </w:tcPr>
          <w:p>
            <w:pPr>
              <w:jc w:val="center"/>
              <w:ind w:left="61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2560" w:type="dxa"/>
            <w:vAlign w:val="bottom"/>
            <w:tcBorders>
              <w:bottom w:val="single" w:sz="8" w:color="CCEEFF"/>
            </w:tcBorders>
            <w:gridSpan w:val="6"/>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613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43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880" w:type="dxa"/>
            <w:vAlign w:val="bottom"/>
            <w:gridSpan w:val="2"/>
          </w:tcPr>
          <w:p>
            <w:pPr>
              <w:jc w:val="center"/>
              <w:ind w:left="613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340" w:type="dxa"/>
            <w:vAlign w:val="bottom"/>
            <w:tcBorders>
              <w:bottom w:val="single" w:sz="8" w:color="CCEEFF"/>
            </w:tcBorders>
            <w:gridSpan w:val="11"/>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613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43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880" w:type="dxa"/>
            <w:vAlign w:val="bottom"/>
            <w:gridSpan w:val="2"/>
          </w:tcPr>
          <w:p>
            <w:pPr>
              <w:jc w:val="center"/>
              <w:ind w:left="613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43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w:t>
            </w:r>
          </w:p>
        </w:tc>
        <w:tc>
          <w:tcPr>
            <w:tcW w:w="6880" w:type="dxa"/>
            <w:vAlign w:val="bottom"/>
            <w:gridSpan w:val="2"/>
            <w:shd w:val="clear" w:color="auto" w:fill="CCEEFF"/>
          </w:tcPr>
          <w:p>
            <w:pPr>
              <w:jc w:val="center"/>
              <w:ind w:left="613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3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w:t>
            </w:r>
          </w:p>
        </w:tc>
        <w:tc>
          <w:tcPr>
            <w:tcW w:w="6880" w:type="dxa"/>
            <w:vAlign w:val="bottom"/>
            <w:gridSpan w:val="2"/>
          </w:tcPr>
          <w:p>
            <w:pPr>
              <w:jc w:val="center"/>
              <w:ind w:left="613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480" w:type="dxa"/>
            <w:vAlign w:val="bottom"/>
            <w:tcBorders>
              <w:bottom w:val="single" w:sz="8" w:color="CCEEFF"/>
            </w:tcBorders>
            <w:gridSpan w:val="4"/>
            <w:shd w:val="clear" w:color="auto" w:fill="CCEEFF"/>
          </w:tcPr>
          <w:p>
            <w:pPr>
              <w:spacing w:after="0"/>
              <w:rPr>
                <w:sz w:val="17"/>
                <w:szCs w:val="17"/>
                <w:color w:val="auto"/>
              </w:rPr>
            </w:pPr>
          </w:p>
        </w:tc>
        <w:tc>
          <w:tcPr>
            <w:tcW w:w="6880" w:type="dxa"/>
            <w:vAlign w:val="bottom"/>
            <w:tcBorders>
              <w:bottom w:val="single" w:sz="8" w:color="CCEEFF"/>
            </w:tcBorders>
            <w:gridSpan w:val="2"/>
            <w:shd w:val="clear" w:color="auto" w:fill="CCEEFF"/>
          </w:tcPr>
          <w:p>
            <w:pPr>
              <w:jc w:val="center"/>
              <w:ind w:left="61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43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Information by Reference</w:t>
            </w:r>
          </w:p>
        </w:tc>
        <w:tc>
          <w:tcPr>
            <w:tcW w:w="6880" w:type="dxa"/>
            <w:vAlign w:val="bottom"/>
            <w:gridSpan w:val="2"/>
          </w:tcPr>
          <w:p>
            <w:pPr>
              <w:jc w:val="center"/>
              <w:ind w:left="613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and incorporated by reference in this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is part of a shelf registration statement that we have filed with the U.S. Securities and Exchange Commission (the “SEC”).</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this shelf registration, we may offer our ordinary shares, ordinary shares represented by ADSs, rights or any combination thereof, from time to time in one or more offerings. The total amount of these securities will have an initial aggregate offering price of up to $100,000,000. This prospectus only provides you with a general description of the securities that we may offer. Each time we offer a type of securities under this prospectus, we will provide a prospectus supplement that will contain more specific information about the specific terms of the offering. If any such securities are to be listed or quoted on a securities exchange or quotation system, the applicable prospectus supplement will say so. We may also authorize one or more free writing prospectuses to be provided to you that may contain material information relating to these offerings. This prospectus may not be used to sell our securities unless accompanied by a prospectus supplement. Each such prospectus supplement and any free writing prospectus that we may authorize to be provided to you may also add, update or change information contained in this prospectus or in documents incorporated by reference into this prospectus. We urge you to carefully read this prospectus, any applicable prospectus supplement and any related free writing prospectus, together with the information incorporated herein by reference as described under the headings “Where You Can Find More Information” and “Incorporation of Information by Reference” before you invest in our securities.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additional information or information different from that contained in or incorporated by reference in this prospectus, any applicable prospectus supplement and any related free writing prospectus filed with the SEC. We take no responsibility for, and can provide no assurances as to the reliability of, any information not contained in this prospectus, any applicable prospectus supplement or any related free writing prospectus that we may authorize to be provided to you. This prospectus is an offer to sell only the securities offered hereby, but only under circumstances and in jurisdictions where offers and sales of the securities are legally permitted. The information contained in this prospectus, any applicable prospectus supplement or any related free writing prospectus we file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that date. We will update this prospectus to the extent required by law.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 rather than establishing matters of fact. The information in the exhibits should not be read alone and instead should be read in conjunction with the information in this prospectus and other filings that we make with the SEC. Moreover, such representations, warranties or covenants were accurate only as of the date they were made. Accordingly, such representations, warranties and covenants should not be relied on as accurately representing the current state of our affairs.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references in this prospectus to “U.S. dollars” or “$” are to the legal currency of the United States and all references to “€” or “euro” are to the currency introduced at the start of the third stage of the European economic and monetary union pursuant to the treaty establishing the European Community, as amended.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figures included in this prospectus have been rounded for ease of presentation. Percentage figures included in this prospectus have not in all cases been calculated on the basis of such rounded figures but on the basis of such amounts prior to rounding. For this reason, percentage amounts in this prospectus may vary slightly from those obtained by performing the same calculations using the figures in our consolidated financial statements. Certain other amounts that appear in this prospectus may similarly not sum due to rounding.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throughout this prospectus, any applicable prospectus supplement and any related free writing prospectus, the words “Genenta,” “we,” “us,” “our,” “the Company,” “our company” or similar references refer to Genenta Science S.p.A. and its subsidiaries; and the term “securities” refers collectively to our ordinary shares, ordinary shares represented by ADSs, rights, or any combination of the foregoing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833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6130" cy="883348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or incorporated by reference in this prospectus from our Annual Report on Form 20-F for the year ended December 31, 2022, and our other filings with the SEC listed below under the heading “Incorporation of Information by Reference.” This summary may not contain all the information that you should consider before investing in our securities. You should read the entire prospectus, any applicable prospectus supplement and the information incorporated by reference in this prospectus and any applicable prospectus supplement carefully, including “Risk Factors” and the financial data and related notes and other information incorporated by reference, before making an investment decision. See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engaged in the development of hematopoietic stem cell gene therapies for the treatment of solid tumors. We have developed a novel biologic platform that involves the ex-vivo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Genenta was formed as an Italian limited liability company (</w:t>
      </w:r>
      <w:r>
        <w:rPr>
          <w:rFonts w:ascii="Times New Roman" w:cs="Times New Roman" w:eastAsia="Times New Roman" w:hAnsi="Times New Roman"/>
          <w:sz w:val="18"/>
          <w:szCs w:val="18"/>
          <w:i w:val="1"/>
          <w:iCs w:val="1"/>
          <w:color w:val="auto"/>
        </w:rPr>
        <w:t>società a responsabilità limitata</w:t>
      </w:r>
      <w:r>
        <w:rPr>
          <w:rFonts w:ascii="Times New Roman" w:cs="Times New Roman" w:eastAsia="Times New Roman" w:hAnsi="Times New Roman"/>
          <w:sz w:val="18"/>
          <w:szCs w:val="18"/>
          <w:color w:val="auto"/>
        </w:rPr>
        <w:t>) in 2014. In May 2021, we changed the legal form of our company under Italian law to a joint stock company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and is not incorporated by reference into, this prospectus. We have included our website address in this prospectus solely as an inactive textual reference. Investors should not rely on any such information in deciding whether to purchase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ADSs, each representing one ordinary share of the Company, have been listed on the Nasdaq Capital Market under the symbol “GNTA” since December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 this prospectus, we may offer ordinary shares, ordinary shares represented by ADSs, rights or any combination thereof. The aggregate offering price of securities that we may offer with this prospectus will not exceed $100,000,000.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ordinary shares with no par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 Represented by ADSs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ADSs, each representing one ordinary share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offer rights exercisable for ordinary shares and/or ordinary shares represented by ADSs. We may issue rights independently or together with other securities, the rights may be attached to or separate from these securities and the rights may or may not be transferable by the shareholder receiving the rights in the rights offering.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1049" w:right="4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in “Item 3. Key Information—D. Risk Factors” in our Annual Report on Form 20-F for the year ended December 31, 2022, which is incorporated herein by reference, and other documents we file with the SEC that are incorporated by reference in this prospectus and any applicable prospectus supplement, before making an investment decision. Each of the risks described could materially adversely affect our business, financial condition or results of operations, or the trading price of our securities. In such case, you could lose all or a portion of your original investment. See “Where You Can Find More Information.”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contains many statements that are “forward-looking” within the meaning of Section 27A of the Securities Act of 1933, as amended (the “Securities Act”), and Section 21E of the Securities Exchange Act of 1934, as amended (the “Exchange Act”),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prospectus, any or all of those assumptions could prove to be inaccurate. As a result, the forward-looking statements based on those assumptions could also be incorrect. The forward-looking statements in this prospectus include, without limitation, statements relating to:</w:t>
      </w:r>
    </w:p>
    <w:p>
      <w:pPr>
        <w:spacing w:after="0" w:line="19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revenues, profits, earnings and other estimated financial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strong relationships with our customers and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use of proceeds;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regarding our industry;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as set forth under the “Risk Factors” section of this prospectus and under “Item 3. Key Information—D. Risk Factors.” in our Annual Report on Form 20-F for the year ended December 31, 2022, which report is incorporated by reference in this prospectus.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SEC after the date of this prospectus. See “Where You Can Find More Information.”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in “Item 3. Key Information—D. Risk Factors” in our Annual Report on Form 20-F for the year ended December 31, 2022 and in the other documents that we file with the SEC after the date of this prospectus that are incorporated by reference into this prospectus to better understand the risks and uncertainties inherent in our business and underlying any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described in any prospectus supplement or in any related free writing prospectus that we may authorize to be provided to you, the net proceeds received by us from our sale of the securities described in this prospectus will be used for our general corporate purposes, which may include funding research and development, increasing our working capital, reducing indebtedness, acquisitions or investments in businesses, products or technologies that are complementary to our own and capital expenditures.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GOVERNING DOCUMENTS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 capital is composed of ordinary shares with no par value. As of December 31, 2022, our issued share capital consisted of 18,216,858 ordinary shares. All issued shares are fully paid, non-assessable and in registered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preference shares are designated, issued or outstanding.</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information concerning our ordinary shares and bylaws (</w:t>
      </w:r>
      <w:r>
        <w:rPr>
          <w:rFonts w:ascii="Times New Roman" w:cs="Times New Roman" w:eastAsia="Times New Roman" w:hAnsi="Times New Roman"/>
          <w:sz w:val="18"/>
          <w:szCs w:val="18"/>
          <w:i w:val="1"/>
          <w:iCs w:val="1"/>
          <w:color w:val="auto"/>
        </w:rPr>
        <w:t>Statuto</w:t>
      </w:r>
      <w:r>
        <w:rPr>
          <w:rFonts w:ascii="Times New Roman" w:cs="Times New Roman" w:eastAsia="Times New Roman" w:hAnsi="Times New Roman"/>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Italian law, most of the procedures regulating our Company, including certain rights of shareholders, are contained in our bylaws. Amendments to our bylaws must be approved at an extraordinary meeting of shareholders,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and transfer of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ordinary shares are not represented by share certificates (</w:t>
      </w:r>
      <w:r>
        <w:rPr>
          <w:rFonts w:ascii="Times New Roman" w:cs="Times New Roman" w:eastAsia="Times New Roman" w:hAnsi="Times New Roman"/>
          <w:sz w:val="18"/>
          <w:szCs w:val="18"/>
          <w:i w:val="1"/>
          <w:iCs w:val="1"/>
          <w:color w:val="auto"/>
        </w:rPr>
        <w:t>certificati azionari)</w:t>
      </w:r>
      <w:r>
        <w:rPr>
          <w:rFonts w:ascii="Times New Roman" w:cs="Times New Roman" w:eastAsia="Times New Roman" w:hAnsi="Times New Roman"/>
          <w:sz w:val="18"/>
          <w:szCs w:val="18"/>
          <w:color w:val="auto"/>
        </w:rPr>
        <w:t xml:space="preserve"> as they are dematerialised </w:t>
      </w:r>
      <w:r>
        <w:rPr>
          <w:rFonts w:ascii="Times New Roman" w:cs="Times New Roman" w:eastAsia="Times New Roman" w:hAnsi="Times New Roman"/>
          <w:sz w:val="18"/>
          <w:szCs w:val="18"/>
          <w:i w:val="1"/>
          <w:iCs w:val="1"/>
          <w:color w:val="auto"/>
        </w:rPr>
        <w:t>(azioni dematerializzate</w:t>
      </w:r>
      <w:r>
        <w:rPr>
          <w:rFonts w:ascii="Times New Roman" w:cs="Times New Roman" w:eastAsia="Times New Roman" w:hAnsi="Times New Roman"/>
          <w:sz w:val="18"/>
          <w:szCs w:val="18"/>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limitations on the right to own or vote our ordinary shares, which applies to non-Italian residents and foreign residents except for “Golden Power” regulations and Italian Antitrust laws (see “Notification of acquisition of shares” below).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where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 by the Company of any annual dividend is proposed by the board of directors and is subject to the approval of the shareholders at the annual shareholders’ meeting. Before dividends may be paid out of the Company’s unconsolidated net income in any year, an amount at least equal to 5% of such net income must be allocated to the Company’s legal reserve until such reserve is at least equal to one-fifth of the Company’s issued share capital. If the Company’s share capital is reduced as a result of accumulated losses, no dividends may be paid until the capital is reconstituted or reduced by the amount of such losses. The Company may pay dividends out of available retained earnings from prior years, provided that, after such payment, the Company will have a legal reserve at least equal to the legally required minimum. No interim dividends may be approved or paid.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will be paid in the manner and on the date specified in the shareholders’ resolution approving their payment. Dividends that are not collected within five years of the date on which they become payable are forfeited to the benefit of the Company. Holders of ADSs will be entitled to receive payments in respect of dividends on the underlying shares through The Bank of New York Mellon, as Depositary, in accordance with the Deposit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holders of the Company’s ordinary shares are entitled to one vote per ordinary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registered shareholder of the ordinary shares underlying the ADSs, the Depositary (or its nominee) will be entitled to vote the ordinary shares underlying the ADSs with respect to voting instructions received from ADS holders in accordance with the terms and conditions of the Deposit Agreement. Neither Italian law nor the Company’s bylaws limit the right of non-resident or foreign owners of the Company’s ordinary shares to hold or vote shares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 Those who exercise their preemptive rights, provided they make such request simultaneously, have a preemptive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 other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Debt-equity ratio</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Times New Roman" w:cs="Times New Roman" w:eastAsia="Times New Roman" w:hAnsi="Times New Roman"/>
          <w:sz w:val="18"/>
          <w:szCs w:val="18"/>
          <w:i w:val="1"/>
          <w:iCs w:val="1"/>
          <w:color w:val="auto"/>
        </w:rPr>
        <w:t>valore nominale</w:t>
      </w:r>
      <w:r>
        <w:rPr>
          <w:rFonts w:ascii="Times New Roman" w:cs="Times New Roman" w:eastAsia="Times New Roman" w:hAnsi="Times New Roman"/>
          <w:sz w:val="18"/>
          <w:szCs w:val="18"/>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of equity by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present intention to enter into any such transaction and no such transaction is currently in effect.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shares by us (Treasury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if we do not have such available profits or reserves,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limitations do not apply in case we purchase our shares: (i) by giving execution to a shareholders’ meeting resolution authorizing capital reduction through repurchase or cancellation; (ii) for free, to the extent they are fully paid-in; (iii) as a consequence of universal succession, merger or demerger; or (iv) on occasion of foreclosures authorized to satisfy a creditor of our company, to the extent they are fully paid-in.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hold any of its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the acquisition of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if we fall under the scope of the Law Decree No. 21 of March 15, 2012 (the so-called Italian “Golden Power” regulations), as subsequently amended and supplemented, (i) certain resolutions of the Company and, if specific thresholds requirements are met, and (ii) certain third-party investors’ purchases of our shares may be subject to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notifications to the Italian Government which may object to the transaction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in such cases the Government would have, among others:</w:t>
      </w:r>
    </w:p>
    <w:p>
      <w:pPr>
        <w:spacing w:after="0" w:line="225"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veto or to impose specific conditions with respect to the acquisition of certain shareholdings by any foreign entity outside the European Union with respect to companies having assets and business in sectors of strategic importance; and</w:t>
      </w:r>
    </w:p>
    <w:p>
      <w:pPr>
        <w:ind w:left="66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veto or impose specific conditions with regard to the adoption of specific corporate resolutions, acts or transactions by the same companies.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Minority shareholders’ rights; withdrawal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shareholder may bring to the attention of the board of statutory auditors facts or acts which such shareholder deems wrongful. If such shareholders represent at least 5% of our share capital, or in case we are considered an Open Company (as described below)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governed by the corporate laws of Italy, and is legally considered and treated, according to the Italian Civil Code, as a private company because our shares are not listed on a regulated market in Italy or within the European Union.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should be noted that under Italian corporate law, while joint-stock companies are all the same type of legal entity, there is a distinction between those companies that do not have access to the capital markets (</w:t>
      </w:r>
      <w:r>
        <w:rPr>
          <w:rFonts w:ascii="Times New Roman" w:cs="Times New Roman" w:eastAsia="Times New Roman" w:hAnsi="Times New Roman"/>
          <w:sz w:val="18"/>
          <w:szCs w:val="18"/>
          <w:i w:val="1"/>
          <w:iCs w:val="1"/>
          <w:color w:val="auto"/>
        </w:rPr>
        <w:t>Private Companies</w:t>
      </w:r>
      <w:r>
        <w:rPr>
          <w:rFonts w:ascii="Times New Roman" w:cs="Times New Roman" w:eastAsia="Times New Roman" w:hAnsi="Times New Roman"/>
          <w:sz w:val="18"/>
          <w:szCs w:val="18"/>
          <w:color w:val="auto"/>
        </w:rPr>
        <w:t>) and companies that have such access. This latter category comprises both companies listed on European regulated markets (</w:t>
      </w:r>
      <w:r>
        <w:rPr>
          <w:rFonts w:ascii="Times New Roman" w:cs="Times New Roman" w:eastAsia="Times New Roman" w:hAnsi="Times New Roman"/>
          <w:sz w:val="18"/>
          <w:szCs w:val="18"/>
          <w:i w:val="1"/>
          <w:iCs w:val="1"/>
          <w:color w:val="auto"/>
        </w:rPr>
        <w:t>Public Companies</w:t>
      </w:r>
      <w:r>
        <w:rPr>
          <w:rFonts w:ascii="Times New Roman" w:cs="Times New Roman" w:eastAsia="Times New Roman" w:hAnsi="Times New Roman"/>
          <w:sz w:val="18"/>
          <w:szCs w:val="18"/>
          <w:color w:val="auto"/>
        </w:rPr>
        <w:t>) and companies whose securities are not listed on such markets, insofar as they have completed a significant distribution of their securities among the public (so-called “</w:t>
      </w:r>
      <w:r>
        <w:rPr>
          <w:rFonts w:ascii="Times New Roman" w:cs="Times New Roman" w:eastAsia="Times New Roman" w:hAnsi="Times New Roman"/>
          <w:sz w:val="18"/>
          <w:szCs w:val="18"/>
          <w:i w:val="1"/>
          <w:iCs w:val="1"/>
          <w:color w:val="auto"/>
        </w:rPr>
        <w:t>emittenti aventi strumenti finanziari diffusi tra il pubblico in maniera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rilevante</w:t>
      </w:r>
      <w:r>
        <w:rPr>
          <w:rFonts w:ascii="Times New Roman" w:cs="Times New Roman" w:eastAsia="Times New Roman" w:hAnsi="Times New Roman"/>
          <w:sz w:val="18"/>
          <w:szCs w:val="18"/>
          <w:color w:val="auto"/>
        </w:rPr>
        <w:t>”), according to the relevant provisions set forth in Italian Financials’ Consolidated Act and its implementing provisions (</w:t>
      </w:r>
      <w:r>
        <w:rPr>
          <w:rFonts w:ascii="Times New Roman" w:cs="Times New Roman" w:eastAsia="Times New Roman" w:hAnsi="Times New Roman"/>
          <w:sz w:val="18"/>
          <w:szCs w:val="18"/>
          <w:i w:val="1"/>
          <w:iCs w:val="1"/>
          <w:color w:val="auto"/>
        </w:rPr>
        <w:t>Open Companies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Pursuant to Article 2-bis of the Issuer’s Regulation implemented by Consob (</w:t>
      </w:r>
      <w:r>
        <w:rPr>
          <w:rFonts w:ascii="Times New Roman" w:cs="Times New Roman" w:eastAsia="Times New Roman" w:hAnsi="Times New Roman"/>
          <w:sz w:val="18"/>
          <w:szCs w:val="18"/>
          <w:i w:val="1"/>
          <w:iCs w:val="1"/>
          <w:color w:val="auto"/>
        </w:rPr>
        <w:t>Regolamento emittenti</w:t>
      </w:r>
      <w:r>
        <w:rPr>
          <w:rFonts w:ascii="Times New Roman" w:cs="Times New Roman" w:eastAsia="Times New Roman" w:hAnsi="Times New Roman"/>
          <w:sz w:val="18"/>
          <w:szCs w:val="18"/>
          <w:color w:val="auto"/>
        </w:rPr>
        <w:t>), Open Companies must meet the following requirements:</w:t>
      </w:r>
    </w:p>
    <w:p>
      <w:pPr>
        <w:spacing w:after="0" w:line="16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at least 500 shareholders in addition to the majority shareholders who hold at least 5% of the outstanding share capital;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at least two out of the following three thresholds:</w:t>
      </w:r>
    </w:p>
    <w:p>
      <w:pPr>
        <w:spacing w:after="0" w:line="23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side of €4.4 million;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€8.8 million;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of 50 employees during the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issue financial instruments widely distributed among the public, the regulation relating to Open Companies could apply to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represented by ADSs under the symbol “GNTA.” Neither the Company’s ordinary shares nor its ADSs are listed on a securities exchange outside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of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register is currently kept by Spafid S.p.A., which acts as registrar. The share register reflects only record owners of our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ordinary shares, ordinary shares represented by ADSs, rights or any combination thereof from time to time in one or more offerings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and/or free writing prospectus that will describe the specific amounts, prices and other important terms of the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description of our ordinary shares, please refer to the Description of Securities, filed as Exhibit 2.4 to our Annual Report on Form 20-F for the year ended December 31, 2022, which is incorporated herein by reference. Because that description is a summary, it may not contain all of the information important to you. Accordingly, that description is qualified entirely by reference to our bylaws (</w:t>
      </w:r>
      <w:r>
        <w:rPr>
          <w:rFonts w:ascii="Times New Roman" w:cs="Times New Roman" w:eastAsia="Times New Roman" w:hAnsi="Times New Roman"/>
          <w:sz w:val="18"/>
          <w:szCs w:val="18"/>
          <w:i w:val="1"/>
          <w:iCs w:val="1"/>
          <w:color w:val="auto"/>
        </w:rPr>
        <w:t>statuto</w:t>
      </w:r>
      <w:r>
        <w:rPr>
          <w:rFonts w:ascii="Times New Roman" w:cs="Times New Roman" w:eastAsia="Times New Roman" w:hAnsi="Times New Roman"/>
          <w:sz w:val="18"/>
          <w:szCs w:val="18"/>
          <w:color w:val="auto"/>
        </w:rPr>
        <w:t>), a copy of which has been filed as an exhibit to the registration statement of which this prospectus forms a part. See “Where You Can Find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 Representing Our 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description of the ADSs, please refer to the Description of Securities, filed as Exhibit 2.4 to our Annual Report on Form 20-F for the year ended December 31, 2022, which is incorporated herein by reference. Because that description is a summary, it may not contain all of the information important to you. Accordingly, that description is qualified entirely by reference to the Deposit Agreement and the form of American Depositary Receipt, which are filed as exhibits to the registration statement of which this prospectus forms a part. See “Where You Can Find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rights for the purchase of our ordinary shares and/or ordinary shares represented by ADSs. We may issue rights independently or together with other securities, the rights may be attached to or separate from these securities and the rights may or may not be transferable by the shareholder receiving the rights in the rights offering.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evidence rights by rights certificates that we will issue. Rights may be issued under an applicable rights agreement that we enter into with a rights agent. We will indicate the name and address of the rights agent, if applicable, in the prospectus supplement relating to the rights being offered.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urge you to read the applicable prospectus supplement and any free writing prospectus that we may authorize to be provided to you related to the rights being offered, as well as the complete rights agreements and/or rights certificates that contain the terms of the rights. Forms of the rights agreements and/or forms of rights certificates containing the terms of the rights being offered will be filed as exhibits to the registration statement of which this prospectus is a part or will be incorporated by reference from reports that we file with the SEC.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our securities from time to time in one or more transactions. We may sell our securities to or through agents, underwriters, dealers, remarketing firms or other third parties or directly to one or more purchasers or through a combination of any of these methods. In some cases, we or dealers acting with us or on our behalf may also purchase our securities and reoffer them to the public. We may also offer and sell, or agree to deliver, securities pursuant to, or in connection with, any option agreement or other contractual arrangement.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whom we designate may solicit offers to purchase our securities.</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name any agent involved in offering or selling our securities, and disclose any commissions that we will pay to the agent, in the applicable prospectus supplement.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applicable prospectus supplement, agents will act on a best efforts basis for the period of their appointment.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may be deemed to be underwriters under the Securities Act of any of our securities that they offer or sell.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use an underwriter or underwriters in the offer or sale of our securities.</w:t>
      </w:r>
    </w:p>
    <w:p>
      <w:pPr>
        <w:spacing w:after="0" w:line="225"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an underwriter or underwriters, we will execute an underwriting agreement with the underwriter or underwriters at the time that we reach an agreement for the sale of our securities.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names of the specific managing underwriter or underwriters, as well as the names of any other underwriters, and the terms of the transactions, including the compensation the underwriters and dealers will receive, in the applicable prospectus supplement.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use the applicable prospectus supplement, together with the prospectus, to sell our securities.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offer our ordinary shares (including those represented by ADSs) in a subscription rights offering to our existing shareholders,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use a dealer to sell our securities.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 dealer, we will sell our securities to the dealer, as principal.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will then sell our securities to the public at varying prices that the dealer will determine at the time it sells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 of the dealer and the terms of the transactions with the dealer in the applicable prospectus supplement.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We may solicit directly offers to purchase our securities, and we may directly sell our securities to institutional or other investors. We will describe the terms of direct sales in the applicable prospectus supplement.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of the Securities Act.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Agents, underwriters and dealers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indemnify agents, underwriters and dealers against certain liabilities, including liabilities under the Securities Act. Agents, underwriters and dealers, or their affiliates, may be customers of, engage in transactions with or perform services for us or our respective affiliates, in the ordinary course of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authorize agents and underwriters to solicit offers by certain institutions to purchase our securities at the public offering price under delayed delivery contracts.</w:t>
      </w:r>
    </w:p>
    <w:p>
      <w:pPr>
        <w:spacing w:after="0" w:line="162"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delayed delivery contracts, we will disclose that we are using them in the applicable prospectus supplement and will tell you when we will demand payment and when delivery of our securities will be made under the delayed delivery contracts.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delayed delivery contracts will be subject only to the conditions that we describe in the applicable prospectus supplement.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describe in the applicable prospectus supplement the commission that underwriters and agents soliciting purchases of our securities under delayed delivery contracts will be entitled to receive.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in connection with a particular underwritten offering of our securities, the underwriters will not be obligated to purchase offered securities unless specified conditions are satisfied, and if the underwriters do purchase any offered securities, they will purchase all offered securities.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(“FINRA”).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prices relating to such prevailing market prices or at negotiated or fixed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terms of the lock-up provisions, if any, with respect to any given offering will be described in the applicable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expenses of any offering of our securities will be detailed in the applicable prospectus supplement.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agents, underwriters, dealers, remarketing firms or other third parties and their compensation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will be passed upon for us by Giovannelli e Associati, Studio Legale, Italy. Any underwriters, dealers or agents will be advised by their own legal counsel concerning issues relating to any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of Genenta as of December 31, 2022 and for its fiscal year ended December 31, 2022, included in the Company’s Annual Report on Form 20-F for the year ended December 31, 2022, incorporated by reference herein has been audited by Dannible and McKee, LLP, independent registered public accounting firm, as set forth in their report thereon. Such financial statements are incorporated by reference in this prospectus in reliance upon such report given on the authority of such firm as experts in accounting and auditing. The address of Dannible &amp; McKee, LLP is 221 S. Warren Street #500, Syracuse, New York, United States.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of Genenta as of December 31, 2021, and for each of its fiscal years in the two-year period ended December 31, 2021, included in the Company’s Annual Report on Form 20-F for the year ended December 31, 2022, incorporated by reference herein has been audited by Mayer Hoffman McCann P.C., independent registered public accounting firm, as set forth in their report thereon. Such financial statements are incorporated by reference in this prospectus in reliance upon such report given on the authority of such firm as experts in accounting and auditing. The address of Mayer Hoffman McCann P.C. is 13500 Evening Creek Drive North #450, San Diego, California, United States.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than the SEC registration fee and the FINRA filing fee, the following are the estimated expenses related to the filing of the registration statement of which this prospectus forms a part, all of which will be paid by us. In addition, we anticipate incurring additional expenses in the future in connection with the offering of our securities pursuant to this prospectus. Any such additional expenses will be disclosed in a prospectus supplement.</w:t>
      </w:r>
    </w:p>
    <w:p>
      <w:pPr>
        <w:spacing w:after="0" w:line="185" w:lineRule="exact"/>
        <w:rPr>
          <w:sz w:val="20"/>
          <w:szCs w:val="20"/>
          <w:color w:val="auto"/>
        </w:rPr>
      </w:pPr>
    </w:p>
    <w:p>
      <w:pPr>
        <w:ind w:left="4140"/>
        <w:spacing w:after="0"/>
        <w:tabs>
          <w:tab w:leader="none" w:pos="9840" w:val="left"/>
        </w:tabs>
        <w:rPr>
          <w:sz w:val="20"/>
          <w:szCs w:val="20"/>
          <w:color w:val="auto"/>
        </w:rPr>
      </w:pPr>
      <w:r>
        <w:rPr>
          <w:rFonts w:ascii="Times New Roman" w:cs="Times New Roman" w:eastAsia="Times New Roman" w:hAnsi="Times New Roman"/>
          <w:sz w:val="18"/>
          <w:szCs w:val="18"/>
          <w:b w:val="1"/>
          <w:bCs w:val="1"/>
          <w:color w:val="auto"/>
        </w:rPr>
        <w:t>Expenses</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60" w:type="dxa"/>
            <w:vAlign w:val="bottom"/>
            <w:tcBorders>
              <w:top w:val="single" w:sz="8" w:color="auto"/>
            </w:tcBorders>
          </w:tcPr>
          <w:p>
            <w:pPr>
              <w:jc w:val="right"/>
              <w:ind w:right="5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11,020</w:t>
            </w:r>
          </w:p>
        </w:tc>
        <w:tc>
          <w:tcPr>
            <w:tcW w:w="6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1"/>
        </w:trPr>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500" w:space="720"/>
            <w:col w:w="2020"/>
          </w:cols>
          <w:pgMar w:left="320" w:top="684" w:right="339" w:bottom="1440" w:gutter="0" w:footer="0" w:header="0"/>
          <w:type w:val="continuous"/>
        </w:sect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depend on the securities offered and the number of issuances, and accordingly cannot be estimated at this time and will be reflected in the applicable prospectus supplement.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Times New Roman" w:cs="Times New Roman" w:eastAsia="Times New Roman" w:hAnsi="Times New Roman"/>
          <w:sz w:val="18"/>
          <w:szCs w:val="18"/>
          <w:i w:val="1"/>
          <w:iCs w:val="1"/>
          <w:color w:val="auto"/>
        </w:rPr>
        <w:t>without prejudice to the application of the international conventions binding on Italy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Section 64 of the International Private Law Act provides that a judgment issued in a foreign country is recognized in Italy, without any proceedings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without a rehearing on the merits) being necessary, if all of the following conditions are met:</w:t>
      </w:r>
    </w:p>
    <w:p>
      <w:pPr>
        <w:spacing w:after="0" w:line="160" w:lineRule="exact"/>
        <w:rPr>
          <w:sz w:val="20"/>
          <w:szCs w:val="20"/>
          <w:color w:val="auto"/>
        </w:rPr>
      </w:pPr>
    </w:p>
    <w:p>
      <w:pPr>
        <w:ind w:left="460" w:hanging="193"/>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judge who issued the judgment had the power to decide the case pursuant to the principles on jurisdiction provided by Italian law;</w:t>
      </w:r>
    </w:p>
    <w:p>
      <w:pPr>
        <w:spacing w:after="0" w:line="223" w:lineRule="exact"/>
        <w:rPr>
          <w:rFonts w:ascii="Times New Roman" w:cs="Times New Roman" w:eastAsia="Times New Roman" w:hAnsi="Times New Roman"/>
          <w:sz w:val="18"/>
          <w:szCs w:val="18"/>
          <w:color w:val="auto"/>
        </w:rPr>
      </w:pPr>
    </w:p>
    <w:p>
      <w:pPr>
        <w:ind w:left="260" w:firstLine="7"/>
        <w:spacing w:after="0" w:line="284" w:lineRule="auto"/>
        <w:tabs>
          <w:tab w:leader="none" w:pos="4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 of summons (or equivalent pleading) was duly served upon the defendant in compliance with the applicable provisions of the </w:t>
      </w:r>
      <w:r>
        <w:rPr>
          <w:rFonts w:ascii="Times New Roman" w:cs="Times New Roman" w:eastAsia="Times New Roman" w:hAnsi="Times New Roman"/>
          <w:sz w:val="18"/>
          <w:szCs w:val="18"/>
          <w:i w:val="1"/>
          <w:iCs w:val="1"/>
          <w:color w:val="auto"/>
        </w:rPr>
        <w:t>lex fori</w:t>
      </w:r>
      <w:r>
        <w:rPr>
          <w:rFonts w:ascii="Times New Roman" w:cs="Times New Roman" w:eastAsia="Times New Roman" w:hAnsi="Times New Roman"/>
          <w:sz w:val="18"/>
          <w:szCs w:val="18"/>
          <w:color w:val="auto"/>
        </w:rPr>
        <w:t xml:space="preserve"> (i.e., the application of the rules of the legal system to which the judge belongs);</w:t>
      </w:r>
    </w:p>
    <w:p>
      <w:pPr>
        <w:spacing w:after="0" w:line="158" w:lineRule="exact"/>
        <w:rPr>
          <w:rFonts w:ascii="Times New Roman" w:cs="Times New Roman" w:eastAsia="Times New Roman" w:hAnsi="Times New Roman"/>
          <w:sz w:val="18"/>
          <w:szCs w:val="18"/>
          <w:color w:val="auto"/>
        </w:rPr>
      </w:pPr>
    </w:p>
    <w:p>
      <w:pPr>
        <w:ind w:left="460" w:hanging="193"/>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entered an appearance, or their default was duly declared in compliance with the applicable provisions of the </w:t>
      </w:r>
      <w:r>
        <w:rPr>
          <w:rFonts w:ascii="Times New Roman" w:cs="Times New Roman" w:eastAsia="Times New Roman" w:hAnsi="Times New Roman"/>
          <w:sz w:val="18"/>
          <w:szCs w:val="18"/>
          <w:i w:val="1"/>
          <w:iCs w:val="1"/>
          <w:color w:val="auto"/>
        </w:rPr>
        <w:t>lex fori</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60" w:hanging="193"/>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to be recognized is a final judgment subject to no further appeal;</w:t>
      </w:r>
    </w:p>
    <w:p>
      <w:pPr>
        <w:spacing w:after="0" w:line="225" w:lineRule="exact"/>
        <w:rPr>
          <w:rFonts w:ascii="Times New Roman" w:cs="Times New Roman" w:eastAsia="Times New Roman" w:hAnsi="Times New Roman"/>
          <w:sz w:val="18"/>
          <w:szCs w:val="18"/>
          <w:color w:val="auto"/>
        </w:rPr>
      </w:pPr>
    </w:p>
    <w:p>
      <w:pPr>
        <w:ind w:left="460" w:hanging="193"/>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to be recognized does not contrast with a final judgment issued by an Italian court;</w:t>
      </w:r>
    </w:p>
    <w:p>
      <w:pPr>
        <w:spacing w:after="0" w:line="225" w:lineRule="exact"/>
        <w:rPr>
          <w:rFonts w:ascii="Times New Roman" w:cs="Times New Roman" w:eastAsia="Times New Roman" w:hAnsi="Times New Roman"/>
          <w:sz w:val="18"/>
          <w:szCs w:val="18"/>
          <w:color w:val="auto"/>
        </w:rPr>
      </w:pPr>
    </w:p>
    <w:p>
      <w:pPr>
        <w:ind w:left="260" w:firstLine="7"/>
        <w:spacing w:after="0" w:line="282" w:lineRule="auto"/>
        <w:tabs>
          <w:tab w:leader="none" w:pos="4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proceedings between the same parties and in relation to the same matter, which proceedings were commenced prior to the commencement of the foreign proceedings; and</w:t>
      </w:r>
    </w:p>
    <w:p>
      <w:pPr>
        <w:spacing w:after="0" w:line="161" w:lineRule="exact"/>
        <w:rPr>
          <w:rFonts w:ascii="Times New Roman" w:cs="Times New Roman" w:eastAsia="Times New Roman" w:hAnsi="Times New Roman"/>
          <w:sz w:val="18"/>
          <w:szCs w:val="18"/>
          <w:color w:val="auto"/>
        </w:rPr>
      </w:pPr>
    </w:p>
    <w:p>
      <w:pPr>
        <w:ind w:left="460" w:hanging="193"/>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to be recognized does not conflict with Italian public order.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foregoing, investors may be able to enforce in Italy judgments in civil and commercial matters that have been obtained from U.S. federal or state courts. Nevertheless, we cannot assure you that those judgments will be recognized or enforceable in Italy.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reports on Form 20-F and other information with the SEC and furnish reports on Form 6-K to the SEC.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of the Exchange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filed with the SEC on </w:t>
      </w:r>
      <w:hyperlink r:id="rId66">
        <w:r>
          <w:rPr>
            <w:rFonts w:ascii="Times New Roman" w:cs="Times New Roman" w:eastAsia="Times New Roman" w:hAnsi="Times New Roman"/>
            <w:sz w:val="18"/>
            <w:szCs w:val="18"/>
            <w:u w:val="single" w:color="auto"/>
            <w:color w:val="0000EE"/>
          </w:rPr>
          <w:t>February 1, 2023</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May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8">
        <w:r>
          <w:rPr>
            <w:rFonts w:ascii="Times New Roman" w:cs="Times New Roman" w:eastAsia="Times New Roman" w:hAnsi="Times New Roman"/>
            <w:sz w:val="18"/>
            <w:szCs w:val="18"/>
            <w:u w:val="single" w:color="auto"/>
            <w:color w:val="0000EE"/>
          </w:rPr>
          <w:t>May 10,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9">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April 21, 2023;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descriptions of our ordinary shares and ADSs contained in </w:t>
      </w:r>
      <w:hyperlink r:id="rId70">
        <w:r>
          <w:rPr>
            <w:rFonts w:ascii="Times New Roman" w:cs="Times New Roman" w:eastAsia="Times New Roman" w:hAnsi="Times New Roman"/>
            <w:sz w:val="18"/>
            <w:szCs w:val="18"/>
            <w:u w:val="single" w:color="auto"/>
            <w:color w:val="0000EE"/>
          </w:rPr>
          <w:t>Exhibit 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year ended December 31, 2022 filed by us with the SEC on April 21, 2023, including any amendment or report filed to update such description and any subsequent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annual reports on Form 20-F and any amendment thereto and any report on Form 6-K (or portion thereof) that expressly indicates it is being incorporated by reference in this prospectus, in each case, that we file with or furnish to the SEC prior to the termination or completion of the offering under this prospectus (including all such reports or documents we may file with or furnish to the SEC on or after the date on which the registration statement of which this prospectus is a part is first filed with the SEC and prior to the effectiveness of the registration statement), will also be incorporated by reference into this prospectus and deemed to be part of this prospectus from the date of the filing or furnishing of such reports and documents. Unless expressly incorporated by reference, nothing in this prospectus shall be deemed to incorporate by reference information furnished to, but not filed with, the SEC.</w:t>
      </w:r>
    </w:p>
    <w:p>
      <w:pPr>
        <w:spacing w:after="0" w:line="18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documents that are incorporated by reference are available at the website maintained by the SEC at http://www.sec.gov. In addition, copies of all documents incorporated by reference in this prospectus, other than exhibits to those documents unless such exhibits are specifically incorporated by reference in this prospectus, will be provided at no cost to each person, including any beneficial owner, to whom a copy of this prospectus is delivered on the written or oral request of that person made to: Genenta Science S.p.A., Via Olgettina No. 58, 20132, Milan, Italy, Attention: Pierluigi Paracchi.</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2411095</wp:posOffset>
            </wp:positionH>
            <wp:positionV relativeFrom="page">
              <wp:posOffset>843280</wp:posOffset>
            </wp:positionV>
            <wp:extent cx="2760345" cy="626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7603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4,285,715 American Depositary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691515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Placement Agents</w:t>
      </w:r>
    </w:p>
    <w:p>
      <w:pPr>
        <w:spacing w:after="0" w:line="223" w:lineRule="exact"/>
        <w:rPr>
          <w:sz w:val="20"/>
          <w:szCs w:val="20"/>
          <w:color w:val="auto"/>
        </w:rPr>
      </w:pPr>
    </w:p>
    <w:p>
      <w:pPr>
        <w:ind w:left="940"/>
        <w:spacing w:after="0"/>
        <w:tabs>
          <w:tab w:leader="none" w:pos="6280" w:val="left"/>
        </w:tabs>
        <w:rPr>
          <w:sz w:val="20"/>
          <w:szCs w:val="20"/>
          <w:color w:val="auto"/>
        </w:rPr>
      </w:pPr>
      <w:r>
        <w:rPr>
          <w:rFonts w:ascii="Times New Roman" w:cs="Times New Roman" w:eastAsia="Times New Roman" w:hAnsi="Times New Roman"/>
          <w:sz w:val="18"/>
          <w:szCs w:val="18"/>
          <w:b w:val="1"/>
          <w:bCs w:val="1"/>
          <w:color w:val="auto"/>
        </w:rPr>
        <w:t>Maxim Group LLC</w:t>
      </w:r>
      <w:r>
        <w:rPr>
          <w:sz w:val="20"/>
          <w:szCs w:val="20"/>
          <w:color w:val="auto"/>
        </w:rPr>
        <w:tab/>
      </w:r>
      <w:r>
        <w:rPr>
          <w:rFonts w:ascii="Times New Roman" w:cs="Times New Roman" w:eastAsia="Times New Roman" w:hAnsi="Times New Roman"/>
          <w:sz w:val="18"/>
          <w:szCs w:val="18"/>
          <w:b w:val="1"/>
          <w:bCs w:val="1"/>
          <w:color w:val="auto"/>
        </w:rPr>
        <w:t>Rodman &amp; Renshaw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1)"/>
      <w:numFmt w:val="lowerLetter"/>
      <w:start w:val="1"/>
    </w:lvl>
    <w:lvl w:ilvl="1">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jpe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jpe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30" Type="http://schemas.openxmlformats.org/officeDocument/2006/relationships/hyperlink" Target="https://www.sec.gov/Archives/edgar/data/1838716/000164117225001207/form20-f.htm" TargetMode="External"/><Relationship Id="rId31" Type="http://schemas.openxmlformats.org/officeDocument/2006/relationships/hyperlink" Target="https://www.sec.gov/Archives/edgar/data/1838716/000149315225010883/form6-k.htm" TargetMode="External"/><Relationship Id="rId32" Type="http://schemas.openxmlformats.org/officeDocument/2006/relationships/hyperlink" Target="https://www.sec.gov/Archives/edgar/data/1838716/000149315225010882/form6-k.htm" TargetMode="External"/><Relationship Id="rId33" Type="http://schemas.openxmlformats.org/officeDocument/2006/relationships/hyperlink" Target="https://www.sec.gov/Archives/edgar/data/1838716/000149315225011539/form6-k.htm" TargetMode="External"/><Relationship Id="rId34" Type="http://schemas.openxmlformats.org/officeDocument/2006/relationships/hyperlink" Target="https://www.sec.gov/Archives/edgar/data/1838716/000149315225012987/form6-k.htm" TargetMode="External"/><Relationship Id="rId35" Type="http://schemas.openxmlformats.org/officeDocument/2006/relationships/hyperlink" Target="https://www.sec.gov/Archives/edgar/data/1838716/000149315225016847/form6-k.htm" TargetMode="External"/><Relationship Id="rId36" Type="http://schemas.openxmlformats.org/officeDocument/2006/relationships/hyperlink" Target="https://www.sec.gov/Archives/edgar/data/1838716/000149315225017756/form6-k.htm" TargetMode="External"/><Relationship Id="rId37" Type="http://schemas.openxmlformats.org/officeDocument/2006/relationships/hyperlink" Target="https://www.sec.gov/Archives/edgar/data/1838716/000149315225019384/form6-k.htm" TargetMode="External"/><Relationship Id="rId38" Type="http://schemas.openxmlformats.org/officeDocument/2006/relationships/hyperlink" Target="https://www.sec.gov/Archives/edgar/data/1838716/000164117225001207/ex2-4.htm" TargetMode="External"/><Relationship Id="rId66" Type="http://schemas.openxmlformats.org/officeDocument/2006/relationships/hyperlink" Target="https://www.sec.gov/Archives/edgar/data/1838716/000149315223003331/form6-k.htm" TargetMode="External"/><Relationship Id="rId67" Type="http://schemas.openxmlformats.org/officeDocument/2006/relationships/hyperlink" Target="https://www.sec.gov/Archives/edgar/data/1838716/000149315223014964/form6-k.htm" TargetMode="External"/><Relationship Id="rId68" Type="http://schemas.openxmlformats.org/officeDocument/2006/relationships/hyperlink" Target="https://www.sec.gov/Archives/edgar/data/1838716/000149315223016155/form6-k.htm" TargetMode="External"/><Relationship Id="rId69" Type="http://schemas.openxmlformats.org/officeDocument/2006/relationships/hyperlink" Target="https://www.sec.gov/ix?doc=/Archives/edgar/data/0001838716/000149315223013272/form20-f.htm" TargetMode="External"/><Relationship Id="rId70" Type="http://schemas.openxmlformats.org/officeDocument/2006/relationships/hyperlink" Target="https://www.sec.gov/Archives/edgar/data/1838716/000149315222011671/ex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2025-10-28T12:23:46Z</dcterms:created>
  <dcterms:modified xsi:type="dcterms:W3CDTF">2025-10-28T12:23:46Z</dcterms:modified>
</cp:coreProperties>
</file>