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20-f.htm"/>
      <w:bookmarkStart w:id="1" w:name="ksform20f"/>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40101__20"/>
      <w:bookmarkEnd w:id="2"/>
      <w:r>
        <w:rPr>
          <w:rFonts w:ascii="Times New Roman;Times;Serif" w:hAnsi="Times New Roman;Times;Serif"/>
          <w:b/>
          <w:i w:val="false"/>
          <w:caps w:val="false"/>
          <w:smallCaps w:val="false"/>
          <w:sz w:val="36"/>
        </w:rPr>
        <w:t>20-F</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3" w:name="xdx_909_edei--DocumentRegistrationStatem"/>
            <w:bookmarkEnd w:id="3"/>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PURSUANT TO SECTION 12(b) OR 12 (g) OF THE SECURITIES EXCHANGE ACT OF 1934</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245"/>
        <w:gridCol w:w="9515"/>
      </w:tblGrid>
      <w:tr>
        <w:trPr/>
        <w:tc>
          <w:tcPr>
            <w:tcW w:w="245" w:type="dxa"/>
            <w:tcBorders/>
            <w:vAlign w:val="center"/>
          </w:tcPr>
          <w:p>
            <w:pPr>
              <w:pStyle w:val="TableContents"/>
              <w:bidi w:val="0"/>
              <w:spacing w:before="0" w:after="283"/>
              <w:jc w:val="left"/>
              <w:rPr>
                <w:caps w:val="false"/>
                <w:smallCaps w:val="false"/>
              </w:rPr>
            </w:pPr>
            <w:bookmarkStart w:id="4" w:name="xdx_903_edei--DocumentAnnualReport_c2024"/>
            <w:bookmarkEnd w:id="4"/>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REPORT PURSUANT TO SECTION 13 OR 15(d) OF THE SECURITIES EXCHANGE ACT OF 1934 </w:t>
            </w:r>
          </w:p>
        </w:tc>
      </w:tr>
    </w:tbl>
    <w:p>
      <w:pPr>
        <w:pStyle w:val="TextBody"/>
        <w:bidi w:val="0"/>
        <w:ind w:left="340" w:right="0" w:hanging="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5_edei--CurrentFiscalYearEndDate_c"/>
      <w:bookmarkStart w:id="6" w:name="xdx_90F_edei--DocumentPeriodEndDate_c202"/>
      <w:bookmarkEnd w:id="5"/>
      <w:bookmarkEnd w:id="6"/>
      <w:r>
        <w:rPr>
          <w:rFonts w:ascii="Times New Roman;Times;Serif" w:hAnsi="Times New Roman;Times;Serif"/>
          <w:b/>
          <w:i w:val="false"/>
          <w:caps w:val="false"/>
          <w:smallCaps w:val="false"/>
          <w:sz w:val="20"/>
        </w:rPr>
        <w:t xml:space="preserve">December 31, </w:t>
      </w:r>
      <w:bookmarkStart w:id="7" w:name="xdx_90E_edei--DocumentFiscalYearFocus_c2"/>
      <w:bookmarkEnd w:id="7"/>
      <w:r>
        <w:rPr>
          <w:rFonts w:ascii="Times New Roman;Times;Serif" w:hAnsi="Times New Roman;Times;Serif"/>
          <w:b/>
          <w:i w:val="false"/>
          <w:caps w:val="false"/>
          <w:smallCaps w:val="false"/>
          <w:sz w:val="20"/>
        </w:rPr>
        <w:t>2024</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45"/>
        <w:gridCol w:w="9920"/>
      </w:tblGrid>
      <w:tr>
        <w:trPr/>
        <w:tc>
          <w:tcPr>
            <w:tcW w:w="245" w:type="dxa"/>
            <w:tcBorders/>
            <w:vAlign w:val="center"/>
          </w:tcPr>
          <w:p>
            <w:pPr>
              <w:pStyle w:val="TableContents"/>
              <w:bidi w:val="0"/>
              <w:spacing w:before="0" w:after="283"/>
              <w:jc w:val="left"/>
              <w:rPr>
                <w:caps w:val="false"/>
                <w:smallCaps w:val="false"/>
              </w:rPr>
            </w:pPr>
            <w:bookmarkStart w:id="8" w:name="xdx_903_edei--DocumentTransitionReport_c"/>
            <w:bookmarkEnd w:id="8"/>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TRANSITION REPORT PURSUANT TO SECTION 13 OR 15(d) OF THE SECURITIES EXCHANGE ACT OF 1934 </w:t>
            </w:r>
          </w:p>
        </w:tc>
      </w:tr>
    </w:tbl>
    <w:p>
      <w:pPr>
        <w:pStyle w:val="TextBody"/>
        <w:bidi w:val="0"/>
        <w:ind w:left="8" w:right="0" w:hanging="0"/>
        <w:jc w:val="center"/>
        <w:rPr>
          <w:caps w:val="false"/>
          <w:smallCaps w:val="false"/>
        </w:rPr>
      </w:pPr>
      <w:r>
        <w:rPr>
          <w:caps w:val="false"/>
          <w:smallCaps w:val="false"/>
        </w:rPr>
        <w:t> </w:t>
      </w:r>
    </w:p>
    <w:p>
      <w:pPr>
        <w:pStyle w:val="TextBody"/>
        <w:bidi w:val="0"/>
        <w:ind w:left="8"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9" w:name="xdx_90E_edei--DocumentShellCompanyReport"/>
            <w:bookmarkEnd w:id="9"/>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SHELL COMPANY REPORT PURSUANT TO SECTION 13 OR 15(d) OF THE SECURITIES EXCHANGE ACT OF 1934 </w:t>
            </w:r>
          </w:p>
        </w:tc>
      </w:tr>
    </w:tbl>
    <w:p>
      <w:pPr>
        <w:pStyle w:val="TextBody"/>
        <w:bidi w:val="0"/>
        <w:ind w:left="340" w:right="0" w:hanging="36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report__________</w:t>
      </w:r>
    </w:p>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 to __________</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10" w:name="xdx_90F_edei--EntityFileNumber_c20240101"/>
      <w:bookmarkEnd w:id="10"/>
      <w:r>
        <w:rPr>
          <w:rFonts w:ascii="Times New Roman;Times;Serif" w:hAnsi="Times New Roman;Times;Serif"/>
          <w:b w:val="false"/>
          <w:i w:val="false"/>
          <w:caps w:val="false"/>
          <w:smallCaps w:val="false"/>
          <w:sz w:val="20"/>
        </w:rPr>
        <w:t>001-41115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11" w:name="xdx_90D_edei--EntityRegistrantName_c2024"/>
      <w:bookmarkEnd w:id="11"/>
      <w:r>
        <w:rPr>
          <w:rFonts w:ascii="Times New Roman;Times;Serif" w:hAnsi="Times New Roman;Times;Serif"/>
          <w:b/>
          <w:i w:val="false"/>
          <w:caps w:val="false"/>
          <w:smallCaps w:val="false"/>
          <w:sz w:val="36"/>
        </w:rPr>
        <w:t>Genenta Science S.p.A.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xdx_90C_edei--EntityIncorporationStateCo"/>
      <w:bookmarkEnd w:id="12"/>
      <w:r>
        <w:rPr>
          <w:rFonts w:ascii="Times New Roman;Times;Serif" w:hAnsi="Times New Roman;Times;Serif"/>
          <w:b/>
          <w:i w:val="false"/>
          <w:caps w:val="false"/>
          <w:smallCaps w:val="false"/>
          <w:sz w:val="20"/>
        </w:rPr>
        <w:t>Italy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xdx_903_edei--EntityAddressAddressLine1_"/>
      <w:bookmarkEnd w:id="13"/>
      <w:r>
        <w:rPr>
          <w:rFonts w:ascii="Times New Roman;Times;Serif" w:hAnsi="Times New Roman;Times;Serif"/>
          <w:b/>
          <w:i w:val="false"/>
          <w:caps w:val="false"/>
          <w:smallCaps w:val="false"/>
          <w:sz w:val="20"/>
        </w:rPr>
        <w:t>Via Olgettina No. 58</w:t>
      </w:r>
    </w:p>
    <w:p>
      <w:pPr>
        <w:pStyle w:val="TextBody"/>
        <w:bidi w:val="0"/>
        <w:jc w:val="center"/>
        <w:rPr>
          <w:rFonts w:ascii="Times New Roman;Times;Serif" w:hAnsi="Times New Roman;Times;Serif"/>
          <w:b w:val="false"/>
          <w:i w:val="false"/>
          <w:caps w:val="false"/>
          <w:smallCaps w:val="false"/>
          <w:sz w:val="20"/>
        </w:rPr>
      </w:pPr>
      <w:bookmarkStart w:id="14" w:name="xdx_900_edei--EntityAddressPostalZipCode"/>
      <w:bookmarkEnd w:id="14"/>
      <w:r>
        <w:rPr>
          <w:rFonts w:ascii="Times New Roman;Times;Serif" w:hAnsi="Times New Roman;Times;Serif"/>
          <w:b/>
          <w:i w:val="false"/>
          <w:caps w:val="false"/>
          <w:smallCaps w:val="false"/>
          <w:sz w:val="20"/>
        </w:rPr>
        <w:t xml:space="preserve">20132 </w:t>
      </w:r>
      <w:bookmarkStart w:id="15" w:name="xdx_90D_edei--EntityAddressCityOrTown_c2"/>
      <w:bookmarkEnd w:id="15"/>
      <w:r>
        <w:rPr>
          <w:rFonts w:ascii="Times New Roman;Times;Serif" w:hAnsi="Times New Roman;Times;Serif"/>
          <w:b/>
          <w:i w:val="false"/>
          <w:caps w:val="false"/>
          <w:smallCaps w:val="false"/>
          <w:sz w:val="20"/>
        </w:rPr>
        <w:t xml:space="preserve">Milan, </w:t>
      </w:r>
      <w:bookmarkStart w:id="16" w:name="xdx_90D_edei--EntityAddressCountry_c2024"/>
      <w:bookmarkEnd w:id="16"/>
      <w:r>
        <w:rPr>
          <w:rFonts w:ascii="Times New Roman;Times;Serif" w:hAnsi="Times New Roman;Times;Serif"/>
          <w:b/>
          <w:i w:val="false"/>
          <w:caps w:val="false"/>
          <w:smallCaps w:val="false"/>
          <w:sz w:val="20"/>
        </w:rPr>
        <w:t>Italy</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xdx_905_edei--EntityAddressAddressLine1_"/>
      <w:bookmarkEnd w:id="17"/>
      <w:r>
        <w:rPr>
          <w:rFonts w:ascii="Times New Roman;Times;Serif" w:hAnsi="Times New Roman;Times;Serif"/>
          <w:b/>
          <w:i w:val="false"/>
          <w:caps w:val="false"/>
          <w:smallCaps w:val="false"/>
          <w:sz w:val="20"/>
        </w:rPr>
        <w:t>Via Olgettina No. 58</w:t>
      </w:r>
    </w:p>
    <w:p>
      <w:pPr>
        <w:pStyle w:val="TextBody"/>
        <w:bidi w:val="0"/>
        <w:jc w:val="center"/>
        <w:rPr>
          <w:rFonts w:ascii="Times New Roman;Times;Serif" w:hAnsi="Times New Roman;Times;Serif"/>
          <w:b w:val="false"/>
          <w:i w:val="false"/>
          <w:caps w:val="false"/>
          <w:smallCaps w:val="false"/>
          <w:sz w:val="20"/>
        </w:rPr>
      </w:pPr>
      <w:bookmarkStart w:id="18" w:name="xdx_90F_edei--EntityAddressPostalZipCode"/>
      <w:bookmarkEnd w:id="18"/>
      <w:r>
        <w:rPr>
          <w:rFonts w:ascii="Times New Roman;Times;Serif" w:hAnsi="Times New Roman;Times;Serif"/>
          <w:b/>
          <w:i w:val="false"/>
          <w:caps w:val="false"/>
          <w:smallCaps w:val="false"/>
          <w:sz w:val="20"/>
        </w:rPr>
        <w:t xml:space="preserve">20132 </w:t>
      </w:r>
      <w:bookmarkStart w:id="19" w:name="xdx_905_edei--EntityAddressCityOrTown_c2"/>
      <w:bookmarkEnd w:id="19"/>
      <w:r>
        <w:rPr>
          <w:rFonts w:ascii="Times New Roman;Times;Serif" w:hAnsi="Times New Roman;Times;Serif"/>
          <w:b/>
          <w:i w:val="false"/>
          <w:caps w:val="false"/>
          <w:smallCaps w:val="false"/>
          <w:sz w:val="20"/>
        </w:rPr>
        <w:t xml:space="preserve">Milan, </w:t>
      </w:r>
      <w:bookmarkStart w:id="20" w:name="xdx_907_edei--EntityAddressCountry_c2024"/>
      <w:bookmarkEnd w:id="20"/>
      <w:r>
        <w:rPr>
          <w:rFonts w:ascii="Times New Roman;Times;Serif" w:hAnsi="Times New Roman;Times;Serif"/>
          <w:b/>
          <w:i w:val="false"/>
          <w:caps w:val="false"/>
          <w:smallCaps w:val="false"/>
          <w:sz w:val="20"/>
        </w:rPr>
        <w:t>Italy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Attn: </w:t>
      </w:r>
      <w:bookmarkStart w:id="21" w:name="xdx_90E_edei--ContactPersonnelName_c2024"/>
      <w:bookmarkEnd w:id="21"/>
      <w:r>
        <w:rPr>
          <w:rFonts w:ascii="Times New Roman;Times;Serif" w:hAnsi="Times New Roman;Times;Serif"/>
          <w:b/>
          <w:i w:val="false"/>
          <w:caps w:val="false"/>
          <w:smallCaps w:val="false"/>
          <w:sz w:val="20"/>
        </w:rPr>
        <w:t>Pierluigi Paracchi</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 </w:t>
      </w:r>
      <w:bookmarkStart w:id="22" w:name="xdx_904_edei--CityAreaCode_c20240101__20"/>
      <w:bookmarkEnd w:id="22"/>
      <w:r>
        <w:rPr>
          <w:rFonts w:ascii="Times New Roman;Times;Serif" w:hAnsi="Times New Roman;Times;Serif"/>
          <w:b/>
          <w:i w:val="false"/>
          <w:caps w:val="false"/>
          <w:smallCaps w:val="false"/>
          <w:sz w:val="20"/>
        </w:rPr>
        <w:t>+39-</w:t>
      </w:r>
      <w:bookmarkStart w:id="23" w:name="xdx_902_edei--LocalPhoneNumber_c20240101"/>
      <w:bookmarkEnd w:id="23"/>
      <w:r>
        <w:rPr>
          <w:rFonts w:ascii="Times New Roman;Times;Serif" w:hAnsi="Times New Roman;Times;Serif"/>
          <w:b/>
          <w:i w:val="false"/>
          <w:caps w:val="false"/>
          <w:smallCaps w:val="false"/>
          <w:sz w:val="20"/>
        </w:rPr>
        <w:t>02-2643-4681</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Email: </w:t>
      </w:r>
      <w:bookmarkStart w:id="24" w:name="xdx_905_edei--ContactPersonnelEmailAddre"/>
      <w:bookmarkEnd w:id="24"/>
      <w:r>
        <w:rPr>
          <w:rFonts w:ascii="Times New Roman;Times;Serif" w:hAnsi="Times New Roman;Times;Serif"/>
          <w:b/>
          <w:i w:val="false"/>
          <w:caps w:val="false"/>
          <w:smallCaps w:val="false"/>
          <w:sz w:val="20"/>
        </w:rPr>
        <w:t>pierluigi.paracchi@genenta.com</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37"/>
        <w:gridCol w:w="60"/>
        <w:gridCol w:w="1263"/>
        <w:gridCol w:w="60"/>
        <w:gridCol w:w="2785"/>
      </w:tblGrid>
      <w:tr>
        <w:trPr/>
        <w:tc>
          <w:tcPr>
            <w:tcW w:w="6037"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6037"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5" w:name="xdx_904_edei--Security12bTitle_c20240101"/>
            <w:bookmarkEnd w:id="25"/>
            <w:r>
              <w:rPr>
                <w:rFonts w:ascii="Times New Roman;Times;Serif" w:hAnsi="Times New Roman;Times;Serif"/>
                <w:b/>
                <w:i w:val="false"/>
                <w:caps w:val="false"/>
                <w:smallCaps w:val="false"/>
                <w:sz w:val="20"/>
              </w:rPr>
              <w:t>American depositary shares (each American depositary share representing one ordinary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6" w:name="xdx_90C_edei--TradingSymbol_c20240101__2"/>
            <w:bookmarkEnd w:id="26"/>
            <w:r>
              <w:rPr>
                <w:rFonts w:ascii="Times New Roman;Times;Serif" w:hAnsi="Times New Roman;Times;Serif"/>
                <w:b/>
                <w:i w:val="false"/>
                <w:caps w:val="false"/>
                <w:smallCaps w:val="false"/>
                <w:sz w:val="20"/>
              </w:rPr>
              <w:t>GNTA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w:t>
            </w:r>
            <w:bookmarkStart w:id="27" w:name="xdx_900_edei--SecurityExchangeName_c2024"/>
            <w:bookmarkEnd w:id="27"/>
            <w:r>
              <w:rPr>
                <w:rFonts w:ascii="Times New Roman;Times;Serif" w:hAnsi="Times New Roman;Times;Serif"/>
                <w:b/>
                <w:i w:val="false"/>
                <w:caps w:val="false"/>
                <w:smallCaps w:val="false"/>
                <w:sz w:val="20"/>
              </w:rPr>
              <w:t>Nasdaq Stock Market LLC</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r>
        <w:trPr/>
        <w:tc>
          <w:tcPr>
            <w:tcW w:w="603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03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8" w:name="xdx_907_edei--Security12bTitle_c20240101"/>
            <w:bookmarkEnd w:id="28"/>
            <w:r>
              <w:rPr>
                <w:rFonts w:ascii="Times New Roman;Times;Serif" w:hAnsi="Times New Roman;Times;Serif"/>
                <w:b/>
                <w:i w:val="false"/>
                <w:caps w:val="false"/>
                <w:smallCaps w:val="false"/>
                <w:sz w:val="20"/>
              </w:rPr>
              <w:t>Ordinary shares, no par value</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6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785" w:type="dxa"/>
            <w:tcBorders/>
            <w:tcMar>
              <w:bottom w:w="0"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Stock Market LLC</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140"/>
        <w:gridCol w:w="951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for trading, but only in connection with the listing of American depositary shares on The Nasdaq Capital Market.</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registrant had </w:t>
      </w:r>
      <w:bookmarkStart w:id="29" w:name="xdx_900_edei--EntityCommonStockSharesOut"/>
      <w:bookmarkEnd w:id="29"/>
      <w:r>
        <w:rPr>
          <w:rFonts w:ascii="Times New Roman;Times;Serif" w:hAnsi="Times New Roman;Times;Serif"/>
          <w:b/>
          <w:i w:val="false"/>
          <w:caps w:val="false"/>
          <w:smallCaps w:val="false"/>
          <w:sz w:val="20"/>
        </w:rPr>
        <w:t>18,289,866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ordinary shares outstanding as of December 31, 2024.</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 Yes ☒ </w:t>
      </w:r>
      <w:bookmarkStart w:id="30" w:name="xdx_900_edei--EntityWellKnownSeasonedIss"/>
      <w:bookmarkEnd w:id="30"/>
      <w:r>
        <w:rPr>
          <w:rFonts w:ascii="Times New Roman;Times;Serif" w:hAnsi="Times New Roman;Times;Serif"/>
          <w:b w:val="false"/>
          <w:i w:val="false"/>
          <w:caps w:val="false"/>
          <w:smallCaps w:val="false"/>
          <w:sz w:val="20"/>
        </w:rPr>
        <w:t>No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report is an annual or transition report, indicate by check mark if the registrant is not required to file reports pursuant to Section 13 or 15(d) of the Securities Exchange Act of 1934. ☐ Yes ☒ </w:t>
      </w:r>
      <w:bookmarkStart w:id="31" w:name="xdx_90E_edei--EntityVoluntaryFilers_c202"/>
      <w:bookmarkEnd w:id="31"/>
      <w:r>
        <w:rPr>
          <w:rFonts w:ascii="Times New Roman;Times;Serif" w:hAnsi="Times New Roman;Times;Serif"/>
          <w:b w:val="false"/>
          <w:i w:val="false"/>
          <w:caps w:val="false"/>
          <w:smallCaps w:val="false"/>
          <w:sz w:val="20"/>
        </w:rPr>
        <w:t>No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w:t>
      </w:r>
      <w:bookmarkStart w:id="32" w:name="xdx_903_edei--EntityCurrentReportingStat"/>
      <w:bookmarkEnd w:id="32"/>
      <w:r>
        <w:rPr>
          <w:rFonts w:ascii="Times New Roman;Times;Serif" w:hAnsi="Times New Roman;Times;Serif"/>
          <w:b w:val="false"/>
          <w:i w:val="false"/>
          <w:caps w:val="false"/>
          <w:smallCaps w:val="false"/>
          <w:sz w:val="20"/>
        </w:rPr>
        <w:t>Yes ☐ No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jc w:val="both"/>
        <w:rPr>
          <w:caps w:val="false"/>
          <w:smallCaps w:val="false"/>
        </w:rPr>
      </w:pPr>
      <w:r>
        <w:rPr>
          <w:caps w:val="false"/>
          <w:smallCaps w:val="false"/>
        </w:rPr>
        <w:t xml:space="preserve">☒ </w:t>
      </w:r>
      <w:bookmarkStart w:id="33" w:name="xdx_90F_edei--EntityInteractiveDataCurre"/>
      <w:bookmarkEnd w:id="33"/>
      <w:r>
        <w:rPr>
          <w:rFonts w:ascii="Times New Roman;Times;Serif" w:hAnsi="Times New Roman;Times;Serif"/>
          <w:b w:val="false"/>
          <w:i w:val="false"/>
          <w:caps w:val="false"/>
          <w:smallCaps w:val="false"/>
          <w:sz w:val="20"/>
        </w:rPr>
        <w:t>Yes ☐ No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 (Check one):</w:t>
      </w:r>
    </w:p>
    <w:p>
      <w:pPr>
        <w:pStyle w:val="TextBody"/>
        <w:bidi w:val="0"/>
        <w:jc w:val="both"/>
        <w:rPr>
          <w:caps w:val="false"/>
          <w:smallCaps w:val="false"/>
        </w:rPr>
      </w:pPr>
      <w:r>
        <w:rPr>
          <w:caps w:val="false"/>
          <w:smallCaps w:val="false"/>
        </w:rPr>
        <w:t> </w:t>
      </w:r>
    </w:p>
    <w:tbl>
      <w:tblPr>
        <w:tblW w:w="8225" w:type="dxa"/>
        <w:jc w:val="left"/>
        <w:tblInd w:w="0" w:type="dxa"/>
        <w:tblLayout w:type="fixed"/>
        <w:tblCellMar>
          <w:top w:w="0" w:type="dxa"/>
          <w:left w:w="0" w:type="dxa"/>
          <w:bottom w:w="0" w:type="dxa"/>
          <w:right w:w="0" w:type="dxa"/>
        </w:tblCellMar>
      </w:tblPr>
      <w:tblGrid>
        <w:gridCol w:w="2105"/>
        <w:gridCol w:w="1625"/>
        <w:gridCol w:w="1985"/>
        <w:gridCol w:w="2510"/>
      </w:tblGrid>
      <w:tr>
        <w:trPr/>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4" w:name="xdx_908_edei--EntityFilerCategory_c20240"/>
            <w:bookmarkEnd w:id="34"/>
            <w:r>
              <w:rPr>
                <w:rFonts w:ascii="Times New Roman;Times;Serif" w:hAnsi="Times New Roman;Times;Serif"/>
                <w:b w:val="false"/>
                <w:i w:val="false"/>
                <w:caps w:val="false"/>
                <w:smallCaps w:val="false"/>
                <w:sz w:val="20"/>
              </w:rPr>
              <w:t>Non-accelerated filer  ☒</w:t>
            </w:r>
          </w:p>
        </w:tc>
        <w:tc>
          <w:tcPr>
            <w:tcW w:w="2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35" w:name="xdx_903_edei--EntityEmergingGrowthCompan"/>
            <w:bookmarkEnd w:id="35"/>
            <w:r>
              <w:rPr>
                <w:rFonts w:ascii="Times New Roman;Times;Serif" w:hAnsi="Times New Roman;Times;Serif"/>
                <w:b w:val="false"/>
                <w:i w:val="false"/>
                <w:caps w:val="false"/>
                <w:smallCaps w:val="false"/>
                <w:sz w:val="20"/>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36" w:name="xdx_903_edei--EntityExTransitionPeriod_c"/>
      <w:bookmarkEnd w:id="36"/>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caps w:val="false"/>
                <w:smallCaps w:val="false"/>
                <w:position w:val="-2"/>
                <w:sz w:val="19"/>
              </w:rPr>
            </w:pPr>
            <w:r>
              <w:rPr>
                <w:caps w:val="false"/>
                <w:smallCaps w:val="false"/>
                <w:position w:val="-2"/>
                <w:sz w:val="19"/>
              </w:rPr>
              <w:t>†</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7" w:name="xdx_903_edei--IcfrAuditorAttestationFlag"/>
      <w:bookmarkEnd w:id="37"/>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8" w:name="xdx_909_edei--DocumentFinStmtErrorCorrec"/>
      <w:bookmarkEnd w:id="38"/>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7"/>
        <w:gridCol w:w="60"/>
        <w:gridCol w:w="8267"/>
        <w:gridCol w:w="60"/>
        <w:gridCol w:w="701"/>
      </w:tblGrid>
      <w:tr>
        <w:trPr/>
        <w:tc>
          <w:tcPr>
            <w:tcW w:w="111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39" w:name="xdx_90B_edei--DocumentAccountingStandard"/>
            <w:bookmarkEnd w:id="39"/>
            <w:r>
              <w:rPr>
                <w:rFonts w:ascii="Times New Roman;Times;Serif" w:hAnsi="Times New Roman;Times;Serif"/>
                <w:b w:val="false"/>
                <w:i w:val="false"/>
                <w:caps w:val="false"/>
                <w:smallCaps w:val="false"/>
                <w:sz w:val="20"/>
              </w:rPr>
              <w:t>U.S. GAAP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6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 by the International Accounting Standards Board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 Item 17 ☐ Item 18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 Yes </w:t>
      </w:r>
      <w:bookmarkStart w:id="40" w:name="xdx_906_edei--EntityShellCompany_dbF_c20"/>
      <w:bookmarkEnd w:id="40"/>
      <w:r>
        <w:rPr>
          <w:rFonts w:ascii="Times New Roman;Times;Serif" w:hAnsi="Times New Roman;Times;Serif"/>
          <w:b w:val="false"/>
          <w:i w:val="false"/>
          <w:caps w:val="false"/>
          <w:smallCaps w:val="false"/>
          <w:sz w:val="20"/>
        </w:rPr>
        <w:t>☒ No</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8025" w:type="dxa"/>
        <w:jc w:val="left"/>
        <w:tblInd w:w="0" w:type="dxa"/>
        <w:tblLayout w:type="fixed"/>
        <w:tblCellMar>
          <w:top w:w="0" w:type="dxa"/>
          <w:left w:w="0" w:type="dxa"/>
          <w:bottom w:w="0" w:type="dxa"/>
          <w:right w:w="0" w:type="dxa"/>
        </w:tblCellMar>
      </w:tblPr>
      <w:tblGrid>
        <w:gridCol w:w="725"/>
        <w:gridCol w:w="6845"/>
        <w:gridCol w:w="455"/>
      </w:tblGrid>
      <w:tr>
        <w:trPr/>
        <w:tc>
          <w:tcPr>
            <w:tcW w:w="725" w:type="dxa"/>
            <w:tcBorders/>
            <w:vAlign w:val="center"/>
          </w:tcPr>
          <w:p>
            <w:pPr>
              <w:pStyle w:val="TableContents"/>
              <w:bidi w:val="0"/>
              <w:spacing w:before="0" w:after="283"/>
              <w:jc w:val="center"/>
              <w:rPr>
                <w:caps w:val="false"/>
                <w:smallCaps w:val="false"/>
              </w:rPr>
            </w:pPr>
            <w:r>
              <w:rPr>
                <w:caps w:val="false"/>
                <w:smallCaps w:val="false"/>
              </w:rPr>
              <w:t> </w:t>
            </w:r>
          </w:p>
        </w:tc>
        <w:tc>
          <w:tcPr>
            <w:tcW w:w="684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CCEEFF" w:val="clear"/>
            <w:vAlign w:val="center"/>
          </w:tcPr>
          <w:p>
            <w:pPr>
              <w:pStyle w:val="TableContents"/>
              <w:bidi w:val="0"/>
              <w:spacing w:before="0" w:after="283"/>
              <w:jc w:val="center"/>
              <w:rPr/>
            </w:pPr>
            <w:hyperlink w:anchor="gok_001">
              <w:r>
                <w:rPr>
                  <w:rStyle w:val="InternetLink"/>
                  <w:rFonts w:ascii="Times New Roman;Times;Serif" w:hAnsi="Times New Roman;Times;Serif"/>
                  <w:b w:val="false"/>
                  <w:i w:val="false"/>
                  <w:caps w:val="false"/>
                  <w:smallCaps w:val="false"/>
                  <w:sz w:val="20"/>
                </w:rPr>
                <w:t>PART I</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6845" w:type="dxa"/>
            <w:tcBorders/>
            <w:shd w:fill="CCEEFF" w:val="clear"/>
            <w:vAlign w:val="center"/>
          </w:tcPr>
          <w:p>
            <w:pPr>
              <w:pStyle w:val="TableContents"/>
              <w:bidi w:val="0"/>
              <w:spacing w:before="0" w:after="283"/>
              <w:jc w:val="left"/>
              <w:rPr/>
            </w:pPr>
            <w:hyperlink w:anchor="gok_002">
              <w:r>
                <w:rPr>
                  <w:rStyle w:val="InternetLink"/>
                  <w:rFonts w:ascii="Times New Roman;Times;Serif" w:hAnsi="Times New Roman;Times;Serif"/>
                  <w:b w:val="false"/>
                  <w:i w:val="false"/>
                  <w:caps w:val="false"/>
                  <w:smallCaps w:val="false"/>
                  <w:sz w:val="20"/>
                </w:rPr>
                <w:t>Identity of Directors, Senior Management and Advisers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6845" w:type="dxa"/>
            <w:tcBorders/>
            <w:shd w:fill="CCEEFF" w:val="clear"/>
            <w:vAlign w:val="center"/>
          </w:tcPr>
          <w:p>
            <w:pPr>
              <w:pStyle w:val="TableContents"/>
              <w:bidi w:val="0"/>
              <w:spacing w:before="0" w:after="283"/>
              <w:jc w:val="left"/>
              <w:rPr/>
            </w:pPr>
            <w:hyperlink w:anchor="gok_003">
              <w:r>
                <w:rPr>
                  <w:rStyle w:val="InternetLink"/>
                  <w:rFonts w:ascii="Times New Roman;Times;Serif" w:hAnsi="Times New Roman;Times;Serif"/>
                  <w:b w:val="false"/>
                  <w:i w:val="false"/>
                  <w:caps w:val="false"/>
                  <w:smallCaps w:val="false"/>
                  <w:sz w:val="20"/>
                </w:rPr>
                <w:t>Offer Statistics and Expected Timetable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6845" w:type="dxa"/>
            <w:tcBorders/>
            <w:shd w:fill="CCEEFF" w:val="clear"/>
            <w:vAlign w:val="center"/>
          </w:tcPr>
          <w:p>
            <w:pPr>
              <w:pStyle w:val="TableContents"/>
              <w:bidi w:val="0"/>
              <w:spacing w:before="0" w:after="283"/>
              <w:jc w:val="left"/>
              <w:rPr/>
            </w:pPr>
            <w:hyperlink w:anchor="gok_004">
              <w:r>
                <w:rPr>
                  <w:rStyle w:val="InternetLink"/>
                  <w:rFonts w:ascii="Times New Roman;Times;Serif" w:hAnsi="Times New Roman;Times;Serif"/>
                  <w:b w:val="false"/>
                  <w:i w:val="false"/>
                  <w:caps w:val="false"/>
                  <w:smallCaps w:val="false"/>
                  <w:sz w:val="20"/>
                </w:rPr>
                <w:t>Key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gok_005">
              <w:r>
                <w:rPr>
                  <w:rStyle w:val="InternetLink"/>
                  <w:rFonts w:ascii="Times New Roman;Times;Serif" w:hAnsi="Times New Roman;Times;Serif"/>
                  <w:b w:val="false"/>
                  <w:i/>
                  <w:caps w:val="false"/>
                  <w:smallCaps w:val="false"/>
                  <w:sz w:val="20"/>
                </w:rPr>
                <w:t>[Reserved]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gok_006">
              <w:r>
                <w:rPr>
                  <w:rStyle w:val="InternetLink"/>
                  <w:rFonts w:ascii="Times New Roman;Times;Serif" w:hAnsi="Times New Roman;Times;Serif"/>
                  <w:b w:val="false"/>
                  <w:i/>
                  <w:caps w:val="false"/>
                  <w:smallCaps w:val="false"/>
                  <w:sz w:val="20"/>
                </w:rPr>
                <w:t>Capitalization and Indebtedness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FFFFFF" w:val="clear"/>
            <w:vAlign w:val="center"/>
          </w:tcPr>
          <w:p>
            <w:pPr>
              <w:pStyle w:val="TableContents"/>
              <w:bidi w:val="0"/>
              <w:spacing w:before="0" w:after="283"/>
              <w:jc w:val="left"/>
              <w:rPr/>
            </w:pPr>
            <w:hyperlink w:anchor="gok_007">
              <w:r>
                <w:rPr>
                  <w:rStyle w:val="InternetLink"/>
                  <w:rFonts w:ascii="Times New Roman;Times;Serif" w:hAnsi="Times New Roman;Times;Serif"/>
                  <w:b w:val="false"/>
                  <w:i/>
                  <w:caps w:val="false"/>
                  <w:smallCaps w:val="false"/>
                  <w:sz w:val="20"/>
                </w:rPr>
                <w:t>Reasons for the Offer and 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CCEEFF" w:val="clear"/>
            <w:vAlign w:val="center"/>
          </w:tcPr>
          <w:p>
            <w:pPr>
              <w:pStyle w:val="TableContents"/>
              <w:bidi w:val="0"/>
              <w:spacing w:before="0" w:after="283"/>
              <w:jc w:val="left"/>
              <w:rPr/>
            </w:pPr>
            <w:hyperlink w:anchor="gok_008">
              <w:r>
                <w:rPr>
                  <w:rStyle w:val="InternetLink"/>
                  <w:rFonts w:ascii="Times New Roman;Times;Serif" w:hAnsi="Times New Roman;Times;Serif"/>
                  <w:b w:val="false"/>
                  <w:i/>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6845" w:type="dxa"/>
            <w:tcBorders/>
            <w:shd w:fill="CCEEFF" w:val="clear"/>
            <w:vAlign w:val="center"/>
          </w:tcPr>
          <w:p>
            <w:pPr>
              <w:pStyle w:val="TableContents"/>
              <w:bidi w:val="0"/>
              <w:spacing w:before="0" w:after="283"/>
              <w:jc w:val="left"/>
              <w:rPr/>
            </w:pPr>
            <w:hyperlink w:anchor="v_001">
              <w:r>
                <w:rPr>
                  <w:rStyle w:val="InternetLink"/>
                  <w:rFonts w:ascii="Times New Roman;Times;Serif" w:hAnsi="Times New Roman;Times;Serif"/>
                  <w:b w:val="false"/>
                  <w:i w:val="false"/>
                  <w:caps w:val="false"/>
                  <w:smallCaps w:val="false"/>
                  <w:sz w:val="20"/>
                </w:rPr>
                <w:t>Information on the Company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v_002">
              <w:r>
                <w:rPr>
                  <w:rStyle w:val="InternetLink"/>
                  <w:rFonts w:ascii="Times New Roman;Times;Serif" w:hAnsi="Times New Roman;Times;Serif"/>
                  <w:b w:val="false"/>
                  <w:i/>
                  <w:caps w:val="false"/>
                  <w:smallCaps w:val="false"/>
                  <w:sz w:val="20"/>
                </w:rPr>
                <w:t>History and Development of the Company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v_003">
              <w:r>
                <w:rPr>
                  <w:rStyle w:val="InternetLink"/>
                  <w:rFonts w:ascii="Times New Roman;Times;Serif" w:hAnsi="Times New Roman;Times;Serif"/>
                  <w:b w:val="false"/>
                  <w:i/>
                  <w:caps w:val="false"/>
                  <w:smallCaps w:val="false"/>
                  <w:sz w:val="20"/>
                </w:rPr>
                <w:t>Business Overview</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FFFFFF" w:val="clear"/>
            <w:vAlign w:val="center"/>
          </w:tcPr>
          <w:p>
            <w:pPr>
              <w:pStyle w:val="TableContents"/>
              <w:bidi w:val="0"/>
              <w:spacing w:before="0" w:after="283"/>
              <w:jc w:val="left"/>
              <w:rPr/>
            </w:pPr>
            <w:hyperlink w:anchor="aa_001">
              <w:r>
                <w:rPr>
                  <w:rStyle w:val="InternetLink"/>
                  <w:rFonts w:ascii="Times New Roman;Times;Serif" w:hAnsi="Times New Roman;Times;Serif"/>
                  <w:b w:val="false"/>
                  <w:i/>
                  <w:caps w:val="false"/>
                  <w:smallCaps w:val="false"/>
                  <w:sz w:val="20"/>
                </w:rPr>
                <w:t>Organizational Structure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CCEEFF" w:val="clear"/>
            <w:vAlign w:val="center"/>
          </w:tcPr>
          <w:p>
            <w:pPr>
              <w:pStyle w:val="TableContents"/>
              <w:bidi w:val="0"/>
              <w:spacing w:before="0" w:after="283"/>
              <w:jc w:val="left"/>
              <w:rPr/>
            </w:pPr>
            <w:hyperlink w:anchor="aa_002">
              <w:r>
                <w:rPr>
                  <w:rStyle w:val="InternetLink"/>
                  <w:rFonts w:ascii="Times New Roman;Times;Serif" w:hAnsi="Times New Roman;Times;Serif"/>
                  <w:b w:val="false"/>
                  <w:i/>
                  <w:caps w:val="false"/>
                  <w:smallCaps w:val="false"/>
                  <w:sz w:val="20"/>
                </w:rPr>
                <w:t>Property, Plants and Equipment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4A.</w:t>
            </w:r>
          </w:p>
        </w:tc>
        <w:tc>
          <w:tcPr>
            <w:tcW w:w="6845" w:type="dxa"/>
            <w:tcBorders/>
            <w:shd w:fill="CCEEFF" w:val="clear"/>
            <w:vAlign w:val="center"/>
          </w:tcPr>
          <w:p>
            <w:pPr>
              <w:pStyle w:val="TableContents"/>
              <w:bidi w:val="0"/>
              <w:spacing w:before="0" w:after="283"/>
              <w:jc w:val="left"/>
              <w:rPr/>
            </w:pPr>
            <w:hyperlink w:anchor="aa_003">
              <w:r>
                <w:rPr>
                  <w:rStyle w:val="InternetLink"/>
                  <w:rFonts w:ascii="Times New Roman;Times;Serif" w:hAnsi="Times New Roman;Times;Serif"/>
                  <w:b w:val="false"/>
                  <w:i w:val="false"/>
                  <w:caps w:val="false"/>
                  <w:smallCaps w:val="false"/>
                  <w:sz w:val="20"/>
                </w:rPr>
                <w:t>Unresolved Staff Comments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6845" w:type="dxa"/>
            <w:tcBorders/>
            <w:shd w:fill="CCEEFF" w:val="clear"/>
            <w:vAlign w:val="center"/>
          </w:tcPr>
          <w:p>
            <w:pPr>
              <w:pStyle w:val="TableContents"/>
              <w:bidi w:val="0"/>
              <w:spacing w:before="0" w:after="283"/>
              <w:jc w:val="left"/>
              <w:rPr/>
            </w:pPr>
            <w:hyperlink w:anchor="aa_004">
              <w:r>
                <w:rPr>
                  <w:rStyle w:val="InternetLink"/>
                  <w:rFonts w:ascii="Times New Roman;Times;Serif" w:hAnsi="Times New Roman;Times;Serif"/>
                  <w:b w:val="false"/>
                  <w:i w:val="false"/>
                  <w:caps w:val="false"/>
                  <w:smallCaps w:val="false"/>
                  <w:sz w:val="20"/>
                </w:rPr>
                <w:t>Operating and Financial Review and Prospects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aa_005">
              <w:r>
                <w:rPr>
                  <w:rStyle w:val="InternetLink"/>
                  <w:rFonts w:ascii="Times New Roman;Times;Serif" w:hAnsi="Times New Roman;Times;Serif"/>
                  <w:b w:val="false"/>
                  <w:i/>
                  <w:caps w:val="false"/>
                  <w:smallCaps w:val="false"/>
                  <w:sz w:val="20"/>
                </w:rPr>
                <w:t>Operating Results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aa_006">
              <w:r>
                <w:rPr>
                  <w:rStyle w:val="InternetLink"/>
                  <w:rFonts w:ascii="Times New Roman;Times;Serif" w:hAnsi="Times New Roman;Times;Serif"/>
                  <w:b w:val="false"/>
                  <w:i/>
                  <w:caps w:val="false"/>
                  <w:smallCaps w:val="false"/>
                  <w:sz w:val="20"/>
                </w:rPr>
                <w:t>Liquidity and Capital Resources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FFFFFF" w:val="clear"/>
            <w:vAlign w:val="center"/>
          </w:tcPr>
          <w:p>
            <w:pPr>
              <w:pStyle w:val="TableContents"/>
              <w:bidi w:val="0"/>
              <w:spacing w:before="0" w:after="283"/>
              <w:jc w:val="left"/>
              <w:rPr/>
            </w:pPr>
            <w:hyperlink w:anchor="aa_007">
              <w:r>
                <w:rPr>
                  <w:rStyle w:val="InternetLink"/>
                  <w:rFonts w:ascii="Times New Roman;Times;Serif" w:hAnsi="Times New Roman;Times;Serif"/>
                  <w:b w:val="false"/>
                  <w:i/>
                  <w:caps w:val="false"/>
                  <w:smallCaps w:val="false"/>
                  <w:sz w:val="20"/>
                </w:rPr>
                <w:t>Research and Development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CCEEFF" w:val="clear"/>
            <w:vAlign w:val="center"/>
          </w:tcPr>
          <w:p>
            <w:pPr>
              <w:pStyle w:val="TableContents"/>
              <w:bidi w:val="0"/>
              <w:spacing w:before="0" w:after="283"/>
              <w:jc w:val="left"/>
              <w:rPr/>
            </w:pPr>
            <w:hyperlink w:anchor="aa_008">
              <w:r>
                <w:rPr>
                  <w:rStyle w:val="InternetLink"/>
                  <w:rFonts w:ascii="Times New Roman;Times;Serif" w:hAnsi="Times New Roman;Times;Serif"/>
                  <w:b w:val="false"/>
                  <w:i/>
                  <w:caps w:val="false"/>
                  <w:smallCaps w:val="false"/>
                  <w:sz w:val="20"/>
                </w:rPr>
                <w:t>Trend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6845" w:type="dxa"/>
            <w:tcBorders/>
            <w:shd w:fill="FFFFFF" w:val="clear"/>
            <w:vAlign w:val="center"/>
          </w:tcPr>
          <w:p>
            <w:pPr>
              <w:pStyle w:val="TableContents"/>
              <w:bidi w:val="0"/>
              <w:spacing w:before="0" w:after="283"/>
              <w:jc w:val="left"/>
              <w:rPr/>
            </w:pPr>
            <w:hyperlink w:anchor="aa_009">
              <w:r>
                <w:rPr>
                  <w:rStyle w:val="InternetLink"/>
                  <w:rFonts w:ascii="Times New Roman;Times;Serif" w:hAnsi="Times New Roman;Times;Serif"/>
                  <w:b w:val="false"/>
                  <w:i/>
                  <w:caps w:val="false"/>
                  <w:smallCaps w:val="false"/>
                  <w:sz w:val="20"/>
                </w:rPr>
                <w:t>Critical Accounting Estimates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6845" w:type="dxa"/>
            <w:tcBorders/>
            <w:shd w:fill="FFFFFF" w:val="clear"/>
            <w:vAlign w:val="center"/>
          </w:tcPr>
          <w:p>
            <w:pPr>
              <w:pStyle w:val="TableContents"/>
              <w:bidi w:val="0"/>
              <w:spacing w:before="0" w:after="283"/>
              <w:jc w:val="left"/>
              <w:rPr/>
            </w:pPr>
            <w:hyperlink w:anchor="aa_010">
              <w:r>
                <w:rPr>
                  <w:rStyle w:val="InternetLink"/>
                  <w:rFonts w:ascii="Times New Roman;Times;Serif" w:hAnsi="Times New Roman;Times;Serif"/>
                  <w:b w:val="false"/>
                  <w:i w:val="false"/>
                  <w:caps w:val="false"/>
                  <w:smallCaps w:val="false"/>
                  <w:sz w:val="20"/>
                </w:rPr>
                <w:t>Directors, Senior Management and Employees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CCEEFF" w:val="clear"/>
            <w:vAlign w:val="center"/>
          </w:tcPr>
          <w:p>
            <w:pPr>
              <w:pStyle w:val="TableContents"/>
              <w:bidi w:val="0"/>
              <w:spacing w:before="0" w:after="283"/>
              <w:jc w:val="left"/>
              <w:rPr/>
            </w:pPr>
            <w:hyperlink w:anchor="aa_011">
              <w:r>
                <w:rPr>
                  <w:rStyle w:val="InternetLink"/>
                  <w:rFonts w:ascii="Times New Roman;Times;Serif" w:hAnsi="Times New Roman;Times;Serif"/>
                  <w:b w:val="false"/>
                  <w:i/>
                  <w:caps w:val="false"/>
                  <w:smallCaps w:val="false"/>
                  <w:sz w:val="20"/>
                </w:rPr>
                <w:t>Directors and Senior Management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FFFFFF" w:val="clear"/>
            <w:vAlign w:val="center"/>
          </w:tcPr>
          <w:p>
            <w:pPr>
              <w:pStyle w:val="TableContents"/>
              <w:bidi w:val="0"/>
              <w:spacing w:before="0" w:after="283"/>
              <w:jc w:val="left"/>
              <w:rPr/>
            </w:pPr>
            <w:hyperlink w:anchor="ms_001">
              <w:r>
                <w:rPr>
                  <w:rStyle w:val="InternetLink"/>
                  <w:rFonts w:ascii="Times New Roman;Times;Serif" w:hAnsi="Times New Roman;Times;Serif"/>
                  <w:b w:val="false"/>
                  <w:i/>
                  <w:caps w:val="false"/>
                  <w:smallCaps w:val="false"/>
                  <w:sz w:val="20"/>
                </w:rPr>
                <w:t>Compensation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CCEEFF" w:val="clear"/>
            <w:vAlign w:val="center"/>
          </w:tcPr>
          <w:p>
            <w:pPr>
              <w:pStyle w:val="TableContents"/>
              <w:bidi w:val="0"/>
              <w:spacing w:before="0" w:after="283"/>
              <w:jc w:val="left"/>
              <w:rPr/>
            </w:pPr>
            <w:hyperlink w:anchor="ms_002">
              <w:r>
                <w:rPr>
                  <w:rStyle w:val="InternetLink"/>
                  <w:rFonts w:ascii="Times New Roman;Times;Serif" w:hAnsi="Times New Roman;Times;Serif"/>
                  <w:b w:val="false"/>
                  <w:i/>
                  <w:caps w:val="false"/>
                  <w:smallCaps w:val="false"/>
                  <w:sz w:val="20"/>
                </w:rPr>
                <w:t>Board Practices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FFFFFF" w:val="clear"/>
            <w:vAlign w:val="center"/>
          </w:tcPr>
          <w:p>
            <w:pPr>
              <w:pStyle w:val="TableContents"/>
              <w:bidi w:val="0"/>
              <w:spacing w:before="0" w:after="283"/>
              <w:jc w:val="left"/>
              <w:rPr/>
            </w:pPr>
            <w:hyperlink w:anchor="ms_003">
              <w:r>
                <w:rPr>
                  <w:rStyle w:val="InternetLink"/>
                  <w:rFonts w:ascii="Times New Roman;Times;Serif" w:hAnsi="Times New Roman;Times;Serif"/>
                  <w:b w:val="false"/>
                  <w:i/>
                  <w:caps w:val="false"/>
                  <w:smallCaps w:val="false"/>
                  <w:sz w:val="20"/>
                </w:rPr>
                <w:t>Employees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6845" w:type="dxa"/>
            <w:tcBorders/>
            <w:shd w:fill="CCEEFF" w:val="clear"/>
            <w:vAlign w:val="center"/>
          </w:tcPr>
          <w:p>
            <w:pPr>
              <w:pStyle w:val="TableContents"/>
              <w:bidi w:val="0"/>
              <w:spacing w:before="0" w:after="283"/>
              <w:jc w:val="left"/>
              <w:rPr/>
            </w:pPr>
            <w:hyperlink w:anchor="ms_004">
              <w:r>
                <w:rPr>
                  <w:rStyle w:val="InternetLink"/>
                  <w:rFonts w:ascii="Times New Roman;Times;Serif" w:hAnsi="Times New Roman;Times;Serif"/>
                  <w:b w:val="false"/>
                  <w:i/>
                  <w:caps w:val="false"/>
                  <w:smallCaps w:val="false"/>
                  <w:sz w:val="20"/>
                </w:rPr>
                <w:t>Share Ownership</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w:t>
            </w:r>
          </w:p>
        </w:tc>
        <w:tc>
          <w:tcPr>
            <w:tcW w:w="6845" w:type="dxa"/>
            <w:tcBorders/>
            <w:shd w:fill="FFFFFF" w:val="clear"/>
            <w:vAlign w:val="center"/>
          </w:tcPr>
          <w:p>
            <w:pPr>
              <w:pStyle w:val="TableContents"/>
              <w:bidi w:val="0"/>
              <w:spacing w:before="0" w:after="283"/>
              <w:jc w:val="left"/>
              <w:rPr/>
            </w:pPr>
            <w:hyperlink w:anchor="ms_005">
              <w:r>
                <w:rPr>
                  <w:rStyle w:val="InternetLink"/>
                  <w:rFonts w:ascii="Times New Roman;Times;Serif" w:hAnsi="Times New Roman;Times;Serif"/>
                  <w:b w:val="false"/>
                  <w:i/>
                  <w:caps w:val="false"/>
                  <w:smallCaps w:val="false"/>
                  <w:sz w:val="20"/>
                </w:rPr>
                <w:t>Disclosure of a Registrant’s Action to Recover Erroneously Awarded Compensation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6845" w:type="dxa"/>
            <w:tcBorders/>
            <w:shd w:fill="FFFFFF" w:val="clear"/>
            <w:vAlign w:val="center"/>
          </w:tcPr>
          <w:p>
            <w:pPr>
              <w:pStyle w:val="TableContents"/>
              <w:bidi w:val="0"/>
              <w:spacing w:before="0" w:after="283"/>
              <w:jc w:val="left"/>
              <w:rPr/>
            </w:pPr>
            <w:hyperlink w:anchor="ms_006">
              <w:r>
                <w:rPr>
                  <w:rStyle w:val="InternetLink"/>
                  <w:rFonts w:ascii="Times New Roman;Times;Serif" w:hAnsi="Times New Roman;Times;Serif"/>
                  <w:b w:val="false"/>
                  <w:i w:val="false"/>
                  <w:caps w:val="false"/>
                  <w:smallCaps w:val="false"/>
                  <w:sz w:val="20"/>
                </w:rPr>
                <w:t>Major Shareholders and Related Party Transactions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CCEEFF" w:val="clear"/>
            <w:vAlign w:val="center"/>
          </w:tcPr>
          <w:p>
            <w:pPr>
              <w:pStyle w:val="TableContents"/>
              <w:bidi w:val="0"/>
              <w:spacing w:before="0" w:after="283"/>
              <w:jc w:val="left"/>
              <w:rPr/>
            </w:pPr>
            <w:hyperlink w:anchor="ms_007">
              <w:r>
                <w:rPr>
                  <w:rStyle w:val="InternetLink"/>
                  <w:rFonts w:ascii="Times New Roman;Times;Serif" w:hAnsi="Times New Roman;Times;Serif"/>
                  <w:b w:val="false"/>
                  <w:i/>
                  <w:caps w:val="false"/>
                  <w:smallCaps w:val="false"/>
                  <w:sz w:val="20"/>
                </w:rPr>
                <w:t>Major Shareholders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FFFFFF" w:val="clear"/>
            <w:vAlign w:val="center"/>
          </w:tcPr>
          <w:p>
            <w:pPr>
              <w:pStyle w:val="TableContents"/>
              <w:bidi w:val="0"/>
              <w:spacing w:before="0" w:after="283"/>
              <w:jc w:val="left"/>
              <w:rPr/>
            </w:pPr>
            <w:hyperlink w:anchor="ms_008">
              <w:r>
                <w:rPr>
                  <w:rStyle w:val="InternetLink"/>
                  <w:rFonts w:ascii="Times New Roman;Times;Serif" w:hAnsi="Times New Roman;Times;Serif"/>
                  <w:b w:val="false"/>
                  <w:i/>
                  <w:caps w:val="false"/>
                  <w:smallCaps w:val="false"/>
                  <w:sz w:val="20"/>
                </w:rPr>
                <w:t>Related Party Transactions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CCEEFF" w:val="clear"/>
            <w:vAlign w:val="center"/>
          </w:tcPr>
          <w:p>
            <w:pPr>
              <w:pStyle w:val="TableContents"/>
              <w:bidi w:val="0"/>
              <w:spacing w:before="0" w:after="283"/>
              <w:jc w:val="left"/>
              <w:rPr/>
            </w:pPr>
            <w:hyperlink w:anchor="ms_009">
              <w:r>
                <w:rPr>
                  <w:rStyle w:val="InternetLink"/>
                  <w:rFonts w:ascii="Times New Roman;Times;Serif" w:hAnsi="Times New Roman;Times;Serif"/>
                  <w:b w:val="false"/>
                  <w:i/>
                  <w:caps w:val="false"/>
                  <w:smallCaps w:val="false"/>
                  <w:sz w:val="20"/>
                </w:rPr>
                <w:t>Interests of Experts and Counsel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6845" w:type="dxa"/>
            <w:tcBorders/>
            <w:shd w:fill="CCEEFF" w:val="clear"/>
            <w:vAlign w:val="center"/>
          </w:tcPr>
          <w:p>
            <w:pPr>
              <w:pStyle w:val="TableContents"/>
              <w:bidi w:val="0"/>
              <w:spacing w:before="0" w:after="283"/>
              <w:jc w:val="left"/>
              <w:rPr/>
            </w:pPr>
            <w:hyperlink w:anchor="ms_010">
              <w:r>
                <w:rPr>
                  <w:rStyle w:val="InternetLink"/>
                  <w:rFonts w:ascii="Times New Roman;Times;Serif" w:hAnsi="Times New Roman;Times;Serif"/>
                  <w:b w:val="false"/>
                  <w:i w:val="false"/>
                  <w:caps w:val="false"/>
                  <w:smallCaps w:val="false"/>
                  <w:sz w:val="20"/>
                </w:rPr>
                <w:t>Financial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ms_011">
              <w:r>
                <w:rPr>
                  <w:rStyle w:val="InternetLink"/>
                  <w:rFonts w:ascii="Times New Roman;Times;Serif" w:hAnsi="Times New Roman;Times;Serif"/>
                  <w:b w:val="false"/>
                  <w:i/>
                  <w:caps w:val="false"/>
                  <w:smallCaps w:val="false"/>
                  <w:sz w:val="20"/>
                </w:rPr>
                <w:t>Consolidated Statements and Other Financial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ms_012">
              <w:r>
                <w:rPr>
                  <w:rStyle w:val="InternetLink"/>
                  <w:rFonts w:ascii="Times New Roman;Times;Serif" w:hAnsi="Times New Roman;Times;Serif"/>
                  <w:b w:val="false"/>
                  <w:i/>
                  <w:caps w:val="false"/>
                  <w:smallCaps w:val="false"/>
                  <w:sz w:val="20"/>
                </w:rPr>
                <w:t>Significant Changes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r>
      <w:tr>
        <w:trPr/>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6845" w:type="dxa"/>
            <w:tcBorders/>
            <w:shd w:fill="CCEEFF" w:val="clear"/>
            <w:vAlign w:val="center"/>
          </w:tcPr>
          <w:p>
            <w:pPr>
              <w:pStyle w:val="TableContents"/>
              <w:bidi w:val="0"/>
              <w:spacing w:before="0" w:after="283"/>
              <w:jc w:val="left"/>
              <w:rPr/>
            </w:pPr>
            <w:hyperlink w:anchor="ms_013">
              <w:r>
                <w:rPr>
                  <w:rStyle w:val="InternetLink"/>
                  <w:rFonts w:ascii="Times New Roman;Times;Serif" w:hAnsi="Times New Roman;Times;Serif"/>
                  <w:b w:val="false"/>
                  <w:i w:val="false"/>
                  <w:caps w:val="false"/>
                  <w:smallCaps w:val="false"/>
                  <w:sz w:val="20"/>
                </w:rPr>
                <w:t>The Offer and Listing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845" w:type="dxa"/>
            <w:tcBorders/>
            <w:shd w:fill="FFFFFF" w:val="clear"/>
            <w:vAlign w:val="center"/>
          </w:tcPr>
          <w:p>
            <w:pPr>
              <w:pStyle w:val="TableContents"/>
              <w:bidi w:val="0"/>
              <w:spacing w:before="0" w:after="283"/>
              <w:jc w:val="left"/>
              <w:rPr/>
            </w:pPr>
            <w:hyperlink w:anchor="ms_014">
              <w:r>
                <w:rPr>
                  <w:rStyle w:val="InternetLink"/>
                  <w:rFonts w:ascii="Times New Roman;Times;Serif" w:hAnsi="Times New Roman;Times;Serif"/>
                  <w:b w:val="false"/>
                  <w:i/>
                  <w:caps w:val="false"/>
                  <w:smallCaps w:val="false"/>
                  <w:sz w:val="20"/>
                </w:rPr>
                <w:t>Offer and Listing Details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845" w:type="dxa"/>
            <w:tcBorders/>
            <w:shd w:fill="CCEEFF" w:val="clear"/>
            <w:vAlign w:val="center"/>
          </w:tcPr>
          <w:p>
            <w:pPr>
              <w:pStyle w:val="TableContents"/>
              <w:bidi w:val="0"/>
              <w:spacing w:before="0" w:after="283"/>
              <w:jc w:val="left"/>
              <w:rPr/>
            </w:pPr>
            <w:hyperlink w:anchor="ms_015">
              <w:r>
                <w:rPr>
                  <w:rStyle w:val="InternetLink"/>
                  <w:rFonts w:ascii="Times New Roman;Times;Serif" w:hAnsi="Times New Roman;Times;Serif"/>
                  <w:b w:val="false"/>
                  <w:i/>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845" w:type="dxa"/>
            <w:tcBorders/>
            <w:shd w:fill="FFFFFF" w:val="clear"/>
            <w:vAlign w:val="center"/>
          </w:tcPr>
          <w:p>
            <w:pPr>
              <w:pStyle w:val="TableContents"/>
              <w:bidi w:val="0"/>
              <w:spacing w:before="0" w:after="283"/>
              <w:jc w:val="left"/>
              <w:rPr/>
            </w:pPr>
            <w:hyperlink w:anchor="ms_016">
              <w:r>
                <w:rPr>
                  <w:rStyle w:val="InternetLink"/>
                  <w:rFonts w:ascii="Times New Roman;Times;Serif" w:hAnsi="Times New Roman;Times;Serif"/>
                  <w:b w:val="false"/>
                  <w:i/>
                  <w:caps w:val="false"/>
                  <w:smallCaps w:val="false"/>
                  <w:sz w:val="20"/>
                </w:rPr>
                <w:t>Markets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845" w:type="dxa"/>
            <w:tcBorders/>
            <w:shd w:fill="CCEEFF" w:val="clear"/>
            <w:vAlign w:val="center"/>
          </w:tcPr>
          <w:p>
            <w:pPr>
              <w:pStyle w:val="TableContents"/>
              <w:bidi w:val="0"/>
              <w:spacing w:before="0" w:after="283"/>
              <w:jc w:val="left"/>
              <w:rPr/>
            </w:pPr>
            <w:hyperlink w:anchor="ms_017">
              <w:r>
                <w:rPr>
                  <w:rStyle w:val="InternetLink"/>
                  <w:rFonts w:ascii="Times New Roman;Times;Serif" w:hAnsi="Times New Roman;Times;Serif"/>
                  <w:b w:val="false"/>
                  <w:i/>
                  <w:caps w:val="false"/>
                  <w:smallCaps w:val="false"/>
                  <w:sz w:val="20"/>
                </w:rPr>
                <w:t>Selling Shareholders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725"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6845" w:type="dxa"/>
            <w:tcBorders/>
            <w:shd w:fill="FFFFFF" w:val="clear"/>
            <w:vAlign w:val="center"/>
          </w:tcPr>
          <w:p>
            <w:pPr>
              <w:pStyle w:val="TableContents"/>
              <w:bidi w:val="0"/>
              <w:spacing w:before="0" w:after="283"/>
              <w:jc w:val="left"/>
              <w:rPr/>
            </w:pPr>
            <w:hyperlink w:anchor="ms_018">
              <w:r>
                <w:rPr>
                  <w:rStyle w:val="InternetLink"/>
                  <w:rFonts w:ascii="Times New Roman;Times;Serif" w:hAnsi="Times New Roman;Times;Serif"/>
                  <w:b w:val="false"/>
                  <w:i/>
                  <w:caps w:val="false"/>
                  <w:smallCaps w:val="false"/>
                  <w:sz w:val="20"/>
                </w:rPr>
                <w:t>Dilution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725"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w:t>
            </w:r>
          </w:p>
        </w:tc>
        <w:tc>
          <w:tcPr>
            <w:tcW w:w="6845" w:type="dxa"/>
            <w:tcBorders/>
            <w:shd w:fill="CCEEFF" w:val="clear"/>
            <w:vAlign w:val="center"/>
          </w:tcPr>
          <w:p>
            <w:pPr>
              <w:pStyle w:val="TableContents"/>
              <w:bidi w:val="0"/>
              <w:spacing w:before="0" w:after="283"/>
              <w:jc w:val="left"/>
              <w:rPr/>
            </w:pPr>
            <w:hyperlink w:anchor="ms_019">
              <w:r>
                <w:rPr>
                  <w:rStyle w:val="InternetLink"/>
                  <w:rFonts w:ascii="Times New Roman;Times;Serif" w:hAnsi="Times New Roman;Times;Serif"/>
                  <w:b w:val="false"/>
                  <w:i/>
                  <w:caps w:val="false"/>
                  <w:smallCaps w:val="false"/>
                  <w:sz w:val="20"/>
                </w:rPr>
                <w:t>Expenses of the Issue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bl>
    <w:p>
      <w:pPr>
        <w:pStyle w:val="TextBody"/>
        <w:bidi w:val="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7515" w:type="dxa"/>
        <w:jc w:val="left"/>
        <w:tblInd w:w="0" w:type="dxa"/>
        <w:tblLayout w:type="fixed"/>
        <w:tblCellMar>
          <w:top w:w="0" w:type="dxa"/>
          <w:left w:w="0" w:type="dxa"/>
          <w:bottom w:w="0" w:type="dxa"/>
          <w:right w:w="0" w:type="dxa"/>
        </w:tblCellMar>
      </w:tblPr>
      <w:tblGrid>
        <w:gridCol w:w="890"/>
        <w:gridCol w:w="6275"/>
        <w:gridCol w:w="350"/>
      </w:tblGrid>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6275" w:type="dxa"/>
            <w:tcBorders/>
            <w:shd w:fill="CCEEFF" w:val="clear"/>
            <w:vAlign w:val="center"/>
          </w:tcPr>
          <w:p>
            <w:pPr>
              <w:pStyle w:val="TableContents"/>
              <w:bidi w:val="0"/>
              <w:spacing w:before="0" w:after="283"/>
              <w:jc w:val="left"/>
              <w:rPr/>
            </w:pPr>
            <w:hyperlink w:anchor="ms_020">
              <w:r>
                <w:rPr>
                  <w:rStyle w:val="InternetLink"/>
                  <w:rFonts w:ascii="Times New Roman;Times;Serif" w:hAnsi="Times New Roman;Times;Serif"/>
                  <w:b w:val="false"/>
                  <w:i w:val="false"/>
                  <w:caps w:val="false"/>
                  <w:smallCaps w:val="false"/>
                  <w:sz w:val="20"/>
                </w:rPr>
                <w:t>Additional Information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275" w:type="dxa"/>
            <w:tcBorders/>
            <w:shd w:fill="FFFFFF" w:val="clear"/>
            <w:vAlign w:val="center"/>
          </w:tcPr>
          <w:p>
            <w:pPr>
              <w:pStyle w:val="TableContents"/>
              <w:bidi w:val="0"/>
              <w:spacing w:before="0" w:after="283"/>
              <w:jc w:val="left"/>
              <w:rPr/>
            </w:pPr>
            <w:hyperlink w:anchor="ms_021">
              <w:r>
                <w:rPr>
                  <w:rStyle w:val="InternetLink"/>
                  <w:rFonts w:ascii="Times New Roman;Times;Serif" w:hAnsi="Times New Roman;Times;Serif"/>
                  <w:b w:val="false"/>
                  <w:i/>
                  <w:caps w:val="false"/>
                  <w:smallCaps w:val="false"/>
                  <w:sz w:val="20"/>
                </w:rPr>
                <w:t>Share Capital</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275" w:type="dxa"/>
            <w:tcBorders/>
            <w:shd w:fill="CCEEFF" w:val="clear"/>
            <w:vAlign w:val="center"/>
          </w:tcPr>
          <w:p>
            <w:pPr>
              <w:pStyle w:val="TableContents"/>
              <w:bidi w:val="0"/>
              <w:spacing w:before="0" w:after="283"/>
              <w:jc w:val="left"/>
              <w:rPr/>
            </w:pPr>
            <w:hyperlink w:anchor="ms_022">
              <w:r>
                <w:rPr>
                  <w:rStyle w:val="InternetLink"/>
                  <w:rFonts w:ascii="Times New Roman;Times;Serif" w:hAnsi="Times New Roman;Times;Serif"/>
                  <w:b w:val="false"/>
                  <w:i/>
                  <w:caps w:val="false"/>
                  <w:smallCaps w:val="false"/>
                  <w:sz w:val="20"/>
                </w:rPr>
                <w:t>Memorandum and Articles of Association</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275" w:type="dxa"/>
            <w:tcBorders/>
            <w:shd w:fill="FFFFFF" w:val="clear"/>
            <w:vAlign w:val="center"/>
          </w:tcPr>
          <w:p>
            <w:pPr>
              <w:pStyle w:val="TableContents"/>
              <w:bidi w:val="0"/>
              <w:spacing w:before="0" w:after="283"/>
              <w:jc w:val="left"/>
              <w:rPr/>
            </w:pPr>
            <w:hyperlink w:anchor="ms_023">
              <w:r>
                <w:rPr>
                  <w:rStyle w:val="InternetLink"/>
                  <w:rFonts w:ascii="Times New Roman;Times;Serif" w:hAnsi="Times New Roman;Times;Serif"/>
                  <w:b w:val="false"/>
                  <w:i/>
                  <w:caps w:val="false"/>
                  <w:smallCaps w:val="false"/>
                  <w:sz w:val="20"/>
                </w:rPr>
                <w:t>Material Contracts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275" w:type="dxa"/>
            <w:tcBorders/>
            <w:shd w:fill="CCEEFF" w:val="clear"/>
            <w:vAlign w:val="center"/>
          </w:tcPr>
          <w:p>
            <w:pPr>
              <w:pStyle w:val="TableContents"/>
              <w:bidi w:val="0"/>
              <w:spacing w:before="0" w:after="283"/>
              <w:jc w:val="left"/>
              <w:rPr/>
            </w:pPr>
            <w:hyperlink w:anchor="ms_024">
              <w:r>
                <w:rPr>
                  <w:rStyle w:val="InternetLink"/>
                  <w:rFonts w:ascii="Times New Roman;Times;Serif" w:hAnsi="Times New Roman;Times;Serif"/>
                  <w:b w:val="false"/>
                  <w:i/>
                  <w:caps w:val="false"/>
                  <w:smallCaps w:val="false"/>
                  <w:sz w:val="20"/>
                </w:rPr>
                <w:t>Exchange Controls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w:t>
            </w:r>
          </w:p>
        </w:tc>
        <w:tc>
          <w:tcPr>
            <w:tcW w:w="6275" w:type="dxa"/>
            <w:tcBorders/>
            <w:shd w:fill="FFFFFF" w:val="clear"/>
            <w:vAlign w:val="center"/>
          </w:tcPr>
          <w:p>
            <w:pPr>
              <w:pStyle w:val="TableContents"/>
              <w:bidi w:val="0"/>
              <w:spacing w:before="0" w:after="283"/>
              <w:jc w:val="left"/>
              <w:rPr/>
            </w:pPr>
            <w:hyperlink w:anchor="ms_025">
              <w:r>
                <w:rPr>
                  <w:rStyle w:val="InternetLink"/>
                  <w:rFonts w:ascii="Times New Roman;Times;Serif" w:hAnsi="Times New Roman;Times;Serif"/>
                  <w:b w:val="false"/>
                  <w:i/>
                  <w:caps w:val="false"/>
                  <w:smallCaps w:val="false"/>
                  <w:sz w:val="20"/>
                </w:rPr>
                <w:t>Taxation</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w:t>
            </w:r>
          </w:p>
        </w:tc>
        <w:tc>
          <w:tcPr>
            <w:tcW w:w="6275" w:type="dxa"/>
            <w:tcBorders/>
            <w:shd w:fill="CCEEFF" w:val="clear"/>
            <w:vAlign w:val="center"/>
          </w:tcPr>
          <w:p>
            <w:pPr>
              <w:pStyle w:val="TableContents"/>
              <w:bidi w:val="0"/>
              <w:spacing w:before="0" w:after="283"/>
              <w:jc w:val="left"/>
              <w:rPr/>
            </w:pPr>
            <w:hyperlink w:anchor="ms_026">
              <w:r>
                <w:rPr>
                  <w:rStyle w:val="InternetLink"/>
                  <w:rFonts w:ascii="Times New Roman;Times;Serif" w:hAnsi="Times New Roman;Times;Serif"/>
                  <w:b w:val="false"/>
                  <w:i/>
                  <w:caps w:val="false"/>
                  <w:smallCaps w:val="false"/>
                  <w:sz w:val="20"/>
                </w:rPr>
                <w:t>Dividends and Paying Agents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w:t>
            </w:r>
          </w:p>
        </w:tc>
        <w:tc>
          <w:tcPr>
            <w:tcW w:w="6275" w:type="dxa"/>
            <w:tcBorders/>
            <w:shd w:fill="FFFFFF" w:val="clear"/>
            <w:vAlign w:val="center"/>
          </w:tcPr>
          <w:p>
            <w:pPr>
              <w:pStyle w:val="TableContents"/>
              <w:bidi w:val="0"/>
              <w:spacing w:before="0" w:after="283"/>
              <w:jc w:val="left"/>
              <w:rPr/>
            </w:pPr>
            <w:hyperlink w:anchor="ms_027">
              <w:r>
                <w:rPr>
                  <w:rStyle w:val="InternetLink"/>
                  <w:rFonts w:ascii="Times New Roman;Times;Serif" w:hAnsi="Times New Roman;Times;Serif"/>
                  <w:b w:val="false"/>
                  <w:i/>
                  <w:caps w:val="false"/>
                  <w:smallCaps w:val="false"/>
                  <w:sz w:val="20"/>
                </w:rPr>
                <w:t>Statement by Experts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w:t>
            </w:r>
          </w:p>
        </w:tc>
        <w:tc>
          <w:tcPr>
            <w:tcW w:w="6275" w:type="dxa"/>
            <w:tcBorders/>
            <w:shd w:fill="CCEEFF" w:val="clear"/>
            <w:vAlign w:val="center"/>
          </w:tcPr>
          <w:p>
            <w:pPr>
              <w:pStyle w:val="TableContents"/>
              <w:bidi w:val="0"/>
              <w:spacing w:before="0" w:after="283"/>
              <w:jc w:val="left"/>
              <w:rPr/>
            </w:pPr>
            <w:hyperlink w:anchor="ms_028">
              <w:r>
                <w:rPr>
                  <w:rStyle w:val="InternetLink"/>
                  <w:rFonts w:ascii="Times New Roman;Times;Serif" w:hAnsi="Times New Roman;Times;Serif"/>
                  <w:b w:val="false"/>
                  <w:i/>
                  <w:caps w:val="false"/>
                  <w:smallCaps w:val="false"/>
                  <w:sz w:val="20"/>
                </w:rPr>
                <w:t>Documents on Display</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w:t>
            </w:r>
          </w:p>
        </w:tc>
        <w:tc>
          <w:tcPr>
            <w:tcW w:w="6275" w:type="dxa"/>
            <w:tcBorders/>
            <w:shd w:fill="FFFFFF" w:val="clear"/>
            <w:vAlign w:val="center"/>
          </w:tcPr>
          <w:p>
            <w:pPr>
              <w:pStyle w:val="TableContents"/>
              <w:bidi w:val="0"/>
              <w:spacing w:before="0" w:after="283"/>
              <w:jc w:val="left"/>
              <w:rPr/>
            </w:pPr>
            <w:hyperlink w:anchor="ms_029">
              <w:r>
                <w:rPr>
                  <w:rStyle w:val="InternetLink"/>
                  <w:rFonts w:ascii="Times New Roman;Times;Serif" w:hAnsi="Times New Roman;Times;Serif"/>
                  <w:b w:val="false"/>
                  <w:i/>
                  <w:caps w:val="false"/>
                  <w:smallCaps w:val="false"/>
                  <w:sz w:val="20"/>
                </w:rPr>
                <w:t>Subsidiary Information</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w:t>
            </w:r>
          </w:p>
        </w:tc>
        <w:tc>
          <w:tcPr>
            <w:tcW w:w="6275" w:type="dxa"/>
            <w:tcBorders/>
            <w:shd w:fill="CCEEFF" w:val="clear"/>
            <w:vAlign w:val="center"/>
          </w:tcPr>
          <w:p>
            <w:pPr>
              <w:pStyle w:val="TableContents"/>
              <w:bidi w:val="0"/>
              <w:spacing w:before="0" w:after="283"/>
              <w:jc w:val="left"/>
              <w:rPr/>
            </w:pPr>
            <w:hyperlink w:anchor="ms_030">
              <w:r>
                <w:rPr>
                  <w:rStyle w:val="InternetLink"/>
                  <w:rFonts w:ascii="Times New Roman;Times;Serif" w:hAnsi="Times New Roman;Times;Serif"/>
                  <w:b w:val="false"/>
                  <w:i/>
                  <w:caps w:val="false"/>
                  <w:smallCaps w:val="false"/>
                  <w:sz w:val="20"/>
                </w:rPr>
                <w:t>Annual Report to Security Holders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6275" w:type="dxa"/>
            <w:tcBorders/>
            <w:shd w:fill="CCEEFF" w:val="clear"/>
            <w:vAlign w:val="center"/>
          </w:tcPr>
          <w:p>
            <w:pPr>
              <w:pStyle w:val="TableContents"/>
              <w:bidi w:val="0"/>
              <w:spacing w:before="0" w:after="283"/>
              <w:jc w:val="left"/>
              <w:rPr/>
            </w:pPr>
            <w:hyperlink w:anchor="ms_03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6275" w:type="dxa"/>
            <w:tcBorders/>
            <w:shd w:fill="CCEEFF" w:val="clear"/>
            <w:vAlign w:val="center"/>
          </w:tcPr>
          <w:p>
            <w:pPr>
              <w:pStyle w:val="TableContents"/>
              <w:bidi w:val="0"/>
              <w:spacing w:before="0" w:after="283"/>
              <w:jc w:val="left"/>
              <w:rPr/>
            </w:pPr>
            <w:hyperlink w:anchor="ms_032">
              <w:r>
                <w:rPr>
                  <w:rStyle w:val="InternetLink"/>
                  <w:rFonts w:ascii="Times New Roman;Times;Serif" w:hAnsi="Times New Roman;Times;Serif"/>
                  <w:b w:val="false"/>
                  <w:i w:val="false"/>
                  <w:caps w:val="false"/>
                  <w:smallCaps w:val="false"/>
                  <w:sz w:val="20"/>
                </w:rPr>
                <w:t>Description of Securities Other Than Equity Securities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w:t>
            </w:r>
          </w:p>
        </w:tc>
        <w:tc>
          <w:tcPr>
            <w:tcW w:w="6275" w:type="dxa"/>
            <w:tcBorders/>
            <w:shd w:fill="FFFFFF" w:val="clear"/>
            <w:vAlign w:val="center"/>
          </w:tcPr>
          <w:p>
            <w:pPr>
              <w:pStyle w:val="TableContents"/>
              <w:bidi w:val="0"/>
              <w:spacing w:before="0" w:after="283"/>
              <w:jc w:val="left"/>
              <w:rPr/>
            </w:pPr>
            <w:hyperlink w:anchor="ms_033">
              <w:r>
                <w:rPr>
                  <w:rStyle w:val="InternetLink"/>
                  <w:rFonts w:ascii="Times New Roman;Times;Serif" w:hAnsi="Times New Roman;Times;Serif"/>
                  <w:b w:val="false"/>
                  <w:i/>
                  <w:caps w:val="false"/>
                  <w:smallCaps w:val="false"/>
                  <w:sz w:val="20"/>
                </w:rPr>
                <w:t>Debt Securities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w:t>
            </w:r>
          </w:p>
        </w:tc>
        <w:tc>
          <w:tcPr>
            <w:tcW w:w="6275" w:type="dxa"/>
            <w:tcBorders/>
            <w:shd w:fill="CCEEFF" w:val="clear"/>
            <w:vAlign w:val="center"/>
          </w:tcPr>
          <w:p>
            <w:pPr>
              <w:pStyle w:val="TableContents"/>
              <w:bidi w:val="0"/>
              <w:spacing w:before="0" w:after="283"/>
              <w:jc w:val="left"/>
              <w:rPr/>
            </w:pPr>
            <w:hyperlink w:anchor="ms_034">
              <w:r>
                <w:rPr>
                  <w:rStyle w:val="InternetLink"/>
                  <w:rFonts w:ascii="Times New Roman;Times;Serif" w:hAnsi="Times New Roman;Times;Serif"/>
                  <w:b w:val="false"/>
                  <w:i/>
                  <w:caps w:val="false"/>
                  <w:smallCaps w:val="false"/>
                  <w:sz w:val="20"/>
                </w:rPr>
                <w:t>Warrants and Rights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r>
        <w:trPr/>
        <w:tc>
          <w:tcPr>
            <w:tcW w:w="890" w:type="dxa"/>
            <w:tcBorders/>
            <w:shd w:fill="FFFF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6275" w:type="dxa"/>
            <w:tcBorders/>
            <w:shd w:fill="FFFFFF" w:val="clear"/>
            <w:vAlign w:val="center"/>
          </w:tcPr>
          <w:p>
            <w:pPr>
              <w:pStyle w:val="TableContents"/>
              <w:bidi w:val="0"/>
              <w:spacing w:before="0" w:after="283"/>
              <w:jc w:val="left"/>
              <w:rPr/>
            </w:pPr>
            <w:hyperlink w:anchor="ms_035">
              <w:r>
                <w:rPr>
                  <w:rStyle w:val="InternetLink"/>
                  <w:rFonts w:ascii="Times New Roman;Times;Serif" w:hAnsi="Times New Roman;Times;Serif"/>
                  <w:b w:val="false"/>
                  <w:i/>
                  <w:caps w:val="false"/>
                  <w:smallCaps w:val="false"/>
                  <w:sz w:val="20"/>
                </w:rPr>
                <w:t>Other Securities</w:t>
              </w:r>
            </w:hyperlink>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r>
        <w:trPr/>
        <w:tc>
          <w:tcPr>
            <w:tcW w:w="890" w:type="dxa"/>
            <w:tcBorders/>
            <w:shd w:fill="CCEEFF" w:val="cle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w:t>
            </w:r>
          </w:p>
        </w:tc>
        <w:tc>
          <w:tcPr>
            <w:tcW w:w="6275" w:type="dxa"/>
            <w:tcBorders/>
            <w:shd w:fill="CCEEFF" w:val="clear"/>
            <w:vAlign w:val="center"/>
          </w:tcPr>
          <w:p>
            <w:pPr>
              <w:pStyle w:val="TableContents"/>
              <w:bidi w:val="0"/>
              <w:spacing w:before="0" w:after="283"/>
              <w:jc w:val="left"/>
              <w:rPr/>
            </w:pPr>
            <w:hyperlink w:anchor="ms_036">
              <w:r>
                <w:rPr>
                  <w:rStyle w:val="InternetLink"/>
                  <w:rFonts w:ascii="Times New Roman;Times;Serif" w:hAnsi="Times New Roman;Times;Serif"/>
                  <w:b w:val="false"/>
                  <w:i/>
                  <w:caps w:val="false"/>
                  <w:smallCaps w:val="false"/>
                  <w:sz w:val="20"/>
                </w:rPr>
                <w:t>American Depositary Shares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CCEEFF" w:val="clear"/>
            <w:vAlign w:val="center"/>
          </w:tcPr>
          <w:p>
            <w:pPr>
              <w:pStyle w:val="TableContents"/>
              <w:bidi w:val="0"/>
              <w:spacing w:before="0" w:after="283"/>
              <w:jc w:val="center"/>
              <w:rPr/>
            </w:pPr>
            <w:hyperlink w:anchor="ms_037">
              <w:r>
                <w:rPr>
                  <w:rStyle w:val="InternetLink"/>
                  <w:rFonts w:ascii="Times New Roman;Times;Serif" w:hAnsi="Times New Roman;Times;Serif"/>
                  <w:b w:val="false"/>
                  <w:i w:val="false"/>
                  <w:caps w:val="false"/>
                  <w:smallCaps w:val="false"/>
                  <w:sz w:val="20"/>
                </w:rPr>
                <w:t>PART II</w:t>
              </w:r>
            </w:hyperlink>
          </w:p>
        </w:tc>
        <w:tc>
          <w:tcPr>
            <w:tcW w:w="3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6275" w:type="dxa"/>
            <w:tcBorders/>
            <w:shd w:fill="CCEEFF" w:val="clear"/>
            <w:vAlign w:val="center"/>
          </w:tcPr>
          <w:p>
            <w:pPr>
              <w:pStyle w:val="TableContents"/>
              <w:bidi w:val="0"/>
              <w:spacing w:before="0" w:after="283"/>
              <w:jc w:val="left"/>
              <w:rPr/>
            </w:pPr>
            <w:hyperlink w:anchor="ms_038">
              <w:r>
                <w:rPr>
                  <w:rStyle w:val="InternetLink"/>
                  <w:rFonts w:ascii="Times New Roman;Times;Serif" w:hAnsi="Times New Roman;Times;Serif"/>
                  <w:b w:val="false"/>
                  <w:i w:val="false"/>
                  <w:caps w:val="false"/>
                  <w:smallCaps w:val="false"/>
                  <w:sz w:val="20"/>
                </w:rPr>
                <w:t>Defaults, Dividend Arrearages and Delinquencies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6275" w:type="dxa"/>
            <w:tcBorders/>
            <w:shd w:fill="CCEEFF" w:val="clear"/>
            <w:vAlign w:val="center"/>
          </w:tcPr>
          <w:p>
            <w:pPr>
              <w:pStyle w:val="TableContents"/>
              <w:bidi w:val="0"/>
              <w:spacing w:before="0" w:after="283"/>
              <w:jc w:val="left"/>
              <w:rPr/>
            </w:pPr>
            <w:hyperlink w:anchor="ms_039">
              <w:r>
                <w:rPr>
                  <w:rStyle w:val="InternetLink"/>
                  <w:rFonts w:ascii="Times New Roman;Times;Serif" w:hAnsi="Times New Roman;Times;Serif"/>
                  <w:b w:val="false"/>
                  <w:i w:val="false"/>
                  <w:caps w:val="false"/>
                  <w:smallCaps w:val="false"/>
                  <w:sz w:val="20"/>
                </w:rPr>
                <w:t>Material Modifications to the Rights of Security Holders and Use of Proceeds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6275" w:type="dxa"/>
            <w:tcBorders/>
            <w:shd w:fill="CCEEFF" w:val="clear"/>
            <w:vAlign w:val="center"/>
          </w:tcPr>
          <w:p>
            <w:pPr>
              <w:pStyle w:val="TableContents"/>
              <w:bidi w:val="0"/>
              <w:spacing w:before="0" w:after="283"/>
              <w:jc w:val="left"/>
              <w:rPr/>
            </w:pPr>
            <w:hyperlink w:anchor="ms_040">
              <w:r>
                <w:rPr>
                  <w:rStyle w:val="InternetLink"/>
                  <w:rFonts w:ascii="Times New Roman;Times;Serif" w:hAnsi="Times New Roman;Times;Serif"/>
                  <w:b w:val="false"/>
                  <w:i w:val="false"/>
                  <w:caps w:val="false"/>
                  <w:smallCaps w:val="false"/>
                  <w:sz w:val="20"/>
                </w:rPr>
                <w:t>Controls and Procedures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6275" w:type="dxa"/>
            <w:tcBorders/>
            <w:shd w:fill="CCEEFF" w:val="clear"/>
            <w:vAlign w:val="center"/>
          </w:tcPr>
          <w:p>
            <w:pPr>
              <w:pStyle w:val="TableContents"/>
              <w:bidi w:val="0"/>
              <w:spacing w:before="0" w:after="283"/>
              <w:jc w:val="left"/>
              <w:rPr/>
            </w:pPr>
            <w:hyperlink w:anchor="ms_041">
              <w:r>
                <w:rPr>
                  <w:rStyle w:val="InternetLink"/>
                  <w:rFonts w:ascii="Times New Roman;Times;Serif" w:hAnsi="Times New Roman;Times;Serif"/>
                  <w:b w:val="false"/>
                  <w:i w:val="false"/>
                  <w:caps w:val="false"/>
                  <w:smallCaps w:val="false"/>
                  <w:sz w:val="20"/>
                </w:rPr>
                <w:t>[Reserved]</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w:t>
            </w:r>
          </w:p>
        </w:tc>
        <w:tc>
          <w:tcPr>
            <w:tcW w:w="6275" w:type="dxa"/>
            <w:tcBorders/>
            <w:shd w:fill="CCEEFF" w:val="clear"/>
            <w:vAlign w:val="center"/>
          </w:tcPr>
          <w:p>
            <w:pPr>
              <w:pStyle w:val="TableContents"/>
              <w:bidi w:val="0"/>
              <w:spacing w:before="0" w:after="283"/>
              <w:jc w:val="left"/>
              <w:rPr/>
            </w:pPr>
            <w:hyperlink w:anchor="ms_042">
              <w:r>
                <w:rPr>
                  <w:rStyle w:val="InternetLink"/>
                  <w:caps w:val="false"/>
                  <w:smallCaps w:val="false"/>
                </w:rPr>
                <w:t xml:space="preserve">— </w:t>
              </w:r>
            </w:hyperlink>
            <w:hyperlink w:anchor="ms_042">
              <w:r>
                <w:rPr>
                  <w:rStyle w:val="InternetLink"/>
                  <w:rFonts w:ascii="Times New Roman;Times;Serif" w:hAnsi="Times New Roman;Times;Serif"/>
                  <w:b w:val="false"/>
                  <w:i w:val="false"/>
                  <w:caps w:val="false"/>
                  <w:smallCaps w:val="false"/>
                  <w:sz w:val="20"/>
                </w:rPr>
                <w:t>Audit Committee Financial Expert</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16B</w:t>
            </w:r>
          </w:p>
        </w:tc>
        <w:tc>
          <w:tcPr>
            <w:tcW w:w="6275" w:type="dxa"/>
            <w:tcBorders/>
            <w:shd w:fill="CCEEFF" w:val="clear"/>
            <w:vAlign w:val="center"/>
          </w:tcPr>
          <w:p>
            <w:pPr>
              <w:pStyle w:val="TableContents"/>
              <w:bidi w:val="0"/>
              <w:spacing w:before="0" w:after="283"/>
              <w:jc w:val="left"/>
              <w:rPr/>
            </w:pPr>
            <w:hyperlink w:anchor="ms_043">
              <w:r>
                <w:rPr>
                  <w:rStyle w:val="InternetLink"/>
                  <w:caps w:val="false"/>
                  <w:smallCaps w:val="false"/>
                </w:rPr>
                <w:t xml:space="preserve">— </w:t>
              </w:r>
            </w:hyperlink>
            <w:hyperlink w:anchor="ms_043">
              <w:r>
                <w:rPr>
                  <w:rStyle w:val="InternetLink"/>
                  <w:rFonts w:ascii="Times New Roman;Times;Serif" w:hAnsi="Times New Roman;Times;Serif"/>
                  <w:b w:val="false"/>
                  <w:i w:val="false"/>
                  <w:caps w:val="false"/>
                  <w:smallCaps w:val="false"/>
                  <w:sz w:val="20"/>
                </w:rPr>
                <w:t>Code of Ethics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16C</w:t>
            </w:r>
          </w:p>
        </w:tc>
        <w:tc>
          <w:tcPr>
            <w:tcW w:w="6275" w:type="dxa"/>
            <w:tcBorders/>
            <w:shd w:fill="CCEEFF" w:val="clear"/>
            <w:vAlign w:val="center"/>
          </w:tcPr>
          <w:p>
            <w:pPr>
              <w:pStyle w:val="TableContents"/>
              <w:bidi w:val="0"/>
              <w:spacing w:before="0" w:after="283"/>
              <w:jc w:val="left"/>
              <w:rPr/>
            </w:pPr>
            <w:hyperlink w:anchor="ms_044">
              <w:r>
                <w:rPr>
                  <w:rStyle w:val="InternetLink"/>
                  <w:caps w:val="false"/>
                  <w:smallCaps w:val="false"/>
                </w:rPr>
                <w:t xml:space="preserve">— </w:t>
              </w:r>
            </w:hyperlink>
            <w:hyperlink w:anchor="ms_044">
              <w:r>
                <w:rPr>
                  <w:rStyle w:val="InternetLink"/>
                  <w:rFonts w:ascii="Times New Roman;Times;Serif" w:hAnsi="Times New Roman;Times;Serif"/>
                  <w:b w:val="false"/>
                  <w:i w:val="false"/>
                  <w:caps w:val="false"/>
                  <w:smallCaps w:val="false"/>
                  <w:sz w:val="20"/>
                </w:rPr>
                <w:t>Principal Accountant Fees and Services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16D</w:t>
            </w:r>
          </w:p>
        </w:tc>
        <w:tc>
          <w:tcPr>
            <w:tcW w:w="6275" w:type="dxa"/>
            <w:tcBorders/>
            <w:shd w:fill="CCEEFF" w:val="clear"/>
            <w:vAlign w:val="center"/>
          </w:tcPr>
          <w:p>
            <w:pPr>
              <w:pStyle w:val="TableContents"/>
              <w:bidi w:val="0"/>
              <w:spacing w:before="0" w:after="283"/>
              <w:jc w:val="left"/>
              <w:rPr/>
            </w:pPr>
            <w:hyperlink w:anchor="ms_045">
              <w:r>
                <w:rPr>
                  <w:rStyle w:val="InternetLink"/>
                  <w:caps w:val="false"/>
                  <w:smallCaps w:val="false"/>
                </w:rPr>
                <w:t xml:space="preserve">— </w:t>
              </w:r>
            </w:hyperlink>
            <w:hyperlink w:anchor="ms_045">
              <w:r>
                <w:rPr>
                  <w:rStyle w:val="InternetLink"/>
                  <w:rFonts w:ascii="Times New Roman;Times;Serif" w:hAnsi="Times New Roman;Times;Serif"/>
                  <w:b w:val="false"/>
                  <w:i w:val="false"/>
                  <w:caps w:val="false"/>
                  <w:smallCaps w:val="false"/>
                  <w:sz w:val="20"/>
                </w:rPr>
                <w:t>Exemption from the Listing Standards for Audit Committees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16E</w:t>
            </w:r>
          </w:p>
        </w:tc>
        <w:tc>
          <w:tcPr>
            <w:tcW w:w="6275" w:type="dxa"/>
            <w:tcBorders/>
            <w:shd w:fill="CCEEFF" w:val="clear"/>
            <w:vAlign w:val="center"/>
          </w:tcPr>
          <w:p>
            <w:pPr>
              <w:pStyle w:val="TableContents"/>
              <w:bidi w:val="0"/>
              <w:spacing w:before="0" w:after="283"/>
              <w:jc w:val="left"/>
              <w:rPr/>
            </w:pPr>
            <w:hyperlink w:anchor="ms_046">
              <w:r>
                <w:rPr>
                  <w:rStyle w:val="InternetLink"/>
                  <w:caps w:val="false"/>
                  <w:smallCaps w:val="false"/>
                </w:rPr>
                <w:t xml:space="preserve">— </w:t>
              </w:r>
            </w:hyperlink>
            <w:hyperlink w:anchor="ms_046">
              <w:r>
                <w:rPr>
                  <w:rStyle w:val="InternetLink"/>
                  <w:rFonts w:ascii="Times New Roman;Times;Serif" w:hAnsi="Times New Roman;Times;Serif"/>
                  <w:b w:val="false"/>
                  <w:i w:val="false"/>
                  <w:caps w:val="false"/>
                  <w:smallCaps w:val="false"/>
                  <w:sz w:val="20"/>
                </w:rPr>
                <w:t>Purchases of Equity Securities by the Issuer and Affiliated Purchasers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16F</w:t>
            </w:r>
          </w:p>
        </w:tc>
        <w:tc>
          <w:tcPr>
            <w:tcW w:w="6275" w:type="dxa"/>
            <w:tcBorders/>
            <w:shd w:fill="CCEEFF" w:val="clear"/>
            <w:vAlign w:val="center"/>
          </w:tcPr>
          <w:p>
            <w:pPr>
              <w:pStyle w:val="TableContents"/>
              <w:bidi w:val="0"/>
              <w:spacing w:before="0" w:after="283"/>
              <w:jc w:val="left"/>
              <w:rPr/>
            </w:pPr>
            <w:hyperlink w:anchor="ms_047">
              <w:r>
                <w:rPr>
                  <w:rStyle w:val="InternetLink"/>
                  <w:caps w:val="false"/>
                  <w:smallCaps w:val="false"/>
                </w:rPr>
                <w:t xml:space="preserve">— </w:t>
              </w:r>
            </w:hyperlink>
            <w:hyperlink w:anchor="ms_047">
              <w:r>
                <w:rPr>
                  <w:rStyle w:val="InternetLink"/>
                  <w:rFonts w:ascii="Times New Roman;Times;Serif" w:hAnsi="Times New Roman;Times;Serif"/>
                  <w:b w:val="false"/>
                  <w:i w:val="false"/>
                  <w:caps w:val="false"/>
                  <w:smallCaps w:val="false"/>
                  <w:sz w:val="20"/>
                </w:rPr>
                <w:t>Change in Registrant’s Certifying Accountant</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16G</w:t>
            </w:r>
          </w:p>
        </w:tc>
        <w:tc>
          <w:tcPr>
            <w:tcW w:w="6275" w:type="dxa"/>
            <w:tcBorders/>
            <w:shd w:fill="CCEEFF" w:val="clear"/>
            <w:vAlign w:val="center"/>
          </w:tcPr>
          <w:p>
            <w:pPr>
              <w:pStyle w:val="TableContents"/>
              <w:bidi w:val="0"/>
              <w:spacing w:before="0" w:after="283"/>
              <w:jc w:val="left"/>
              <w:rPr/>
            </w:pPr>
            <w:hyperlink w:anchor="ms_048">
              <w:r>
                <w:rPr>
                  <w:rStyle w:val="InternetLink"/>
                  <w:caps w:val="false"/>
                  <w:smallCaps w:val="false"/>
                </w:rPr>
                <w:t xml:space="preserve">— </w:t>
              </w:r>
            </w:hyperlink>
            <w:hyperlink w:anchor="ms_048">
              <w:r>
                <w:rPr>
                  <w:rStyle w:val="InternetLink"/>
                  <w:rFonts w:ascii="Times New Roman;Times;Serif" w:hAnsi="Times New Roman;Times;Serif"/>
                  <w:b w:val="false"/>
                  <w:i w:val="false"/>
                  <w:caps w:val="false"/>
                  <w:smallCaps w:val="false"/>
                  <w:sz w:val="20"/>
                </w:rPr>
                <w:t>Corporate Governance</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16H</w:t>
            </w:r>
          </w:p>
        </w:tc>
        <w:tc>
          <w:tcPr>
            <w:tcW w:w="6275" w:type="dxa"/>
            <w:tcBorders/>
            <w:shd w:fill="CCEEFF" w:val="clear"/>
            <w:vAlign w:val="center"/>
          </w:tcPr>
          <w:p>
            <w:pPr>
              <w:pStyle w:val="TableContents"/>
              <w:bidi w:val="0"/>
              <w:spacing w:before="0" w:after="283"/>
              <w:jc w:val="left"/>
              <w:rPr/>
            </w:pPr>
            <w:hyperlink w:anchor="ms_049">
              <w:r>
                <w:rPr>
                  <w:rStyle w:val="InternetLink"/>
                  <w:caps w:val="false"/>
                  <w:smallCaps w:val="false"/>
                </w:rPr>
                <w:t xml:space="preserve">— </w:t>
              </w:r>
            </w:hyperlink>
            <w:hyperlink w:anchor="ms_049">
              <w:r>
                <w:rPr>
                  <w:rStyle w:val="InternetLink"/>
                  <w:rFonts w:ascii="Times New Roman;Times;Serif" w:hAnsi="Times New Roman;Times;Serif"/>
                  <w:b w:val="false"/>
                  <w:i w:val="false"/>
                  <w:caps w:val="false"/>
                  <w:smallCaps w:val="false"/>
                  <w:sz w:val="20"/>
                </w:rPr>
                <w:t>Mine Safety Disclosure</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16I</w:t>
            </w:r>
          </w:p>
        </w:tc>
        <w:tc>
          <w:tcPr>
            <w:tcW w:w="6275" w:type="dxa"/>
            <w:tcBorders/>
            <w:shd w:fill="CCEEFF" w:val="clear"/>
            <w:vAlign w:val="center"/>
          </w:tcPr>
          <w:p>
            <w:pPr>
              <w:pStyle w:val="TableContents"/>
              <w:bidi w:val="0"/>
              <w:spacing w:before="0" w:after="283"/>
              <w:jc w:val="left"/>
              <w:rPr/>
            </w:pPr>
            <w:hyperlink w:anchor="ms_050">
              <w:r>
                <w:rPr>
                  <w:rStyle w:val="InternetLink"/>
                  <w:caps w:val="false"/>
                  <w:smallCaps w:val="false"/>
                </w:rPr>
                <w:t xml:space="preserve">— </w:t>
              </w:r>
            </w:hyperlink>
            <w:hyperlink w:anchor="ms_050">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r>
      <w:tr>
        <w:trPr/>
        <w:tc>
          <w:tcPr>
            <w:tcW w:w="8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16J</w:t>
            </w:r>
          </w:p>
        </w:tc>
        <w:tc>
          <w:tcPr>
            <w:tcW w:w="6275" w:type="dxa"/>
            <w:tcBorders/>
            <w:shd w:fill="CCEEFF" w:val="clear"/>
            <w:vAlign w:val="center"/>
          </w:tcPr>
          <w:p>
            <w:pPr>
              <w:pStyle w:val="TableContents"/>
              <w:bidi w:val="0"/>
              <w:spacing w:before="0" w:after="283"/>
              <w:jc w:val="left"/>
              <w:rPr/>
            </w:pPr>
            <w:hyperlink w:anchor="jj_001">
              <w:r>
                <w:rPr>
                  <w:rStyle w:val="InternetLink"/>
                  <w:caps w:val="false"/>
                  <w:smallCaps w:val="false"/>
                </w:rPr>
                <w:t xml:space="preserve">— </w:t>
              </w:r>
            </w:hyperlink>
            <w:hyperlink w:anchor="jj_001">
              <w:r>
                <w:rPr>
                  <w:rStyle w:val="InternetLink"/>
                  <w:rFonts w:ascii="Times New Roman;Times;Serif" w:hAnsi="Times New Roman;Times;Serif"/>
                  <w:b w:val="false"/>
                  <w:i w:val="false"/>
                  <w:caps w:val="false"/>
                  <w:smallCaps w:val="false"/>
                  <w:sz w:val="20"/>
                </w:rPr>
                <w:t>Insider Trading Policies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16K</w:t>
            </w:r>
          </w:p>
        </w:tc>
        <w:tc>
          <w:tcPr>
            <w:tcW w:w="6275" w:type="dxa"/>
            <w:tcBorders/>
            <w:shd w:fill="CCEEFF" w:val="clear"/>
            <w:vAlign w:val="center"/>
          </w:tcPr>
          <w:p>
            <w:pPr>
              <w:pStyle w:val="TableContents"/>
              <w:bidi w:val="0"/>
              <w:spacing w:before="0" w:after="283"/>
              <w:jc w:val="left"/>
              <w:rPr/>
            </w:pPr>
            <w:hyperlink w:anchor="ms_051">
              <w:r>
                <w:rPr>
                  <w:rStyle w:val="InternetLink"/>
                  <w:caps w:val="false"/>
                  <w:smallCaps w:val="false"/>
                </w:rPr>
                <w:t xml:space="preserve">— </w:t>
              </w:r>
            </w:hyperlink>
            <w:hyperlink w:anchor="ms_051">
              <w:r>
                <w:rPr>
                  <w:rStyle w:val="InternetLink"/>
                  <w:rFonts w:ascii="Times New Roman;Times;Serif" w:hAnsi="Times New Roman;Times;Serif"/>
                  <w:b w:val="false"/>
                  <w:i w:val="false"/>
                  <w:caps w:val="false"/>
                  <w:smallCaps w:val="false"/>
                  <w:sz w:val="20"/>
                </w:rPr>
                <w:t>Cybersecurity</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CCEEFF" w:val="clear"/>
            <w:vAlign w:val="center"/>
          </w:tcPr>
          <w:p>
            <w:pPr>
              <w:pStyle w:val="TableContents"/>
              <w:bidi w:val="0"/>
              <w:spacing w:before="0" w:after="283"/>
              <w:jc w:val="center"/>
              <w:rPr/>
            </w:pPr>
            <w:hyperlink w:anchor="ms_052">
              <w:r>
                <w:rPr>
                  <w:rStyle w:val="InternetLink"/>
                  <w:rFonts w:ascii="Times New Roman;Times;Serif" w:hAnsi="Times New Roman;Times;Serif"/>
                  <w:b w:val="false"/>
                  <w:i w:val="false"/>
                  <w:caps w:val="false"/>
                  <w:smallCaps w:val="false"/>
                  <w:sz w:val="20"/>
                </w:rPr>
                <w:t>PART III</w:t>
              </w:r>
            </w:hyperlink>
          </w:p>
        </w:tc>
        <w:tc>
          <w:tcPr>
            <w:tcW w:w="35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17</w:t>
            </w:r>
          </w:p>
        </w:tc>
        <w:tc>
          <w:tcPr>
            <w:tcW w:w="6275" w:type="dxa"/>
            <w:tcBorders/>
            <w:shd w:fill="CCEEFF" w:val="clear"/>
            <w:vAlign w:val="center"/>
          </w:tcPr>
          <w:p>
            <w:pPr>
              <w:pStyle w:val="TableContents"/>
              <w:bidi w:val="0"/>
              <w:spacing w:before="0" w:after="283"/>
              <w:jc w:val="left"/>
              <w:rPr/>
            </w:pPr>
            <w:hyperlink w:anchor="ms_053">
              <w:r>
                <w:rPr>
                  <w:rStyle w:val="InternetLink"/>
                  <w:rFonts w:ascii="Times New Roman;Times;Serif" w:hAnsi="Times New Roman;Times;Serif"/>
                  <w:b w:val="false"/>
                  <w:i w:val="false"/>
                  <w:caps w:val="false"/>
                  <w:smallCaps w:val="false"/>
                  <w:sz w:val="20"/>
                </w:rPr>
                <w:t>Consolidated Financial Statements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18.</w:t>
            </w:r>
          </w:p>
        </w:tc>
        <w:tc>
          <w:tcPr>
            <w:tcW w:w="6275" w:type="dxa"/>
            <w:tcBorders/>
            <w:shd w:fill="CCEEFF" w:val="clear"/>
            <w:vAlign w:val="center"/>
          </w:tcPr>
          <w:p>
            <w:pPr>
              <w:pStyle w:val="TableContents"/>
              <w:bidi w:val="0"/>
              <w:spacing w:before="0" w:after="283"/>
              <w:jc w:val="left"/>
              <w:rPr/>
            </w:pPr>
            <w:hyperlink w:anchor="ms_054">
              <w:r>
                <w:rPr>
                  <w:rStyle w:val="InternetLink"/>
                  <w:rFonts w:ascii="Times New Roman;Times;Serif" w:hAnsi="Times New Roman;Times;Serif"/>
                  <w:b w:val="false"/>
                  <w:i w:val="false"/>
                  <w:caps w:val="false"/>
                  <w:smallCaps w:val="false"/>
                  <w:sz w:val="20"/>
                </w:rPr>
                <w:t>Consolidated Financial Statements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19</w:t>
            </w:r>
          </w:p>
        </w:tc>
        <w:tc>
          <w:tcPr>
            <w:tcW w:w="6275" w:type="dxa"/>
            <w:tcBorders/>
            <w:shd w:fill="CCEEFF" w:val="clear"/>
            <w:vAlign w:val="center"/>
          </w:tcPr>
          <w:p>
            <w:pPr>
              <w:pStyle w:val="TableContents"/>
              <w:bidi w:val="0"/>
              <w:spacing w:before="0" w:after="283"/>
              <w:jc w:val="left"/>
              <w:rPr/>
            </w:pPr>
            <w:hyperlink w:anchor="ms_055">
              <w:r>
                <w:rPr>
                  <w:rStyle w:val="InternetLink"/>
                  <w:rFonts w:ascii="Times New Roman;Times;Serif" w:hAnsi="Times New Roman;Times;Serif"/>
                  <w:b w:val="false"/>
                  <w:i w:val="false"/>
                  <w:caps w:val="false"/>
                  <w:smallCaps w:val="false"/>
                  <w:sz w:val="20"/>
                </w:rPr>
                <w:t>Exhibits</w:t>
              </w:r>
            </w:hyperlink>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r>
      <w:tr>
        <w:trPr/>
        <w:tc>
          <w:tcPr>
            <w:tcW w:w="89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90" w:type="dxa"/>
            <w:tcBorders/>
            <w:shd w:fill="CCEEFF" w:val="clear"/>
            <w:vAlign w:val="center"/>
          </w:tcPr>
          <w:p>
            <w:pPr>
              <w:pStyle w:val="TableContents"/>
              <w:bidi w:val="0"/>
              <w:spacing w:before="0" w:after="283"/>
              <w:jc w:val="left"/>
              <w:rPr/>
            </w:pPr>
            <w:hyperlink w:anchor="ms_056">
              <w:r>
                <w:rPr>
                  <w:rStyle w:val="InternetLink"/>
                  <w:rFonts w:ascii="Times New Roman;Times;Serif" w:hAnsi="Times New Roman;Times;Serif"/>
                  <w:b w:val="false"/>
                  <w:i w:val="false"/>
                  <w:caps w:val="false"/>
                  <w:smallCaps w:val="false"/>
                  <w:sz w:val="20"/>
                </w:rPr>
                <w:t>Signatures</w:t>
              </w:r>
            </w:hyperlink>
          </w:p>
        </w:tc>
        <w:tc>
          <w:tcPr>
            <w:tcW w:w="6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INFORMATION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Annual Report on Form 20-F (this “Annual Report”), unless otherwise indicated or the context otherwise requires, references to</w:t>
      </w:r>
    </w:p>
    <w:p>
      <w:pPr>
        <w:pStyle w:val="TextBody"/>
        <w:bidi w:val="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75"/>
        <w:gridCol w:w="170"/>
        <w:gridCol w:w="99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“Genenta,” “us,” “our,” “the Company,” or “our company” are to Genenta Science S.p.A., including its subsidiaries;</w:t>
            </w:r>
          </w:p>
        </w:tc>
      </w:tr>
    </w:tbl>
    <w:p>
      <w:pPr>
        <w:pStyle w:val="TextBody"/>
        <w:bidi w:val="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are to our ordinary shares, no par value;</w:t>
            </w:r>
          </w:p>
        </w:tc>
      </w:tr>
    </w:tbl>
    <w:p>
      <w:pPr>
        <w:pStyle w:val="TextBody"/>
        <w:bidi w:val="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170"/>
        <w:gridCol w:w="9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9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ADSs” or “American Depositary Shares” are to our American depositary shares, each representing one ordinary share;</w:t>
            </w:r>
          </w:p>
        </w:tc>
      </w:tr>
    </w:tbl>
    <w:p>
      <w:pPr>
        <w:pStyle w:val="TextBody"/>
        <w:bidi w:val="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170"/>
        <w:gridCol w:w="3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are to the Nasdaq Capital Market;</w:t>
            </w:r>
          </w:p>
        </w:tc>
      </w:tr>
    </w:tbl>
    <w:p>
      <w:pPr>
        <w:pStyle w:val="TextBody"/>
        <w:bidi w:val="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170"/>
        <w:gridCol w:w="94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Italy” are to the Republic of Italy, “E.U.” are to the European Union, and “U.S.” are to the United States of America;</w:t>
            </w:r>
          </w:p>
        </w:tc>
      </w:tr>
    </w:tbl>
    <w:p>
      <w:pPr>
        <w:pStyle w:val="TextBody"/>
        <w:bidi w:val="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0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“USD,” “dollars,” “USD$” or “U.S. dollars” are to the legal currency of the U.S.; and</w:t>
            </w:r>
          </w:p>
        </w:tc>
      </w:tr>
    </w:tbl>
    <w:p>
      <w:pPr>
        <w:pStyle w:val="TextBody"/>
        <w:bidi w:val="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8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“EURO,” or “Euros” are to the legal currency of the E.U.</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convenience of the reader, this Annual Report contains translations of certain U.S. dollar amounts into Euros at specified rates. Except as otherwise stated in this Annual Report, all foreign currency transactions are translated into Euros through a specific application embedded in our accounting system, which is powered by the official exchange rates provided by HSBC (Hongkong and Shanghai Banking Corporation) in the City of London, United Kingdom. Specifically, the Consolidated Balance Sheet balances resulting from our financial statement as of December 31, 2024, are translated at the spot exchange rate as of December 31, 2024, that is $1.00 per €0.9603, while the Consolidated Statements of Operations and Comprehensive Loss balances are translated at the weighted average exchange rate of non-Euro currency transactions during the reporting period.. No representation is made that such U.S. dollar amounts referred to in this Annual Report could have been or could be converted into Euros at such rates or any other rates. Any discrepancies in any table between totals and sums of the amounts listed are due to rounding.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and notes thereto as of and for fiscal 2024, 2023 and 2022 included elsewhere in this Annual Report have been prepared in accordance with U.S. generally accepted accounting principles (“US GAAP”). Our fiscal semi-annual year-end is June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and our fiscal year-end is December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many statements that are “forward-looking” and uses forward-looking terminology such as “anticipate,” “believe,” “could,” “estimate,” “expect,” “future,” “intend,” “may,” “ought to,” “plan,” “possible,” “potentially,” “predicts,” “project,” “should,” “will,” “would,” negatives of such terms or other similar statements. You should not place undue reliance on any forward-looking statement due to its inherent risk and uncertainties, both general and specific. Although we believe the assumptions on which the forward-looking statements are based are reasonable and within the bounds of our knowledge of our business and operations as of the date of this Annual Report, any or all of those assumptions could prove to be inaccurate. As a result, the forward-looking statements based on those assumptions could also be incorrect. The forward-looking statements in this Annual Report include, without limitation, statements relating to:</w:t>
      </w:r>
    </w:p>
    <w:p>
      <w:pPr>
        <w:pStyle w:val="TextBody"/>
        <w:bidi w:val="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170"/>
        <w:gridCol w:w="2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bl>
    <w:p>
      <w:pPr>
        <w:pStyle w:val="TextBody"/>
        <w:bidi w:val="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results of operations and financial condition;</w:t>
            </w:r>
          </w:p>
        </w:tc>
      </w:tr>
    </w:tbl>
    <w:p>
      <w:pPr>
        <w:pStyle w:val="TextBody"/>
        <w:bidi w:val="0"/>
        <w:jc w:val="both"/>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70"/>
        <w:gridCol w:w="43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w:t>
            </w:r>
          </w:p>
        </w:tc>
      </w:tr>
    </w:tbl>
    <w:p>
      <w:pPr>
        <w:pStyle w:val="TextBody"/>
        <w:bidi w:val="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75"/>
        <w:gridCol w:w="170"/>
        <w:gridCol w:w="64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revenues, profits, earnings and other estimated financial information;</w:t>
            </w:r>
          </w:p>
        </w:tc>
      </w:tr>
    </w:tbl>
    <w:p>
      <w:pPr>
        <w:pStyle w:val="TextBody"/>
        <w:bidi w:val="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strong relationships with our customers and suppliers;</w:t>
            </w:r>
          </w:p>
        </w:tc>
      </w:tr>
    </w:tbl>
    <w:p>
      <w:pPr>
        <w:pStyle w:val="TextBody"/>
        <w:bidi w:val="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170"/>
        <w:gridCol w:w="27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planned use of proceeds; and</w:t>
            </w:r>
          </w:p>
        </w:tc>
      </w:tr>
    </w:tbl>
    <w:p>
      <w:pPr>
        <w:pStyle w:val="TextBody"/>
        <w:bidi w:val="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policies regarding our industry.</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included in this Annual Report are subject to known and unknown risks, uncertainties and assumptions about our business and business environment. These statements reflect our current views with respect to future events and are not a guarantee of future performance. Actual results of our operations may differ materially from information contained in the forward-looking statements as a result of risk factors, some of which are described under the headings “Risk Factors”, “Operating and Financial Review and Prospects,” “Information on our Company” and elsewhere in this Annual Report.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and uncertainties are not exhaustive. Other sections of this Annual Report include additional factors which could adversely impact our business and financial performance. The forward-looking statements contained in this Annual Report speak only as of the date of this Annual Report or, if obtained from third-party studies or reports, the date of the corresponding study or report, and are expressly qualified in their entirety by the cautionary statements in this Annual Report. Since we operate in an emerging and evolving environment and new risk factors and uncertainties emerge from time to time, you should not rely upon forward-looking statements as predictions of future events. Except as otherwise required by the securities laws of the U.S., the E.U. and Italy, we undertake no obligation to update or revise any forward-looking statements to reflect events or circumstances after the date of this Annual Report or to reflect the occurrence of unanticipated events.</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1" w:name="gok_001"/>
      <w:bookmarkEnd w:id="41"/>
      <w:r>
        <w:rPr>
          <w:rFonts w:ascii="Times New Roman;Times;Serif" w:hAnsi="Times New Roman;Times;Serif"/>
          <w:b/>
          <w:i w:val="false"/>
          <w:caps w:val="false"/>
          <w:smallCaps w:val="false"/>
          <w:sz w:val="20"/>
        </w:rPr>
        <w:t>PART I</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2" w:name="gok_002"/>
      <w:bookmarkEnd w:id="42"/>
      <w:r>
        <w:rPr>
          <w:rFonts w:ascii="Times New Roman;Times;Serif" w:hAnsi="Times New Roman;Times;Serif"/>
          <w:b/>
          <w:i w:val="false"/>
          <w:caps w:val="false"/>
          <w:smallCaps w:val="false"/>
          <w:sz w:val="20"/>
        </w:rPr>
        <w:t>ITEM 1. IDENTITY OF DIRECTORS, SENIOR MANAGEMENT AND ADVISERS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Advisers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Auditors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3" w:name="gok_003"/>
      <w:bookmarkEnd w:id="43"/>
      <w:r>
        <w:rPr>
          <w:rFonts w:ascii="Times New Roman;Times;Serif" w:hAnsi="Times New Roman;Times;Serif"/>
          <w:b/>
          <w:i w:val="false"/>
          <w:caps w:val="false"/>
          <w:smallCaps w:val="false"/>
          <w:sz w:val="20"/>
        </w:rPr>
        <w:t>ITEM 2. OFFER STATISTICS AND EXPECTED TIMETABLE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Offer Statistics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Method and Expect</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4" w:name="gok_004"/>
      <w:bookmarkEnd w:id="44"/>
      <w:r>
        <w:rPr>
          <w:rFonts w:ascii="Times New Roman;Times;Serif" w:hAnsi="Times New Roman;Times;Serif"/>
          <w:b/>
          <w:i w:val="false"/>
          <w:caps w:val="false"/>
          <w:smallCaps w:val="false"/>
          <w:sz w:val="20"/>
        </w:rPr>
        <w:t>ITEM 3. KEY INFORMATION</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45" w:name="gok_005"/>
      <w:bookmarkEnd w:id="45"/>
      <w:r>
        <w:rPr>
          <w:rFonts w:ascii="Times New Roman;Times;Serif" w:hAnsi="Times New Roman;Times;Serif"/>
          <w:b/>
          <w:i w:val="false"/>
          <w:caps w:val="false"/>
          <w:smallCaps w:val="false"/>
          <w:sz w:val="20"/>
        </w:rPr>
        <w:t>A. [Reserved]</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bookmarkStart w:id="46" w:name="gok_006"/>
      <w:bookmarkEnd w:id="46"/>
      <w:r>
        <w:rPr>
          <w:rFonts w:ascii="Times New Roman;Times;Serif" w:hAnsi="Times New Roman;Times;Serif"/>
          <w:b/>
          <w:i w:val="false"/>
          <w:caps w:val="false"/>
          <w:smallCaps w:val="false"/>
          <w:sz w:val="20"/>
        </w:rPr>
        <w:t>B. Capitalization and Indebtedness</w:t>
      </w:r>
    </w:p>
    <w:p>
      <w:pPr>
        <w:pStyle w:val="TextBody"/>
        <w:bidi w:val="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47" w:name="gok_007"/>
      <w:bookmarkEnd w:id="47"/>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Reasons for the Offer and Use of Proceeds</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48" w:name="gok_008"/>
      <w:bookmarkEnd w:id="48"/>
      <w:r>
        <w:rPr>
          <w:rFonts w:ascii="Times New Roman;Times;Serif" w:hAnsi="Times New Roman;Times;Serif"/>
          <w:b/>
          <w:i w:val="false"/>
          <w:caps w:val="false"/>
          <w:smallCaps w:val="false"/>
          <w:sz w:val="20"/>
        </w:rPr>
        <w:t>D. Risk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consider all of the information in this report, including various changing regulatory, competitive, economic, political and social risks and conditions described below, before making an investment in our ordinary shares. One or more of a combination of these risks could materially impact our business, results of operations and financial condition. In any such case, the market price of our ADSs or ordinary shares could decline, and you may lose all or part of your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relating to our business include issues arising from the following matters and related adverse developments: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and have incurred significant losses since our inception. We have never generated revenue and will require significant additional funds, which may not be available on acceptable terms or at all. As a result, you could lose your entire investment.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lentiviral-based gene therapy product candidates are based on a novel technology that is in preliminary stages of evaluation, which makes it difficult to predict the time and cost of product candidate development or the likelihood of receiving required regulatory approvals. Our rights to the intellectual property underlying our novel technology derive solely from our license agreement with San Raffaele Hospital (“OSR”) and any failure to comply with the terms of such license agreement could have a material adverse effect on our intellectual property position and our ability to seek approval for and ultimately commercialize such product candidates.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do receive regulatory approvals for our product candidates, they may face commercialization issues from significantly larger oncology competitors, unfavorable pricing regulations or lack of acceptance by doctors, hospitals, patients and insurers. Our product candidates and the process for administering them may also cause undesirable side effects or have other properties that could delay or prevent their regulatory approval, limit their commercial potential, or result in significant negative consequences following any potential marketing approval.</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very few employees and rely almost entirely on the efforts of third parties over which we have limited control and in certain cases are reliant on a sole supplier for our materials. Our contract research organizations (“CROs”) may fail to observe the standards to which our studies must be conducted, and our product candidates may not be approved as a result. Likewise, our contract manufacturing organizations (“CMOs”) may not produce the needed materials for preclinical and clinical testing, whether as a result of their commitments to other customers or otherwise. Any failure of these third parties to meet our expectations would have a materially adverse effect on our product development efforts.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trials for Temferon must be successful if we are to seek and obtain regulatory marketing application through the submission of a new Biological License Application (“BLA”) and marketing authorization application (“MAA”) with the U.S. Food and Drug Administration (“FDA”) and the European Medicines Agency (“EMA”), respectively. Advanced clinical trials are often not successful even if prior trials were successful, and even if we are able to conduct advanced clinical trials and those trials are successful, we may not obtain necessary regulatory approvals for Temferon or we may be unable to successfully commercialize our products even if we receive the necessary regulatory approvals.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directors and shareholders who own more than 5% of our outstanding ordinary shares currently own approximately 39% of our ordinary shares and will therefore be able to exert significant control over matters submitted to our shareholders for approval.</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will need to comply with extensive additional U.S. and Italian governmental regulations and Nasdaq rules, which will be expensive, and require significant management attention.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organized under the laws of Italy and whose shares are represented by ADSs, the rights of investors in the Company differ in several material respects from the rights of holders of shares of common stock of a U.S. domestic company and may not provide investors the same protections.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Position and Capital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additional capital in the future. Raising additional capital by issuing securities may cause dilution to existing shareholders. Financing may not be available on acceptable terms, or at all. Failure to obtain this necessary capital when needed may force us to delay, limit, or terminate our product candidate development efforts or other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our cash and cash equivalents and marketable securities were approximately €12.7 million. If we continue to use cash at our historical rates of use, we will need significant additional financing, which we may seek through a combination of private and public equity offerings, debt financings and collaboration, in-licensing arrangements, joint ventures, strategic alliances or partnerships. For example, on May 12, 2023, we filed with the Securities and Exchange Commission (the “SEC”) a shelf registration statement, which was declared effective by the SEC on May 24, 2023 and permits us to sell from time to time additional ordinary shares, ordinary shares represented by ADSs or rights exercisable for ordinary shares or ADSs in one or more offerings in amounts, at prices and on the terms that we will determine at the time of offering for aggregate gross sales proceeds of up to $100.0 million. As of December 31, 2024, approximately $99.7 million of securities remained available under this registration statement. Further, we have entered into an ATM sales agreement, as amended (the “Sales Agreement”), with Virtu Americas LLC and Rodman &amp; Renshaw LLC (the “Sales Agents”) pursuant to which we may, but are not obligated to, offer and sell, from time to time, ADSs with an aggregate offering price up to $29,696,999 through the Sales Agents, subject to the terms and conditions described in the Sales Agreement and SEC rules and regulations (our “ATM offering”). As of December 31, 2024, approximately $29.7 million of capacity remained available under this ATM offering. To the extent that we raise additional capital through the sale of equity or convertible debt securities, your ownership interest will be diluted, and the terms of any such offerings may include liquidation or other preferences that may adversely affect the then existing shareholders’ rights. Debt financing, if available,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If we raise additional funds through collaborations, licensing arrangements, joint ventures, strategic alliances, or partnerships with third parties, we may be required to relinquish rights to some of our technologies or product candidates or otherwise agree to terms unfavorable to us. Even if we believe that we have sufficient funds for our current or future operating plans, we may seek additional capital if market conditions are favorable, or if we have specific strategic considerations.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funding requirements will depend on many factors, including but not limited to:</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drug discovery, laboratory testing, pre- and non-clinical development and clinical trials for our product candidates, including Temferon;</w:t>
            </w:r>
          </w:p>
        </w:tc>
      </w:tr>
    </w:tbl>
    <w:p>
      <w:pPr>
        <w:pStyle w:val="TextBody"/>
        <w:bidi w:val="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outcome of regulatory review of our product candidates;</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future activities, including product sales, marketing, manufacturing and distribution, for any of our product candidates for which we receive marketing approval;</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preparing, filing and prosecuting patent and trademark applications, maintaining and enforcing our intellectual property rights and defending our intellectual property-related claims;</w:t>
            </w:r>
          </w:p>
        </w:tc>
      </w:tr>
    </w:tbl>
    <w:p>
      <w:pPr>
        <w:pStyle w:val="TextBody"/>
        <w:bidi w:val="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 liability or other lawsuits related to our products;</w:t>
            </w:r>
          </w:p>
        </w:tc>
      </w:tr>
    </w:tbl>
    <w:p>
      <w:pPr>
        <w:pStyle w:val="TextBody"/>
        <w:bidi w:val="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expenses needed to attract and retain skilled personnel; and</w:t>
            </w:r>
          </w:p>
        </w:tc>
      </w:tr>
    </w:tbl>
    <w:p>
      <w:pPr>
        <w:pStyle w:val="TextBody"/>
        <w:bidi w:val="0"/>
        <w:jc w:val="both"/>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75"/>
        <w:gridCol w:w="170"/>
        <w:gridCol w:w="40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being a public company.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holders of our securities and the issuance of additional securities, whether equity or debt, by us, or the possibility of such issuance, may cause the market price of our securities to decline.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funding on a timely basis, we may be required to significantly curtail, delay or discontinue one or more of our research or development programs or the development or commercialization, if any, of any product candidates or be unable to expand our operations or otherwise capitalize on our business opportunities, as desired, which could materially affect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drug development involves a lengthy and expensive process with uncertain timelines and uncertain outcomes, and results of earlier trials may not be predictive of future trial results. If clinical studies of our product candidates are prolonged or delayed, we may be unable to obtain the required regulatory approvals, and therefore be unable to commercialize our product candidates on a timely basis or at all.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history of conducting large-scale or pivotal clinical studies, and no history commercializing pharmaceutical products, which may make it difficult to evaluate the prospects for our future viability. Our operations to date have been limited to financing and staffing our company, developing our technology, and developing Temferon for glioblastoma multiforme. We have not yet demonstrated an ability to successfully complete a large-scale or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clinical studies for our product candidates are prolonged, delayed or stopped, we may be unable to obtain regulatory approval and commercialize our product candidates on a timely basis, which would require us to incur additional costs and delay or restrict our receipt of any product revenue. There have been significant developments in the highly dynamic field of immuno-oncology such as the earlier availability of product candidates or earlier approval of drugs for the same indications as our product candidates, which may lead us to adapt or alter our clinical programs. At this stage, we cannot assure you of the safety or tolerability of Temferon as a monotherapy, or of its ability to demonstrate efficacy in humans. The commencement of planned clinical studies could be substantially delayed or prevented by several factors,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discussions with the Italian Medicines Agency (Agenzia italiana del farmaco, or “AIFA”), FDA, EMA, or other regulatory agencies regarding the scope or design of our clinical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number of, and competition for, suitable sites to conduct our clinical studies, many of which may already be engaged in other clinical study programs, including some that may be for the same indication as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drugs for the same indications as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delay or failure to obtain regulatory approval or agreement to commence a clinical study in any of the countries where enrollment is planned;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sufficient funds required for a clinical study;</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holds on, or other regulatory objections to, a new or ongoing clinical study;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failure in the testing, validation, manufacture and delivery of sufficient supplies of product candidate for our clinical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failure to reach agreement on acceptable clinical study agreement terms with prospective sites or CROs, the terms of which can be subject to extensive negotiation and may vary significantly among different sites or CROs;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or failure to obtain institutional review board (“IRB”) or ethics committee approval to conduct a clinical study at a prospective site.</w:t>
            </w:r>
          </w:p>
        </w:tc>
      </w:tr>
    </w:tbl>
    <w:p>
      <w:pPr>
        <w:pStyle w:val="TextBody"/>
        <w:bidi w:val="0"/>
        <w:ind w:left="1440" w:right="0" w:hanging="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our clinical studies could in the future be substantially delayed or prevented by several factors, including:</w:t>
      </w:r>
    </w:p>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slower than expected rates of patient recruitment and enrollment, due to factors including, but not limited to, the availability of other drugs to treat potential patients, the unwillingness of patients to participate in low-dose groups of dose-ranging studies and lack of recruitment by clinical study sites;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relating to adding new clinical study sites;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patients to complete the clinical study or return for post-treatment follow-up;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our collaborators to provide us with products necessary for us to conduct our combination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issues, including severe or unexpected drug-related adverse effects experienced by patients, including possible deaths;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AIFA, FDA, EMA, or other regulatory authorities requiring us to suspend or terminate a clinical study, or requiring us to submit additional data or imposing other requirements before permitting us to continue a clinical study;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efficacy during clinical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errors in trial design or conduct;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our clinical studies by one or more clinical study sites;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or unwillingness of patients or clinical investigators to follow our clinical study protocols, including clinical investigators’ failure to comply with our clinical study protocols without our notice;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monitor patients adequately during or after treatment by us and/or our CROs;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to repeat or terminate clinical studies as a result of inconclusive or negative results or unforeseen complications in testing.</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may also occur and we may need to significantly amend clinical study protocols or submit new clinical study protocols to reflect these changes with the appropriate regulatory authorities. In addition, changes in the competitive environment have occurred and may continue to occur. Amendments may require us to renegotiate terms with CROs or resubmit clinical study protocols to IRBs or ethics committees for re-examination, which may impact the costs, timing or successful completion of a clinical study.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studies may be suspended or terminated at any time by the AIFA, FDA, EMA, other regulatory authorities, the IRBs or ethics committees overseeing the clinical study at issue, any of our clinical study sites, or us, due to a number of factors,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conduct the clinical study in accordance with regulatory requirements or our clinical protocols;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issues or any determination that a clinical study presents unacceptable health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study due to unforeseen costs or other business decisions;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breach or pursuant to the terms of any agreement with, or for any other reason by, current or future collaborators that have responsibility for the clinical development of any of our product candidates;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a new effective treatment for the respective disease or condition that would be considered to be standard of care by regulatory bodies.</w:t>
            </w:r>
          </w:p>
        </w:tc>
      </w:tr>
    </w:tbl>
    <w:p>
      <w:pPr>
        <w:pStyle w:val="TextBody"/>
        <w:bidi w:val="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ind w:left="1440" w:right="0" w:hanging="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development and clinical costs will increase if we experience delays in clinical studies or marketing approvals or if we are required to conduct additional clinical studies or other testing of our product candidates. We may be required to obtain additional funding to conduct and complete such clinical studies. We cannot assure you that our clinical studies will begin as planned or be completed on schedule, if at all, or that we will not need to restructure our trials after they have begun. Significant clinical study delays also could shorten any periods during which we may have the exclusive right to commercialize our product candidates or allow our competitors to bring products to market before we do, which may harm our business and results of operations. Any failure or significant delay in completing clinical studies for our product candidates would adversely affect our ability to obtain regulatory approval and our commercial prospects and ability to generate product revenue will be diminished.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clinical-stage biopharmaceutical company with limited operating history, which may make it difficult for you to evaluate the success of our business to date and to assess our future viability.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biotechnology company with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All of our product candidates are in early development, and none have been approved for commercial sale. We have not demonstrated an ability to successfully complete late-stage clinical trials, obtain regulatory approvals, manufacture our product candidates at commercial scale or arrange for a third-party to do so on our behalf, conduct sales and marketing activities necessary for successful commercialization, or obtain reimbursement in the countries of sale. We may encounter unforeseen expenses, difficulties, complications, and delays in achieving our business objectives. Our short history as an operating company makes any assessment of our future success or viability subject to significant uncertainty. If we do not address these risks successfully or are unable to transition at some point from a company with a research and development focus to a company capable of supporting commercial activities, then our business will be materially harmed.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significant losses in every year since our inception. We expect to continue to incur losses over the next several years and may never achieve or maintain profitability.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approved for commercial sale, have not generated any revenue from commercial sales of our product candidates, and have incurred losses each year since our inception. Our losses for the years ended December 31, 2024, 2023, and 2022, were approximately €8.9 million, €11.6 million, and €8.5 million, respectively. As of December 31, 2024, we had an accumulated deficit of approximately €56.0 million. Substantially all of our operating losses resulted from costs incurred in connection with our research and development activities, including pre- and non-clinical development of our gene therapy product candidates, namely our leading product candidate Temferon, and from general and administrative costs associated with our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it will be several years, if ever, before we have any product approved for commercial sale. We have funded our operations to date primarily through proceeds from our mandatory convertible bond financing in March 2025 and our initial public offering of ADSs and ordinary shares in December 2021 (the “IPO”) and, prior to our IPO, the private placement of ordinary shares to our founding shareholders. We expect to continue to incur significant expenses and increasing operating losses for the foreseeable future. We anticipate that our expenses will increase substantially if, and as, we: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the research and development of our gene therapy product candidates, including continuing and conducting preclinical studies and clinical trials of Temferon and conducting preclinical studies and clinical trials for any additional product candidates that we may pursue in the future;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obtain regulatory approval for registration studies for our current product candidate, Temferon, and any additional product candidates that we may pursue in the future;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regulatory and marketing approvals for our product candidates that successfully complete clinical studies, including obtaining orphan drug designation;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 sales, marketing, and distribution infrastructure to commercialize any product candidates for which we may obtain marketing approval;</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industrialize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 into a robust, scalable and, if approved, commercially viable process;</w:t>
            </w:r>
          </w:p>
        </w:tc>
      </w:tr>
    </w:tbl>
    <w:p>
      <w:pPr>
        <w:pStyle w:val="TextBody"/>
        <w:bidi w:val="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protect, and expand our intellectual property portfolio;</w:t>
            </w:r>
          </w:p>
        </w:tc>
      </w:tr>
    </w:tbl>
    <w:p>
      <w:pPr>
        <w:pStyle w:val="TextBody"/>
        <w:bidi w:val="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and retain qualified technical personnel, such as clinical, quality control, commercial and scientific personnel;</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infrastructure and facilities to support our operations, including adding equipment and physical infrastructure to support our research and development; and</w:t>
            </w:r>
          </w:p>
        </w:tc>
      </w:tr>
    </w:tbl>
    <w:p>
      <w:pPr>
        <w:pStyle w:val="TextBody"/>
        <w:bidi w:val="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 additional legal, accounting, and other expenses associated with operating as a public company.</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generated revenue from product sales and may never be profitable.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product sales and achieve profitability depends on our ability, alone or with partners, to successfully complete the development of, and obtain the regulatory approvals necessary to commercialize, our product candidates. We do not anticipate generating revenues from product sales for the next several years, if ever, and our ability to do so depends heavily on our success in many areas, including but not limited to:</w:t>
      </w:r>
    </w:p>
    <w:p>
      <w:pPr>
        <w:pStyle w:val="TextBody"/>
        <w:bidi w:val="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completing research and pre- and non-clinical development of our product candidates;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and obtaining regulatory and marketing approvals for product candidates for which we complete clinical studies, if any;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supply and manufacturing processes and relationships with third parties that can provide adequate (in amount and quality) products and services, at acceptable cost, to support clinical development and market demand for our product candidates, if marketing approval is received;</w:t>
            </w:r>
          </w:p>
        </w:tc>
      </w:tr>
    </w:tbl>
    <w:p>
      <w:pPr>
        <w:pStyle w:val="TextBody"/>
        <w:bidi w:val="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75"/>
        <w:gridCol w:w="170"/>
        <w:gridCol w:w="9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negotiating favorable terms in any collaboration, licensing or other arrangements into which we may enter; and</w:t>
            </w:r>
          </w:p>
        </w:tc>
      </w:tr>
    </w:tbl>
    <w:p>
      <w:pPr>
        <w:pStyle w:val="TextBody"/>
        <w:bidi w:val="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market acceptance of our product candidates, if approved for marketing, as viable treatment options.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one or more of the product candidates we develop is approved for commercial sale, we anticipate incurring significant costs associated with commercialization, with all associated risks and uncertainties. Therefore, we cannot predict when, or if, we will be able to achieve profitability. Additional clinical trials or delays in the initiation and completion of clinical trials could cause our expenses to increase significantly and profitability to be further delayed.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Product Development, Regulatory Approval, and Commercialization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lentivirus ex-vivo gene transfer therapy product candidates are based on a novel technology, which makes it difficult to predict the time and cost of product candidate development and likelihood of subsequently obtaining regulatory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concentrated our research and development efforts on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strategy approach, and our future success is highly dependent upon our successful development of commercially viable gene therapy product candidates. There can be no assurance that we will not experience problems or delays in developing new product candidates and that such problems or delays will not cause unanticipated costs, or that any such development problems can be solved. Because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cell therapies represent a relatively new field of cellular immunotherapy and cancer treatment generally, developing and commercializing our product candidates subjects us to a number of risks and challenges,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obtaining regulatory approval for our product candidates, as the AIFA, FDA, EMA, and other regulatory authorities have limited experience with lentivirus </w:t>
            </w: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gene transfer therapies for cancer;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developing and deploying consistent and reliable processes for engineering a patient’s hemapoietic stem progenitor cells (“HSPCs”)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and infusing the engineered HSPCs back into the patient;</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170"/>
        <w:gridCol w:w="9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sourcing clinical and, if approved, commercial supplies of the materials used to manufacture our product candidates;</w:t>
            </w:r>
          </w:p>
        </w:tc>
      </w:tr>
    </w:tbl>
    <w:p>
      <w:pPr>
        <w:pStyle w:val="TextBody"/>
        <w:bidi w:val="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programming modules with the desired properties, while avoiding adverse reactions;</w:t>
            </w:r>
          </w:p>
        </w:tc>
      </w:tr>
    </w:tbl>
    <w:p>
      <w:pPr>
        <w:pStyle w:val="TextBody"/>
        <w:bidi w:val="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170"/>
        <w:gridCol w:w="61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creating viral vectors capable of delivering multiple programming modules;</w:t>
            </w:r>
          </w:p>
        </w:tc>
      </w:tr>
    </w:tbl>
    <w:p>
      <w:pPr>
        <w:pStyle w:val="TextBody"/>
        <w:bidi w:val="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developing a reliable and consistent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gene modification and manufacturing process;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securing manufacturing capacity suitable for the manufacture of our product candidates in line with expanding enrollment in our clinical studies and our projected commercial requirements;</w:t>
            </w:r>
          </w:p>
        </w:tc>
      </w:tr>
    </w:tbl>
    <w:p>
      <w:pPr>
        <w:pStyle w:val="TextBody"/>
        <w:bidi w:val="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minimizing and avoiding infection and contamination during production of product candidates;</w:t>
            </w:r>
          </w:p>
        </w:tc>
      </w:tr>
    </w:tbl>
    <w:p>
      <w:pPr>
        <w:pStyle w:val="TextBody"/>
        <w:bidi w:val="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75"/>
        <w:gridCol w:w="170"/>
        <w:gridCol w:w="6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protocols for the safe administration of our product candidates;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educating medical personnel regarding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technologies and the potential side effect profile of each of our product candidates, such as potential adverse effects related to pyrexia and infections;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establishing integrated solutions in collaboration with specialty treatment centers in order to reduce the burdens and complex logistics commonly associated with the administration of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cell therapies;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we obtain any required regulatory approvals, establishing sales and marketing capabilities or partnerships to successfully launch and commercialize our product candidates and gaining market acceptance of a novel therapy; and</w:t>
            </w:r>
          </w:p>
        </w:tc>
      </w:tr>
    </w:tbl>
    <w:p>
      <w:pPr>
        <w:pStyle w:val="TextBody"/>
        <w:bidi w:val="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coverage and adequate reimbursement from third-party payors.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able to successfully develop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product candidates or our technology in a manner that will yield products that are safe, effective, scalable, or profitable. Additionally, because our technology involves the genetic modification of patient cells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we are subject to additional regulatory challenges and risks,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regulatory requirements governing gene and cell therapy products are evolving in response to new clinical data. To date, several cell therapy products that involve the genetic modification of patient cells have been approved in the United States and/or the European Union, including two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products;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genetically modified products could lead to lymphoma, leukemia or other cancers, or other aberrantly functioning cells in the event of improper insertion of a gene sequence into a patient’s chromosome, or due to other unknown causes;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viral vectors are not able to replicate, there is a risk with the use of lentiviral vectors that they could lead to new or reactivated pathogenic strains of virus or other infectious diseases;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recommends a 15-year follow-up observation period for patients who receive treatment using gene therapies and guidance promulgated by the EMA requires a similar follow-up observation period for patients who receive cell therapeutic products, which has to be sufficient to observe the subjects for risks that may be due to the characteristics of the product, the nature and extent of the exposure, and the anticipated time of occurrence of delayed adverse reactions and could be as long as life-time, and we may need to adopt an observation period for our product candidates.</w:t>
            </w:r>
          </w:p>
        </w:tc>
      </w:tr>
    </w:tbl>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Moreover, public perception and awareness of cell and gene therapy safety issues may adversely influence the willingness of subjects to participate in clinical trials of our product candidates, or if approved, of physicians to prescribe our products. Physicians, hospitals, and third-party payors often are slow to adopt new products, technologies, and treatment practices that require additional upfront costs and training. Treatment centers may not be willing or able to devote the personnel and establish other infrastructure required for the administration of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cell therapies. Physicians may not be willing to undergo training to adopt this novel and personalized therapy, may decide the therapy is too complex to adopt without appropriate training, and may choose not to administer the therapy. Based on these and other factors, hospitals and payors may decide that the benefits of this new therapy do not or will not outweigh its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gene therapy product candidates and the process for administering our product candidates may cause undesirable side effects or have other properties that could delay, prevent their regulatory approval, limit their commercial potential, or result in significant negative consequences following any potential marketing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treatment with our gene therapy product candidates, patients may experience changes in their health, including illnesses, injuries, discomforts or a fatal outcome. It is possible that as we study and test Temferon or other product candidates in larger, longer, and more extensive clinical programs, or as use of our product candidates becomes more widespread if they receive regulatory approval, illnesses, injuries, discomforts, side effects, and other adverse events that were observed in earlier clinical trials, as well as conditions that did not occur or went undetected in previous clinical trials, will be reported by patients.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additional safety risks, contraindications, drug interactions, adverse events and side effects are only detectable after investigational products are tested in larger scale clinical trials or, in some cases, after they are made available to patients on a commercial scale after approval. Moreover, as noted above, the FDA generally requires a long-term follow-up of study subjects for potential gene therapy-related adverse events for a 15-year period, including a minimum of five years of annual examinations followed by ten years of annual queries, either in person or by questionnaire, of study subjects. If additional clinical experience indicates that Temferon or any other product candidates or similar products developed by other companies has side effects or causes serious or life-threatening side effects, the development of the product candidate may fail or be delayed, or, if the product candidate has received regulatory approval, such approval may be revoked or 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several significant adverse side effects in gene therapy treatments in the past, including reported cases of leukemia with the use of gammaretrovirus vector and patient deaths in other clinical trials. There have been recent case reports of suspected unexpected serious adverse reactions (“SUSARs”) involving an ex-vivo transduced lentivirus vector (“LVV”) gene therapy product, Bluebird Bio, Inc.’s (“Bluebird Bio”) elivaldogene autotemcel (“Lenti-D”), involving two SUSARs for cases of acute myeloid leukemia (“AML”), and one case involving myelodysplastic syndrome.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the EMA safety committee (Pharmacovigilance Risk Assessment Committee – PRAC) announced that there is no evidence the LVV used in both Lenti-D and the E.U.-approved gene therapy Zynteglo spurred the AML cases.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Bluebird Bio announced on August 9, 2021 that the SUSAR involving myelodysplastic syndrome occurred in one patient treated with Lenti-D over a year previously, that this SUSAR “is likely mediated by Lenti-D lentiviral vector (LVV) insertion,” and that “[e]vidence currently available suggests that specific design features of Lenti-D LVV likely contributed to this event.” As a result of this SUSAR, the FDA placed a clinical hold on Bluebird Bio’s Lenti-D phase 3 trial for cerebral adrenoleukodystrophy. Post-approval, on November 24, 2024, the FDA announced that the FDA is investigating the known risk of hematologic malignancies with serious outcomes, including those such as hospitalization, the requirement for allogeneic hematopoietic stem cell transplantation, and death, and is evaluating the need for further regulatory action.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Gene therapy is still a relatively new approach 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safety concern for gene therapies using viral vectors has been the possibility of insertional mutagenesis by the vectors, leading to malignant transformation of transduced cells. While our lentivirus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therapy approach is designed to avoid immunogenicity after administration, there can be no assurance that patients would not create antibodies that may impair treatment. Our approach involves the use of integrating vectors which have the potential for genomic disruption and therefore could interfere with other genes with adverse clinical effects. If any of our gene therapy product candidates demonstrates adverse side effects, we may decide or be required to halt or delay clinical development of such product candidates.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risks for gene therapy products can be identified, in addition to side effects caused by the product candidate itself, as part of the entire process required for their manufacturing and administration. For Temferon manufacturing, each patient needs to be subjected to a mobilization and harvesting process for HSPC collection. This procedure is associated with risks linked to the administration of mobilization agents. The conditioning regimen required for administering our product candidate and the associated procedures can also cause adverse side effects. A gene therapy patient is generally administered with cytotoxic drugs to remove stem cells from the bone marrow to create sufficient space for the modified stem cells to engraft and produce their progeny. This procedure compromises the patient’s immune system, and adverse events related to preconditioning have been observed in our ongoing clinical trials. If in the future we are unable to demonstrate that such adverse events were caused by the conditioning regimens used, or by their administration process or related procedure, the FDA, EMA or other regulatory authorities could order us to cease further development of, or deny the approval of, Temferon or our other product candidates for any or all target indications. Even if we can demonstrate that adverse events are not related to our drug product, such occurrences could affect the ability to enroll patients to complete the clinical trials, or the commercial viability of any product candidates that obtain regulatory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Temferon has only been administered to a small number of glioblastoma multiforme (GBM) patients in our Phase 1/2a clinical trial. Only one serious adverse reaction has been attributed to Temferon (abnormal liver enzyme) that occurred early in a patient who subsequently survived more than three years. Adverse events that have occurred in this clinical trial have been attributed either to the autologous stem cell transplant procedures (which include conditioning chemotherapy), concomitant medications or disease progression. The majority of these adverse events resolved. Three patients with GBM died within 122 days of Temferon administration due to complications resulting from conditioning chemotherapy and possibly concomitant steroid use.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deaths and severe adverse events caused by any investigational product candidates could result in the delay, suspension, clinical hold, or termination of clinical trials by sponsors, ethics committees and regulatory authorities. If we elect or are required to delay, suspend, or terminate any clinical trial of any product candidates that we develop, the commercial prospects of such product candidates will be harmed and our ability to generate product revenue from any of these product candidates would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of our product candidates receives marketing approval, the FDA could require us to adopt a Risk Evaluation and Mitigation Strategy (“REMS”) and EMA or other non-U.S. regulatory authorities could impose other specific obligations as a condition of approval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Temferon or any of our other product candidates, several potentially significant negative consequences could result, including:</w:t>
      </w:r>
    </w:p>
    <w:p>
      <w:pPr>
        <w:pStyle w:val="TextBody"/>
        <w:bidi w:val="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70"/>
        <w:gridCol w:w="70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suspend or withdraw approvals of such a product candidate;</w:t>
            </w:r>
          </w:p>
        </w:tc>
      </w:tr>
    </w:tbl>
    <w:p>
      <w:pPr>
        <w:pStyle w:val="TextBody"/>
        <w:bidi w:val="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or limitations of use in product labeling;</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change the way a product candidate is distributed, dispensed, or administered or conduct additional clinical trials;</w:t>
            </w:r>
          </w:p>
        </w:tc>
      </w:tr>
    </w:tbl>
    <w:p>
      <w:pPr>
        <w:pStyle w:val="TextBody"/>
        <w:bidi w:val="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 and</w:t>
            </w:r>
          </w:p>
        </w:tc>
      </w:tr>
    </w:tbl>
    <w:p>
      <w:pPr>
        <w:pStyle w:val="TextBody"/>
        <w:bidi w:val="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our product candidates and could significantly harm our business, prospects,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evaluating Temferon in a Phase 1/2a clinical trial in newly diagnosed unmethylated MGMT gene promoter glioblastoma tumor patients (the “TEM-GBM Study”) and in a Phase 1/2a clinical trial in metastatic Renal Cell Carcinoma (“mRCC”) patients (the “TEM GU Study”). To date, we have completed Phase 1 of the TEM-GBM Study, and the TEM GU Study is ongoing and not complete.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at a very early stage of development for all our gene therapy product candidates. At this stage, our lead product candidate Temferon has been authorized by AIFA to be evaluated in two Phase 1/2a clinical trials in Italy. A study testing Temferon in multiple myeloma study was also approved by AIFA, but we closed the study because of enrollment feasibility.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commence a clinical trial in the U.S., we will be required to seek FDA acceptance of an investigational new drug application (“IND”) for each of our product candidates, including Temferon. We cannot be sure any IND we submit to the FDA, or any similar clinical trial application we submit in other countries, will be accepted. If we will be required by regulatory authorities to conduct additional preclinical testing prior to filing an IND or similar application to clinically evaluate any of our product candidates, including Temferon, this may result in delay in our product candidate development. The results of any such preclinical testing may not be positive and may not support an application to study Temferon or any of our other product candidates in additional clinical trials. Currently, we do not have plans to conduct clinical trials outside of Italy.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 FDA or EMA will not view our ongoing or planned trials as providing adequate support for future clinical trials or for an application for marketing approval, for any one or more reasons, including elements of the design or execution of the trials or safety concerns or other trial results. If we are unable to confirm or replicate the results of our trials in larger patient group or if negative results are obtained, we would likely be further delayed or prevented from advancing further clinical development of Temferon or any of our other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FDA or EMA may disagree with the sufficiency of our proposed reliance upon the preclinical, manufacturing, or clinical data generated by third-party academic-sponsored trials, or our interpretation of preclinical, manufacturing, or clinical data from our ongoing trials with AIFA. If so, the FDA or EMA may require us to obtain and submit additional preclinical, manufacturing, or clinical data.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need to complete our Phase 2 of the TEM-GBM Study and Phase 1/2a of the TEM GU Study, as well as additional clinical trials to obtain regulatory approvals to market Temferon. Carrying out later-stage clinical trials is a complicated process. We are a small organization with limited experience in preparing, submitting, and prosecuting regulatory filings, and we have not previously submitted a BLA to the FDA or the equivalent application to EMA for any product candidate.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not yet conducted clinical trials of any our product candidates in the U.S. or Europe (outside of Italy), and we cannot be certain how many clinical trials of Temferon or any of our other product candidates will be required or how such trials should be designed. Consequently, we may be unable to successfully and efficiently execute and complete necessary clinical trials in a way that leads to a BLA submission (or its equivalent for EMA) and approval of Temferon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Temferon.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substantial delays in commencement and completion of clinical trials.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obtaining marketing approval from regulatory authorities for the sale of our product candidates, we must conduct extensive clinical studies to demonstrate the safety and efficacy of the product candidates in humans. Clinical development is a long, expensive, and uncertain process, and delay or failure can occur at any stage of any of our clinical trials. We cannot guarantee that any clinical studies will be conducted or completed on schedule, if at all. Clinical trials can be delayed or prevented for several reasons, including:</w:t>
      </w:r>
    </w:p>
    <w:p>
      <w:pPr>
        <w:pStyle w:val="TextBody"/>
        <w:bidi w:val="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a consensus with regulatory agencies on study design;</w:t>
            </w:r>
          </w:p>
        </w:tc>
      </w:tr>
    </w:tbl>
    <w:p>
      <w:pPr>
        <w:pStyle w:val="TextBody"/>
        <w:bidi w:val="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that require amending or submitting new clinical protocols;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obtaining regulatory approval to commence a clinical trial or complying with conditions imposed by a regulatory authority regarding the scope or term of a clinical trial;</w:t>
            </w:r>
          </w:p>
        </w:tc>
      </w:tr>
    </w:tbl>
    <w:p>
      <w:pPr>
        <w:pStyle w:val="TextBody"/>
        <w:bidi w:val="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obtaining IRB approval to conduct a clinical trial at a prospective site in the U.S.;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perform in accordance with the FDA’s good clinical practices (“GCP”) or applicable regulatory guidelines in other countries;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reaching or failing to reach agreement on acceptable terms with prospective CROs and trial sites, the terms of which can be subject to extensive negotiation and may vary significantly among different CROs and trial sites;</w:t>
            </w:r>
          </w:p>
        </w:tc>
      </w:tr>
    </w:tbl>
    <w:p>
      <w:pPr>
        <w:pStyle w:val="TextBody"/>
        <w:bidi w:val="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CROs, other third parties or us to adhere to clinical trial protocol and record keeping requirements;</w:t>
            </w:r>
          </w:p>
        </w:tc>
      </w:tr>
    </w:tbl>
    <w:p>
      <w:pPr>
        <w:pStyle w:val="TextBody"/>
        <w:bidi w:val="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trial sites or patients dropping out of a study;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serious adverse events associated with the product candidate that are viewed to outweigh its potential benefits;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insufficient or inadequate supply or quality of a product candidate or other materials necessary to conduct our clinical trials;</w:t>
            </w:r>
          </w:p>
        </w:tc>
      </w:tr>
    </w:tbl>
    <w:p>
      <w:pPr>
        <w:pStyle w:val="TextBody"/>
        <w:bidi w:val="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the testing, validation, manufacturing and delivery of our product candidates to the clinical sites; and,</w:t>
            </w:r>
          </w:p>
        </w:tc>
      </w:tr>
    </w:tbl>
    <w:p>
      <w:pPr>
        <w:pStyle w:val="TextBody"/>
        <w:bidi w:val="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or EMA or other regulatory authorities elect to enact policy changes.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may also be delayed or terminated because of ambiguous or negative interim results. In addition, a clinical trial may be suspended or terminated by us, AIFA, the FDA, EMA, the IRBs at the sites where the IRBs are overseeing a trial, a data safety monitoring board overseeing the clinical trial at issue or by other regulatory authorities due to a number of factors, including:</w:t>
      </w:r>
    </w:p>
    <w:p>
      <w:pPr>
        <w:pStyle w:val="TextBody"/>
        <w:bidi w:val="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conduct the clinical trial in accordance with regulatory requirements or our clinical protocols;</w:t>
            </w:r>
          </w:p>
        </w:tc>
      </w:tr>
    </w:tbl>
    <w:p>
      <w:pPr>
        <w:pStyle w:val="TextBody"/>
        <w:bidi w:val="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170"/>
        <w:gridCol w:w="8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the clinical trial operations or trial sites by AIFA, the FDA, EMA or other regulatory authorities;</w:t>
            </w:r>
          </w:p>
        </w:tc>
      </w:tr>
    </w:tbl>
    <w:p>
      <w:pPr>
        <w:pStyle w:val="TextBody"/>
        <w:bidi w:val="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unforeseen safety issues or lack of effectiveness; and,</w:t>
            </w:r>
          </w:p>
        </w:tc>
      </w:tr>
    </w:tbl>
    <w:p>
      <w:pPr>
        <w:pStyle w:val="TextBody"/>
        <w:bidi w:val="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trial.</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successfully complete preclinical and clinical development could result in additional costs to us or impair our ability to generate revenues. This could result in increased costs, delays in advancing our product candidates, delays in testing the effectiveness of our product candidates or termination of the clinical trials altogether.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make changes to our product candidates, we may need to conduct additional studies to bridge our modified product candidates to earlier versions, this will increase the costs and could delay our clinical development plan, or marketing approval for our product candidates. For example, among our preclinical candidates, we are developing a “switchable” system. This system has the potential to be a “switchable” on/off system that may limit the long-term exposure to any selected therapeutic payloads, but it requires further preclinical testing as well as additional manufacturing validation. Moreover, our platform is designed to allow us to use other therapeutic payloads, other than IFN-α. This has the potential to open a multitude of therapeutic indications but further preclinical testing as well as additional manufacturing validation are required. Any modification of our product candidates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results of preclinical studies, early-stage clinical trials, data obtained from real-world use, and published third-party studies may not be indicative of results in future clinical trials and we cannot assure you that any clinical trials will lead to results sufficient for the necessary regulatory approvals.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preclinical studies may not be predictive of the results of clinical trials, and the results of any completed clinical trials, including studies derived from real-world use and studies in published literature, or clinical trials we commence may not be predictive of the results of later-stage clinical trials. Additionally, interim results and analyses from our ongoing clinical trials do not necessarily predict final results. Moreover, preliminary data and analyses from our ongoing clinical trials may change as more patient data becomes available. In general, we conduct interim analyses at pre-specified times, which do not include data after the cut-off date and will not be available until the next planned interim analysis. From time to time, preliminary data and analyses might be presented, typically by academic investigators at scientific conferences or in scientific publications. Interim data and analyses are subject to the risk that one or more of the clinical outcomes may materially change as patient enrollment continues and/or more patient data becomes available to us. Interim and preliminary data/analyses also remain subject to audit and verification procedures that may result in the final data being materially different from the preliminary data available to us or that we previously published. As a result, preliminary and interim data/analyses should be viewed with caution until the final data are available. Material adverse changes in the final data compared to the preliminary or interim data/analyses could significantly harm our business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Indeed, our product candidates may fail to show the desired safety and efficacy in clinical development despite demonstrating positive results in preclinical studies or having successfully advanced through initial clinical trials.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Our company has limited experience in designing and conducting clinical trials and we may be unable to design and execute a clinical trial to support regulatory approval. There can be no assurance that any of our clinical trials will ultimately be successful or support further clinical development of any of our product candidates. Several companies in the pharmaceutical and biotechnology industries have suffered significant setbacks in clinical development even after achieving promising results in earlier studies, and any such setbacks in our clinical development could have a negative impact on our business. Any of our product candidates, including Temferon, may fail to show the desired safety and efficacy in clinical development despite positive results in preclinical studies. Any such failure would cause us to abandon the product candidate.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ongoing clinical trials utilize, and our planned clinical trials may utilize, an “open-label” trial design.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find it difficult to enroll patients in our clinical trials, which could delay or prevent us from proceeding with clinical trials of our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qualifying patients to participate in clinical trials of our product candidates is critical to our success. The timing of our clinical trials depends on our ability and on the speed at which we can recruit patients to participate in testing our product candidates, as well as the completion of required follow-up periods. We may experience delays in our clinical trials if we encounter difficulties in enrollment. Patients may be unwilling to participate in our gene therapy clinical trials because of negative publicity from adverse events related to the biotechnology or gene therapy fields, the safety profile of our product candidate under study, the perceived risks and benefits of the product candidate under study; the perceived risks and benefits of gene therapy-based approaches to treatment of diseases, including any required pretreatment conditioning regimens, the existence of competitive clinical trials for similar patient populations.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not be able to identify, recruit and enroll a sufficient number of patients due to the existence of efficacious alternative treatments, the size of the patient population and process for identifying subjects, the design of the trial protocol, the exclusion/inclusion criteria that we are currently targeting may limit the pool of patients that may be enrolled in our ongoing or planned clinical trials. Additional challenges include the proximity and availability of clinical trial sites for prospective subjects, and the patient referral practices of physicians, and the ability to obtain and maintain subject consent. Furthermore, there is a risk of high screening failure rates due to patient ineligibility and a significant number of withdrawals from consideration for the trial caused by the rapid deterioration of patients’ clinical conditions, along with the risk that enrolled subjects will drop out before completion of the trial.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patients are unwilling to participate in our studies for any reason, the timeline for recruiting patients, conducting studies, and obtaining regulatory approval of potential product candidates will be delayed.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in the commencement or completion or termination of any clinical trial of our product candidates, the commercial prospects of our product candidates will be harmed, and our ability to generate product candidate revenue from any of these product candidates could be delayed or prevented. In addition, any delays in completing our clinical trials will increase our costs, slow down our product candidate development and approval process and jeopardize our ability to commence product candidate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results of clinical trials conducted at clinical sites outside the U.S. may not be accepted by the FDA and the results of clinical trials conducted at clinical sites in the U.S. may not be accepted by international regulatory authorities.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our only ongoing recruiting clinical trials have been conducted in Italy but we are eventually planning to globally develop Temferon, including in the U.S. Although the FDA may accept data from clinical trials conducted outside the U.S., acceptance of this data is subject to certain conditions imposed by the FDA. For example, the clinical trial must be well-designed and conducted and performed by qualified investigators in accordance with GCPs, ethical principles such as or IRB or ethics committee approval and informed consent. Generally, the subject population for any clinical trials conducted outside of the U.S. must be representative of the U.S. population, and the data must be applicable to the U.S. population and U.S. medical practice in ways that the FDA deems clinically meaningful. In addition, while these clinical trials are subject to the applicable local laws, FDA acceptance of the data will be dependent upon its determination that the trials were conducted consistent with all applicable U.S. laws and regulations. There can be no assurance the FDA or international regulatory authorities will accept data from trials conducted in Italy or outside of the location in which each regulatory authority is based as adequate support of a marketing application in each jurisdiction. If the FDA does not accept the data from sites in our Italian conducted clinical trials, or if international regulatory authorities do not accept the data from our future U.S. clinical trials, it would likely result in the need for additional trials, which would be costly and time-consuming and could delay or permanently halt the development of one or more of our product candidates.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initiate, enroll and complete a clinical trial in any foreign country including the U.S., is subject to numerous risks unique to conducting business in foreign countries, including:</w:t>
      </w:r>
    </w:p>
    <w:p>
      <w:pPr>
        <w:pStyle w:val="TextBody"/>
        <w:bidi w:val="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in establishing or managing relationships with CROs and physicians;</w:t>
            </w:r>
          </w:p>
        </w:tc>
      </w:tr>
    </w:tbl>
    <w:p>
      <w:pPr>
        <w:pStyle w:val="TextBody"/>
        <w:bidi w:val="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170"/>
        <w:gridCol w:w="41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standards for the conduct of clinical trials;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in some countries of established groups with sufficient regulatory expertise for review of gene therapy protocols;</w:t>
            </w:r>
          </w:p>
        </w:tc>
      </w:tr>
    </w:tbl>
    <w:p>
      <w:pPr>
        <w:pStyle w:val="TextBody"/>
        <w:bidi w:val="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locate qualified local consultants, physicians and partners;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burden of complying with a variety of laws, medical standards and regulatory requirements, including the regulation of pharmaceutical and biotechnology products and treatment.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methods of product candidate manufacturing or formulation may result in additional costs or delay.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product candidates proceed through preclinical studies to late-stage clinical trials towards potential approval and commercialization, it is common that various aspects of the development program, such as manufacturing methods and formulation, are altered along the way to optimize processes and results. Such changes carry the risk that they will not achieve these intended objectives. We may also experience delays in developing a sustainable, reproducible, and scalable manufacturing process or delays in transferring that process to commercial partners, which may prevent us from initiating, completing, or expanding our clinical trials or commercializing our products, if any, on a timely or profitable basis, if at all. For example, the anticipated transition of our cell processing to a different commercial partner in the U.S., or to a commercial partner(s) relying on automated closed system, if available, using all disposable supplies would require regulatory approvals, may not be successful or may experience unforeseen delays, which may cause shortages or delays in the supply of our products available for clinical trials and future commercial sales, if any. In addition, there is no assurance that products manufactured using a different commercial partner or an automated closed system, if and when available, will achieve the same results observed to date in Temferon clinical and preclinical and non-clinical studies. Any of these changes could cause our product candidates to perform differently and affect the results of planned clinical trials or other future clinical trials conducted with the materials manufactured using altered processes. Such changes may also require additional testing such as comparability studies, FDA or EMA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complete the necessary preclinical and clinical studies, we cannot predict when or if we will obtain regulatory approval to commercialize a product candidate and the approval may be for a narrower indication than we seek.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commercialize a product until the appropriate regulatory authorities have reviewed and approved the product candidate. Even if our product candidates demonstrate safety and efficacy in preclinical and clinical studies, the regulatory agencies may not complete their review processes in a timely manner, or we may not be able to obtain regulatory approval. Many companies in the pharmaceutical and biotechnology industries have suffered significant setbacks in late-stage clinical trials even after achieving promising results in preclinical testing and earlier-stage clinical trials. Additional delays may result if an FDA Advisory Committee or other regulatory authority does not recommend approval or recommends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product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 Supreme Court recently overruled the Chevron doctrine, which gives deference to U.S. regulatory agencies’ statutory interpretations in litigation against U.S.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seek designations for our product candidates with the FDA, EMA and other comparable regulatory authorities that are intended to confer benefits such as a faster development process or an accelerated regulatory pathway, but there can be no assurance that we will successfully obtain such designations. In addition, even if one or more of our product candidates are granted such designations, we may not be able to realize the intended benefits of such designations.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EMA, and other comparable regulatory authorities, offer certain designations for product candidates that are intended to encourage the research and development of pharmaceutical and biotechnology products addressing conditions with significant unmet medical need. These designations may confer benefits such as additional interaction with regulatory authorities, a potentially accelerated regulatory pathway and priority review. There can be no assurance that we will successfully obtain such a designation for Temferon. In addition, while such designations could expedite the development or approval process, they do not change the standards for approval. Even if we obtain such designations for one or more of our product candidates, there can be no assurance that we will realize their intended benefits.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we may seek a Breakthrough Therapy Designation from the FDA for one or more of our product candidates. A Breakthrough Therapy Designation is defined as a therapy that is intended, alone or in combination with one or more other therapies, to treat a serious or life-threatening disease or condition, if preliminary clinical evidence indicates that the therapy may demonstrate substantial improvement over existing therapies on one or more clinically significant endpoints, such as substantial treatment effects observed early in clinical development. For therapies that have Breakthrough Therapy Designation, interaction and communication between the FDA and the sponsor of the trial can help to identify the most efficient path for clinical development while minimizing the number of patients placed in ineffective control regimens. Therapies with Breakthrough Therapy Designation from the FDA are also eligible for accelerated approval. Designation as a breakthrough therapy is within the discretion of the FDA. Accordingly, even if we believe one of our product candidates meets the criteria for Breakthrough Therapy Designation,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for Breakthrough Therapy Designation, the FDA may later decide that such product candidates no longer meet the conditions for qualification.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seek Fast Track Designation from the FDA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FDA ultimate approval. The FDA may withdraw Fast Track Designation if it believes that the designation is no longer supported by data from our clinical development program.</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seek a regenerative medicine advanced therapy (“RMAT”) designation for some of our product candidates. An RMAT is defined as a cell therapy, therapeutic tissue engineering products, human cell and tissue products, or any combination products using any such therapies or products. Gene therapies, including genetically modified cells that lead to a durable modification of cells or tissues may meet the definition of regenerative medicine therapy. The RMAT program is intended to facilitate efficient development and expedite review of RMATs, which are intended to treat, modify, reverse, or cure a serious or life-threatening disease or condition, and for which preliminary clinical evidence indicates that the candidate has potential to address unmet medical needs for such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for RMAT designation, the FDA may later decide that the biological products no longer meet the conditions for qualification.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seek a conditional marketing authorization in Europe for some or all of our current product candidates, but we may not be able to obtain or maintain such a designation.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marketing authorization process, EMA may grant marketing authorizations for certain categories of medicinal products based on less complete data than is normally required, where the benefit of immediate availability of the medicine outweighs the risk inherent in the fact that additional data are still required or in the interests of public health. In such cases, it is possible for the Committee for Medicinal Products for Human Use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or life-threatening diseases and those designated as orphan medicinal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conditional marketing authorization may be granted when the CHMP finds that, although comprehensive clinical data referring to the safety and efficacy of the medicinal product have not been supplied, all the following requirements are met:</w:t>
      </w:r>
    </w:p>
    <w:p>
      <w:pPr>
        <w:pStyle w:val="TextBody"/>
        <w:bidi w:val="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risk-benefit balance of the medicinal product is positive;</w:t>
            </w:r>
          </w:p>
        </w:tc>
      </w:tr>
    </w:tbl>
    <w:p>
      <w:pPr>
        <w:pStyle w:val="TextBody"/>
        <w:bidi w:val="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applicant will provide the comprehensive clinical data post-authorization;</w:t>
            </w:r>
          </w:p>
        </w:tc>
      </w:tr>
    </w:tbl>
    <w:p>
      <w:pPr>
        <w:pStyle w:val="TextBody"/>
        <w:bidi w:val="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170"/>
        <w:gridCol w:w="3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unmet medical needs will be fulfilled;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benefit to public health of the immediate availability on the market of the medicinal product concerned outweighs the risk inherent in the fact that additional data is still required.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granting of a conditional marketing authorization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marketing authorizations are valid for one year, on a renewable basis. The holder will be required to complete ongoing trials or to conduct new trials with a view to confirming that the benefit-risk balance is positive. In addition, specific obligations may be imposed in relation to the collection of pharmacovigilance data.</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Granting a conditional marketing authorization allows medicines to reach patients with unmet medical needs earlier than might otherwise be the case and will ensure that additional data on a product is generated, submitted, assessed, and acted upon. Although we may seek a conditional marketing authorization for one or more of our product candidates by the EMA, the CHMP may ultimately not agree that the requirements for such conditional marketing authorization have been satisfied and hence delay the commercialization of our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received orphan drug designation for Temferon for the treatment of GBM and we may seek orphan drug designation for additional indications and for other product candidates. We may be unable to obtain orphan drug designation for our product candidates and, even if we obtain such designation, we may not be able to realize the benefits of such designation, including potential marketing exclusivity of our product candidates, if approved.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in some jurisdictions, including the U.S. and E.U.,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U.S. or a patient population of 200,000 or more individuals in the U.S., but for which there is no reasonable expectation that the cost of developing the drug will be recovered from sales in the U.S. In the E.U., the European Commission grants orphan drug designation to promote the development of products that are intended for the diagnosis, prevention, or treatment of a life-threatening or chronically debilitating condition affecting not more than five in 10,000 people in the E.U. community.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drug or biologic product. In either case, the applicant for orphan designation must also demonstrate that no satisfactory method of diagnosis, prevention, or treatment for the condition has been authorized (or, if a method exists, the new product would be a significant benefit to those affected compared to the product available).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Temferon has been granted orphan drug designation in the U.S. and E.U. for the treatment of GBM. If we request orphan drug designation from the FDA for Temferon for additional indications, if we request the international equivalent from the applicable regulatory authorities for Temferon or if we request orphan drug designation or the international equivalent for any of our other product candidates, there can be no assurances that the FDA or international regulatory authorities will grant any of our product candidates such designation. This designation of a product candidate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a product candidate with an orphan drug designation subsequently receives the first marketing approval for the indication for which it has such designation, the drug may be entitled to a period of marketing exclusivity, which precludes the FDA or EMA from approving another marketing application for the same drug for the same indication for that time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U.S. and ten years in the E.U. The exclusivity period in the E.U. can be reduced to six years if a drug no longer meets the criteria for orphan drug designation or if the drug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drug to meet the needs of patients with the rare disease or condition.</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orphan drug exclusivity for a product candidate, that exclusivity may not effectively protect the product candidate from competition because different drugs can be approved for the same indication.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 marketing authorization may be granted to a similar medicinal product for the same orphan indication if:</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applicant can establish in its application that its medicinal product, although similar to the orphan medicinal product already authorized, is safer, more effective or otherwise clinically superior;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the marketing authorization for the original orphan medicinal product consents to a second orphan medicinal product application; or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the marketing authorization for the original orphan medicinal product cannot supply enough orphan medicinal product.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and maintain regulatory approval for a product candidate, our products will remain subject to ongoing regulatory oversight.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as noted above in the U.S.,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marketing application also must submit new or supplemental applications and obtain FDA approval for certain changes to the approved product, product labeling or manufacturing process.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EMA, or comparable foreign regulatory authorities, Department of Justice, Department of Health and Human Services’ Office of Inspector General, state attorneys general, members of Congress, and the public. When the FDA, EMA, or comparable foreign regulatory authorities issue regulatory approval for a product candidate, the regulatory approval is limited to those specific uses and indications for which a product is approved. If we are not able to obtain FDA, EMA, or comparable foreign regulatory authority approval for desired uses or indications for our current product candidates and any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our products, including claims comparing our products to other companies’ products, and must abide by the FDA, EMA, or a comparable foreign regulatory authority’s strict requirements regarding the content of promotion and advertising.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physicians may choose to prescribe products for uses that are not described in the product’s labeling and for uses that differ from those tested in clinical trials and approved by the regulatory authorities, we and any third parties engaged on our behalf are prohibited from marketing and promoting the products for indications and uses that are not specifically approved by the FDA, EMA, or comparable foreign regulatory authorities.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to have impermissibly promoted any of our current product candidates and any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U.S. federal government has levied large civil and criminal fines against companies for alleged improper promotion and has enjoined several companies from engaging in off-label promotion. The FDA has also requested that companies enter consent decrees or permanent injunctions under which specified promotional conduct is changed or curtailed.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the advertising and promotion of our products are subject to E.U. laws governing promotion of medicinal products, interactions with physicians, misleading and comparative advertising, and unfair commercial practices. In addition, other legislation adopted by individual E.U. Member States may apply to the advertising and promotion of medicinal products. These laws require that promotional materials and advertising for medicinal products are consistent with the product’s Summary of Product Characteristics (“SmPC”) as approved by the competent authorities. The SmPC is a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The off-label promotion of medicinal products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These laws may further limit or restrict the advertising and promotion of our products to the general public and may also impose limitations on our promotional activities with health care professionals.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product manufacturers and their facilities are subject to payment of user fees and continual review and periodic inspections by the FDA, EMA, and other regulatory authorities for compliance with current good manufacturing practices (“GMP”)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comply with applicable regulatory requirements, a regulatory authority may:</w:t>
      </w:r>
    </w:p>
    <w:p>
      <w:pPr>
        <w:pStyle w:val="TextBody"/>
        <w:bidi w:val="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an untitled letter or warning letter that we are in violation of the law;</w:t>
            </w:r>
          </w:p>
        </w:tc>
      </w:tr>
    </w:tbl>
    <w:p>
      <w:pPr>
        <w:pStyle w:val="TextBody"/>
        <w:bidi w:val="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 injunction or impose administrative, civil or criminal penalties or monetary fines;</w:t>
            </w:r>
          </w:p>
        </w:tc>
      </w:tr>
    </w:tbl>
    <w:p>
      <w:pPr>
        <w:pStyle w:val="TextBody"/>
        <w:bidi w:val="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170"/>
        <w:gridCol w:w="34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withdraw regulatory approval;</w:t>
            </w:r>
          </w:p>
        </w:tc>
      </w:tr>
    </w:tbl>
    <w:p>
      <w:pPr>
        <w:pStyle w:val="TextBody"/>
        <w:bidi w:val="0"/>
        <w:jc w:val="both"/>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170"/>
        <w:gridCol w:w="2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ongoing clinical trials;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BLA or comparable foreign marketing application (or any supplements thereto) submitted by us or our strategic partners;</w:t>
            </w:r>
          </w:p>
        </w:tc>
      </w:tr>
    </w:tbl>
    <w:p>
      <w:pPr>
        <w:pStyle w:val="TextBody"/>
        <w:bidi w:val="0"/>
        <w:jc w:val="both"/>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 the marketing or manufacturing of the product;</w:t>
            </w:r>
          </w:p>
        </w:tc>
      </w:tr>
    </w:tbl>
    <w:p>
      <w:pPr>
        <w:pStyle w:val="TextBody"/>
        <w:bidi w:val="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or detain the products or require the withdrawal of the product from the market;</w:t>
            </w:r>
          </w:p>
        </w:tc>
      </w:tr>
    </w:tbl>
    <w:p>
      <w:pPr>
        <w:pStyle w:val="TextBody"/>
        <w:bidi w:val="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permit the import or export of the products; or</w:t>
            </w:r>
          </w:p>
        </w:tc>
      </w:tr>
    </w:tbl>
    <w:p>
      <w:pPr>
        <w:pStyle w:val="TextBody"/>
        <w:bidi w:val="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allow us to enter supply contracts, including government contracts.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FDA’s policies, and those of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marketing authorization holders and manufacturers of medicinal products are subject to comprehensive regulatory oversight by the EMA and the competent authorities of the individual E.U. Member States both before and after grant of the manufacturing and marketing authorizations. This includes control of compliance with GMP rules, which govern quality control of the manufacturing process and require documentation policies and procedures. We and our third-party manufacturers would be required to ensure that all our processes, quality systems, methods, and equipment are compliant with GMP. Failure by us or by any of our third-party partners, including suppliers, manufacturers, and distributors to comply with E.U. laws and the related national laws of individual E.U. Member States governing the conduct of clinical trials, manufacturing approval, marketing authorization of medicinal products, both before and after grant of marketing authorization, and marketing of such products following grant of authorization may result in administrative, civil, or criminal penalties. These penalties could include delays in or refusal to authorize the conduct of clinical trials or to grant marketing authorization, product withdrawals and recalls, product seizures, suspension, or variation of the marketing authorization, total or partial suspension of production, distribution, manufacturing, or clinical trials, operating restrictions, injunctions, suspension of licenses, fines, and criminal penalties. operating restrictions, injunctions, suspension of licenses, fines, and criminal penalties.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E.U. legislation related to pharmacovigilance, or the assessment and monitoring of the safety of medicinal products, provides that EMA and the competent authorities of the E.U. Member States have the authority to require companies to conduct additional post-approval clinical efficacy and safety studies. The legislation also governs the obligations of marketing authorization holders with respect to additional monitoring, adverse event management and reporting. Under the pharmacovigilance legislation and its related regulations and guidelines, we may be required to conduct a burdensome collection of data regarding the risks and benefits of marketed products and may be required to engage in ongoing assessments of those risks and benefits, including the possible requirement to conduct additional clinical trials, which may be time-consuming and expensive and could impact our profitability. Non-compliance with such obligations can lead to the variation, suspension or withdrawal of marketing authorization or imposition of financial penalties or other enforcement measures.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have sales, distribution, and marketing capabilities. If we are unable to develop these capabilities or enter into agreements with third parties to market and sell Temferon and our other product candidates, we will be unable to generate any product revenue.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collaborations or alternative transactions and arrangements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 party to perform marketing and sales functions, we may be unable to compete successfully against these more established companies.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product candidates receives marketing approval, it may fail to achieve the degree of market acceptance by physicians, patients, third party payors and others in the medical community necessary for commercial success.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Temferon will depend upon the acceptance of each product by the medical community, including physicians, patients, and third-party payors. The degree of market acceptance of any approved product will depend on a number of factors, including:</w:t>
      </w:r>
    </w:p>
    <w:p>
      <w:pPr>
        <w:pStyle w:val="TextBody"/>
        <w:bidi w:val="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70"/>
        <w:gridCol w:w="30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of the product;</w:t>
            </w:r>
          </w:p>
        </w:tc>
      </w:tr>
    </w:tbl>
    <w:p>
      <w:pPr>
        <w:pStyle w:val="TextBody"/>
        <w:bidi w:val="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advantages of the product compared to available therapies;</w:t>
            </w:r>
          </w:p>
        </w:tc>
      </w:tr>
    </w:tbl>
    <w:p>
      <w:pPr>
        <w:pStyle w:val="TextBody"/>
        <w:bidi w:val="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convenience and ease of administration compared to alternative treatments;</w:t>
            </w:r>
          </w:p>
        </w:tc>
      </w:tr>
    </w:tbl>
    <w:p>
      <w:pPr>
        <w:pStyle w:val="TextBody"/>
        <w:bidi w:val="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or warnings, including use restrictions contained in the product’s approved labeling;</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and use restrictions imposed by the FDA, the EMA or other regulatory authority or agreed to by us as part of a mandatory or voluntary risk management plan;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alternative treatments, including competitive products expected to be commercially launched in the near future;</w:t>
            </w:r>
          </w:p>
        </w:tc>
      </w:tr>
    </w:tbl>
    <w:p>
      <w:pPr>
        <w:pStyle w:val="TextBody"/>
        <w:bidi w:val="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cost effectiveness in relation to alternative treatments;</w:t>
            </w:r>
          </w:p>
        </w:tc>
      </w:tr>
    </w:tbl>
    <w:p>
      <w:pPr>
        <w:pStyle w:val="TextBody"/>
        <w:bidi w:val="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product is included under physician treatment guidelines as a first-, second-, or third line therapy;</w:t>
            </w:r>
          </w:p>
        </w:tc>
      </w:tr>
    </w:tbl>
    <w:p>
      <w:pPr>
        <w:pStyle w:val="TextBody"/>
        <w:bidi w:val="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sales, marketing and distribution support;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third-party coverage and adequate reimbursement and the willingness of patients to pay out-of-pocket in the absence of coverage by third-party payors;</w:t>
            </w:r>
          </w:p>
        </w:tc>
      </w:tr>
    </w:tbl>
    <w:p>
      <w:pPr>
        <w:pStyle w:val="TextBody"/>
        <w:bidi w:val="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75"/>
        <w:gridCol w:w="170"/>
        <w:gridCol w:w="46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sales, marketing and distribution support;</w:t>
            </w:r>
          </w:p>
        </w:tc>
      </w:tr>
    </w:tbl>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for drugs out of pocket in the absence of third party coverage; and,</w:t>
            </w:r>
          </w:p>
        </w:tc>
      </w:tr>
    </w:tbl>
    <w:p>
      <w:pPr>
        <w:pStyle w:val="TextBody"/>
        <w:bidi w:val="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170"/>
        <w:gridCol w:w="92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the target patient population to try new therapies and of physicians to prescribe these therapies.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Temferon is approved but does not achieve an adequate level of acceptance by physicians, third party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choose to collaborate with third parties that have direct sales forces and established distribution systems, either to augment our own sales force and distribution systems or in lieu of our own sales force and distribution systems. If we enter collaborations or alternative transactions or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 If we are not successful in commercializing our product candidates, either on our own or through collaborations with one or more third parties, our future product revenue will suffer, and we may incur significant additional losses.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can commercialize any product candidates, the products may become subject to unfavorable pricing regulations or third-party coverage and reimbursement policies, any of which could harm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adequate reimbursement for our products may be difficult. We cannot be certain if we will obtain an adequate level of reimbursement for our products by third 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around the world, is cost containment. Government authorities and third party payors have attempted to control costs by limiting coverage and the amount of reimbursement for medications. Increasingly, third 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delays in obtaining reimbursement for newly approved drugs, and coverage may be more limited than the purposes for which the drug is approved by the FDA, EMA, or other regulatory authorities outside the U.S.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drug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U.S. or in other countries, will be considered medically necessary or cost-effective for a specific indication, or that coverage or an adequate level of reimbursement will be available.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regulatory approval of our product candidates in one jurisdiction does not mean that we will be successful in obtaining regulatory approval of our product candidates in other jurisdictions. Our failure to obtain regulatory approval in international jurisdictions would prevent our product candidates from being marketed around the world, and any approval we are granted for our product candidates in Italy would not assure approval of product candidates in other jurisdictions, including the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market any products outside of Italy, we must establish and comply with numerous and varying regulatory requirements of other countries, including but not limited to the U.S., regarding clinical trial design, safety, and efficacy. The research, testing, manufacturing, labeling, approval, sale, marketing, and distribution of drugs are subject to extensive regulation by regulatory authorities. These regulations differ from country to country. Even if we obtain and maintain regulatory approval of our product candidates in one jurisdiction, such approval does not guarantee that we will be able to obtain or maintain regulatory approval in any other jurisdiction, but a failure or delay in obtaining regulatory approval in one jurisdiction may have a negative effect on the regulatory approval process in others. For example, even if AIFA grants marketing approval of a product candidate, comparable regulatory authorities in foreign jurisdictions, including the FDA, must also approve the manufacturing, marketing, and promotion of the product candidate in those countries.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procedures vary among jurisdictions and can involve requirements and administrative review periods different from those in Italy, including additional non-clinical studies or clinical trials as investigations conducted in one jurisdiction may not be accepted by regulatory authorities in other jurisdictions. In many jurisdictions, a product candidate must be approved for reimbursement before it can be approved for sale in that jurisdiction. In some cases, the price that we intend to charge for our products is also subject to approval. These regulatory procedures can result in substantial delays in such countries. In other countries, product approval depends on showing superiority to an approved alternative therapy. This can result in significant expense for conducting complex clinical trials.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a product candidate in Italy by AIFA does not ensure approval of such product candidate by the FDA, EMA, or other regulatory authorities in other countries or jurisdictions, and approval by EMA or another regulatory authority does not ensure approval by regulatory authorities in other foreign countries or by the FDA. Sales of our product candidates outside of the U.S.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U.S., including additional preclinical studies or clinical trials. In many countries outside the U.S., a product candidate must be approved for reimbursement before it can be approved for sale in that country. In some cases, the price that we intend to charge for our products, if approved, is also subject to approval. We intend to submit an MAA to EMA for approval of our product candidates in the E.U. but obtaining such approval from the European Commission following the opinion of EMA is a lengthy and expensive process. Even if a product candidate is approved, the FDA or the European Commission may limit the indications for which the product may be marketed, require extensive warnings on the product labeling or require expensive and time consuming additional clinical trials or reporting as conditions of approval. Regulatory authorities in countries outside of the U.S. and E.U.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do not have any products approved for sale in any jurisdiction, including international markets, and we do not have experience in obtaining regulatory approval. If we, or any third parties with whom we work, fail to comply with regulatory requirements in the U.S. or international markets or to obtain and maintain required approvals or if regulatory approvals in international markets are delayed, our target market may be reduced and our ability to realize the full market potential of our products will likely be harmed. The inability to meet continuously evolving regulatory standards for approval may result in our failing to obtain regulatory approval to market our current product candidates, which could significantly harm our business, results of operations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rapidly changing industry and face significant competition, which may result in others discovering, developing, or commercializing products before or more successfully than we do.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new biopharmaceutical products is highly competitive and subject to rapid and significant technological advancements. We face competition from major multi-national pharmaceutical companies, biotechnology companies and specialty pharmaceutical companies with respect to our current and future product candidates that we may develop and commercialize in the future. There are several large pharmaceutical and biotechnology companies that currently market and sell products or are pursuing the development of product candidates for the treatment of cancer. Smaller or early-stage companies may also prove to be significant competitors, particularly through collaborative arrangements with large, established companies. Potential competitors also include academic institutions, government agencies and other public and private research organizations. Our competitors may succeed in developing, acquiring, or licensing technologies and products that are more effective, more effectively marketed and sold or less costly than any product candidates that we may develop, which could render our product candidates noncompetitive and obsolete.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either alone or with their strategic collaborators, have substantially greater financial, technical, and human resources than we do. Accordingly, our competitors may be more successful than we are in obtaining approval for treatments and achieving widespread market acceptance, which may render our treatments obsolete or noncompetitive.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opportunity could be reduced or eliminated if our competitors develop and commercialize products that are safer, more effective, have fewer or less severe side effects, are more convenient or are less expensive or better reimbursed than any products that we may commercialize. Our competitors also may obtain EMA, FDA, or other regulatory approval for their products more rapidly than we do, which could result in our competitors establishing a strong market position for either the product or a specific indication before we are able to enter the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face competition sooner than anticipated from biosimilar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achieving regulatory approval to commercialize a product candidate faster than our competitors, our product candidates may face competition from biosimilar products. In the U.S., our product candidates are regulated by the FDA as biologic products, and we intend to seek approval for these product candidates pursuant to the BLA pathway. The Biologics Price Competition and Innovation Act of 2009 (the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any exclusivity we may be afforded if any of our product candidates are approved as a biologic product under a BLA could be shortened due to congressional action, the results of recent litigation,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like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critics of the 12-year exclusivity period in the biosimilar pathway law will likely continue to seek to shorten the data exclusivity period and/or to encourage the FDA to interpret narrowly the law’s provisions regarding which new products receive data exclusivity. In December 2019, the U.S. agreed to remove from the United States-Mexico-Canada Agreement a requirement for at least 10 years of data exclusivity for biologic products. Also, the FDA is considering whether subsequent changes to a licensed biologic would be protected by the remainder of the reference product’s original 12-year exclusivity period (a concept known in the generic drug context as “umbrella exclusivity”). If the FDA were to decide that umbrella exclusivity does not apply to biological reference products or were to make other changes to the exclusivity period, this could expose us to biosimilar competition at an earlier time. There also have been, and may continue to be, legislative and regulatory efforts to promote competition through policies enabling easier generic and biosimilar approval and commercialization, including efforts to lower standards for demonstrating biosimilarity or interchangeability, limit patents that may be litigated and/or patent settlements and implement preferential reimbursement policies for biosimilars.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Europe, the European Commission has granted marketing authorizations for several biosimilar products pursuant to a set of general and product class-specific guidelines for biosimilar approvals issued over the past few years. In the European Economic Area (“EEA”), innovative medicinal products generally receive eight years of data exclusivity and an additional two years of marketing exclusivity. Data exclusivity prevents biosimilar applicants from referencing the innovator’s preclinical and clinical trial data when applying for a biosimilar marketing authorization, during a period of eight years from the date on which the reference product was first authorized in the EEA. During the additional two-year period of market exclusivity, biosimilar marketing authorization can be submitted, and the innovator’s data may be referenced, but no biosimilar product can be marketed until the expiration of the market exclusivity period.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However, even if an innovative medicinal product gains the prescribed period of data exclusivity, another company may market another version of the product if such company obtained marketing authorization based on an application with a complete independent data package of pharmaceutical tests, preclinical tests and clinical trials. In addition, companies may be developing biosimilar products in other countries that could compete with our products, if approved.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competitors can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product liability lawsuits are brought against us, we may incur substantial liabilities, even if we have appropriate insurance policies, and we may be required to limit commercialization of our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potential product liability and professional indemnity risks that are inherent in the research, development, manufacturing, marketing, and use of biopharmaceutical and biotechnology products. Currently, we have no products that have been approved for marketing or commercialization; however, the use of our product candidates in clinical trials, and the sale of these product candidates, if approved, in the future, may expose us to liability claims. Product liability claims may be brought against us or our partners by participants enrolled in our clinical trials, patients, health care providers, biotechnology and pharmaceutical companies, our collaborators or others using, administering, or selling any of our future approved products. If we cannot successfully defend ourselves against any such claims, we may incur substantial liabilities, even if we have product liability or other applicable insurance policies in effect. We may not be able to maintain adequate levels of insurance for these liabilities at reasonable cost and/or reasonable terms. Excessive insurance costs or uninsured claims would add to our future operating expenses and adversely affect our financial condition. As a result of such lawsuits and their potential results, we may be required to limit commercialization of our product candidates. Regardless of the merits or eventual outcome, liability claims may result in:</w:t>
      </w:r>
    </w:p>
    <w:p>
      <w:pPr>
        <w:pStyle w:val="TextBody"/>
        <w:bidi w:val="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 candidates;</w:t>
            </w:r>
          </w:p>
        </w:tc>
      </w:tr>
    </w:tbl>
    <w:p>
      <w:pPr>
        <w:pStyle w:val="TextBody"/>
        <w:bidi w:val="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clinical trial sites or entire trial programs;</w:t>
            </w:r>
          </w:p>
        </w:tc>
      </w:tr>
    </w:tbl>
    <w:p>
      <w:pPr>
        <w:pStyle w:val="TextBody"/>
        <w:bidi w:val="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 and negative media attention;</w:t>
            </w:r>
          </w:p>
        </w:tc>
      </w:tr>
    </w:tbl>
    <w:p>
      <w:pPr>
        <w:pStyle w:val="TextBody"/>
        <w:bidi w:val="0"/>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170"/>
        <w:gridCol w:w="4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or increased warnings on product labels;</w:t>
            </w:r>
          </w:p>
        </w:tc>
      </w:tr>
    </w:tbl>
    <w:p>
      <w:pPr>
        <w:pStyle w:val="TextBody"/>
        <w:bidi w:val="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p>
      <w:pPr>
        <w:pStyle w:val="TextBody"/>
        <w:bidi w:val="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170"/>
        <w:gridCol w:w="32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to defend the related litigation;</w:t>
            </w:r>
          </w:p>
        </w:tc>
      </w:tr>
    </w:tbl>
    <w:p>
      <w:pPr>
        <w:pStyle w:val="TextBody"/>
        <w:bidi w:val="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170"/>
        <w:gridCol w:w="3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management and our resources;</w:t>
            </w:r>
          </w:p>
        </w:tc>
      </w:tr>
    </w:tbl>
    <w:p>
      <w:pPr>
        <w:pStyle w:val="TextBody"/>
        <w:bidi w:val="0"/>
        <w:jc w:val="both"/>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75"/>
        <w:gridCol w:w="170"/>
        <w:gridCol w:w="9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or costly settlements with, clinical trial participants, patients or other claimants;</w:t>
            </w:r>
          </w:p>
        </w:tc>
      </w:tr>
    </w:tbl>
    <w:p>
      <w:pPr>
        <w:pStyle w:val="TextBody"/>
        <w:bidi w:val="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170"/>
        <w:gridCol w:w="2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insurance premiums;</w:t>
            </w:r>
          </w:p>
        </w:tc>
      </w:tr>
    </w:tbl>
    <w:p>
      <w:pPr>
        <w:pStyle w:val="TextBody"/>
        <w:bidi w:val="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170"/>
        <w:gridCol w:w="5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initiation of investigations by regulators or other authorities; and,</w:t>
            </w:r>
          </w:p>
        </w:tc>
      </w:tr>
    </w:tbl>
    <w:p>
      <w:pPr>
        <w:pStyle w:val="TextBody"/>
        <w:bidi w:val="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successfully commercialize our product candidates, if approved.</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 therapies are novel, complex and difficult to manufacture. We could experience production problems that result in delays in our development or commercialization programs or otherwise adversely affect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Biological products are inherently difficult to manufacture, and gene therapy products are complex biological products, the development and manufacture of which necessitates substantial expertise and capital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Temferon is individually manufactured for each patient using complex processes in specialized facilities. Our production process requires a variety of raw materials, some of which are highly specialized, including the viral vector that encodes for the therapeutic payload. Some of these raw materials have limited and, in some cases, sole suppliers. Even though we plan to have back-up supplies of raw materials whenever possible, we cannot be certain such supplies will be sufficient if our primary sources are unavailable. A shortage of a critical raw material or a technical issue during manufacturing may lead to delays in clinical development or commercialization of our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 Temferon, is being studied for GBM patients with unmethylated methylguanine methyltransferase (“MGMT”) status, as determined by a laboratory test. If approved for use only in uMGMT-GBM patients, use of such a laboratory test would be required for each patient before treatment with Temferon. There are several currently marketed, CE-marked tests for uMGMT status in the E.U., one or more of which may be used in our clinical trials and which we would expect to be used in clinical practice upon approval of Temferon. If a regulatory authority were, however, to deem that no currently-available tests are appropriate for use with Temferon, or if appropriate tests were to become commercially unavailable, we might be required to develop and obtain regulatory approval for our own version of such a companion diagnostic test, or work with another entity to develop such a test, in which case we could experience significant delays in obtaining regulatory approval or interruptions in our ability to market Temferon.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factors could cause production interruptions, including equipment malfunctions, facility contamination, raw material shortages or contamination, natural disasters, disruption in utility services, human error, or disruptions in the operations of our suppliers. We have limited experience manufacturing our product candidates. We have contracted with a third party CMO for the manufacture of our viral vectors and certain of our drug products for clinical trials. We expect this CMO will be capable of providing enough of our viral vectors and gene therapy products to meet the anticipated scales for our clinical trials, in due course, and commercial demands, if approved. However, to meet our projected needs for further commercial manufacturing and large-scale clinical trials, third parties with whom we currently work might need to increase their scale and frequency of production, and we will likely need to secure alternate suppliers or develop our own capabilities. We believe that there are alternate sources of supply that can satisfy our requirements, although we cannot be certain that identifying and establishing relationships with such sources, if necessary, would not result in significant delay or material additional costs.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manufacturers of pharmaceutical products must comply with strictly enforced requirements and complex regulations. Any failure by our CMO to adhere to or document compliance to such regulatory requirements could lead to a delay or interruption in the availability of our product candidate for clinical trials or result in sanctions, including clinical holds, fines, injunctions, civil penalties, delays, suspension or withdrawal of approvals, license revocation, seizures or recalls of raw materials, product candidates or products, operating restrictions and criminal prosecutions, any of which could have significant adverse consequences on us. Our potential future dependence upon others for the manufacture of our gene therapies may also adversely affect our future profit margins and our ability to commercialize any product candidates that receive regulatory approval on a timely and competitive basis.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Delays in obtaining regulatory approval of our or our CMOs’ manufacturing process and facility or disruptions in our manufacturing process may delay or disrupt our commercialization efforts.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can begin to commercially manufacture our viral vector or product candidates in our own facility, or the facility of a CMO, we must obtain regulatory approval from AIFA and eventually the FDA, EMA, or other regulatory authorities for our manufacturing processes and for the facility in which manufacturing is performed. A manufacturing authorization must also be obtained from the appropriate regulatory authorities. In addition, we must pass a pre-approval inspection of our or our CMOs manufacturing facility by AIFA, the FDA, EMA, or other relevant regulatory authorities before any of our gene therapy product candidates can obtain marketing approval. To obtain approval, we will need to ensure that all of our processes, quality systems, methods, equipment policies and procedures are compliant with GMP, and perform extensive audits of vendors, contract laboratories, CMOs and suppliers. If any of our vendors, contract laboratories, CMOs or suppliers is found to be out of compliance with GMP, we may experience delays or disruptions in manufacturing while we work with these third parties to remedy the violation or while we work to identify suitable replacement vendors. The GMP requirements govern quality control of the manufacturing process and documentation policies and procedures. In complying with GMP, we will be obligated to expend time, money and effort in production, record keeping and quality control to assure that the product meets applicable specifications and other requirements. If we fail to comply with these requirements, we will be subject to possible regulatory action and may not be permitted to sell any products that we may develop.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ongoing regulatory requirements could cause us to suspend production or put in place costly or time-consuming remedial measures.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authorities may, at any time following approval of a product for sale, audit the manufacturing facilities for such a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time-consuming to implement and that may include the temporary or permanent suspension of a clinical trial or commercial sales or the temporary or permanent closure of a manufacturing facility. Any such remedial measures imposed upon our CMO or us could harm our business, financial condition, results of operations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CMOs or we fail to comply with applicable GMP regulations, AIFA, the FDA, EMA or other regulatory authorities can impose regulatory sanctions including, among other things, refusal to approve a pending application for a new product candidate or suspension or revocation of a pre-existing approval. Such an occurrence may cause our business, financial condition, results of operations and prospects to be harmed.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supply from any CMO or us is delayed or interrupted, there could be a significant disruption in the clinical or commercial supply of our product candidates. We have agreements in place with our CMO pursuant to which we are collaborating on GMP manufacturing processes and analytical methods for the manufacture and release of our viral vectors and certain drug products. Therefore, if we are unable to enter into an agreement with our CMO to manufacture clinical or commercial material for our product programs, or if our agreement with our CMOs were terminated, we would have to find suitable alternative manufacturers. This could delay our or our collaborators’ ability to conduct clinical trials or commercialize our current and future product candidates. The regulatory authorities also may require additional clinical trials and other nonclinical and or analytical evaluations if a new manufacturer is relied upon for clinical or commercial production. Switching manufacturers may involve substantial costs, require significant comparability studies, and could result in a delay in our desired clinical and commercial timelines.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nature of biological manufacturing, there is a risk of contamination in our manufacturing processes. Any contamination could materially adversely affect our ability to produce product candidates on schedule and could, therefore, harm the results of operations and cause reputational damage.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Patients’ cellular source material must be transported from the clinical collection site to the manufacturing facility and the cryopreserved drug product must be returned to the clinical site for administration into the patient using controlled temperature shipping containers.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collected from the patient, the cellular source material must be transported to the manufacturing facility using a shipping container that maintains the material at a required temperature and be delivered typically within three days of collection. While we intend to use reputable couriers and agents for the transport of such materials, if the shipping container is opened or damaged such that the required temperature is not maintained, the cellular source material may be adversely impacted, and it may not be feasible to manufacture a drug product for the patient. Similarly, if a shipment is delayed due to adverse weather, misrouting, other events or held up at a customs point, the cellular source material may not be delivered within a time window that will allow for its use for the successful manufacture of a drug product. Similarly, the patient’s autologous drug product must be returned to the clinical site for administration into the patient using a specialized shipping container that maintains the material at a very low temperature for a period of typically up to ten days. While we intend to use reputable couriers and agents for the transport of our drug products, if the shipping container is opened or damaged such that the very low temperature is not maintained, the drug product may be adversely impacted, and it may be unsuitable for administration to the patient or harmful. Similarly, if a shipment is delayed due to adverse weather, misrouting, held up at customs or other events, and is not delivered to the clinical site within the time period that the very low temperature is maintained, the drug product may be unsuitable for administration to the patient or harmful.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gene therapies are for autologous use only. Therefore, if a drug product is administered to the wrong patient, the patient could suffer harm.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 therapies are autologous, so they must be administered back only to the patient from which the cellular source material was collected. While we implement specific identifiers, lot numbers and labels with cross checks for our products and operations from collection of cellular source material, through manufacture of drug product, transport of product to the clinical site up to thawing and administration of the product, it is possible that a product may be administered into the wrong patient. If an autologous gene therapies were to be administered into the wrong patient, the patient could suffer harm, including experiencing a severe adverse immune reaction and this event, should it happen, could adversely affect our business, financial condition, results of operations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focus on developing our current product candidates may not yield any commercially viable products, and our failure to successfully identify and develop additional product candidates could impair our ability to grow.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intend to identify, develop, and market additional product candidates beyond our existing product candidate, namely Temferon. We may spend several years completing our development of any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Temferon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collaborations, licensing arrangements, joint ventures, strategic alliances, partnerships,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of our current or future product candidates may not demonstrate in patients any or all the pharmacological benefits we believe they may possess or compare favorably to existing, approved therapies. We have not yet succeeded and may never succeed in demonstrating efficacy and safety of our product candidates or any future product candidates in preclinical studies, clinical trials or in obtaining marketing approval thereafter and, therefore, may not result in the discovery and development of commercially viable products.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unsuccessful in our development efforts, we may not be able to advance the development of our product candidates, commercialize products, raise capital, expand our business, or continue our operations.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utilize, and expect to continue to utilize, third parties to conduct some or all aspects of our vector production and product manufacturing for the foreseeable future, and these third parties may not perform satisfactorily.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our CMO to produce our viral vectors and certain of our drug products for our ongoing clinical trials and preclinical studies. For future clinical trials, we intend to utilize materials manufactured by GMP-compliant CMOs. If our partners do not successfully carry out their contractual duties, meet expected deadlines or manufacture our viral vector and product candidates in accordance with regulatory requirements or if there are disagreements between us and our CMO, we will not be able to complete, or may be delayed in completing, the clinical trials required to support approval of our product candidates or AIFA, the FDA, EMA, or other regulatory agencies may refuse to accept our clinical or preclinical data. In such instances, we may need to enter an appropriate replacement third party relationship, which may not be readily available or available on acceptable terms, which would cause additional delay or increased expense prior to the approval of our product candidates and would thereby have a negative impact on our business, financial condition, results of operations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partnered with a commercial GMP-compliant CMO and intend to utilize viral vectors and gene therapy products manufactured by such CMO for our future clinical trials and products for which we obtain marketing approval. There is no assurance that our CMO, or any other future third party manufacturer that we engage, will be successful in producing any or all of our viral vector or product candidates, that any such product will, if required, pass the required comparability testing, or that any materials produced by any other third-party manufacturer that we engage will have the same effect in patients that we have observed to date. We believe that our manufacturing network will have sufficient capacity to meet demand for our clinical and existing and expected initial commercial needs, but there is a risk that if supplies are interrupted or result in poor yield or quality, it would materially harm our business. Additionally, if the gene therapy industry were to grow, we may encounter increasing competition for the raw materials and consumables necessary to produce our product candidates. Furthermore, demand for CMO GMP manufacturing capabilities may grow at a faster rate than existing manufacturing capacity, which could disrupt our ability to find and retain third party manufacturers capable of producing sufficient quantities of our viral vectors or product candidates for future clinical trials or to meet expected initial commercial demand.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our current CMO is entitled to terminate its engagements with us. If we need to enter alternative arrangements, it could delay our development activities. Our reliance on our CMO for certain manufacturing activities will reduce our control over these activities but will not relieve us of our responsibility to ensure compliance with all required regulations. In addition to our current CMO, we may rely on additional third parties to manufacture ingredients of our viral vectors and/or drug product in the future and to perform quality testing, and reliance on these third parties entails risks including:</w:t>
      </w:r>
    </w:p>
    <w:p>
      <w:pPr>
        <w:pStyle w:val="TextBody"/>
        <w:bidi w:val="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control for certain aspects of manufacturing activities;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or nonrenewal of manufacturing and service agreements with third parties in a manner or at a time that is costly or damaging to us;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to the operations of our third-party manufacturers and service providers caused by conditions unrelated to our business or operations, including the bankruptcy of the manufacturer or service provider.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lead to clinical trial delays or failure to obtain regulatory approval or impact our ability to successfully commercialize any of our product candidates. Some of these events could be the basis for AIFA, the FDA, EMA, or other regulatory authority action, including injunction, recall, seizure or total or partial suspension of product manufacture.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third parties to conduct our preclinical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independently conduct all aspects of our lentiviral vector protocol development, research, and preclinical and clinical testing. We currently rely, and plan to continue to rely, upon third party CROs to monitor and manage data for our ongoing preclinical and clinical programs. Pursuant to the amended and restated license agreement with OSR, we agreed to use OSR as the primary site in any preclinical study or clinical trial (including all phases thereof) relating to any licensed products in the field of use, subject to OSR maintaining any required quality standards and providing its services on customary and reasonable terms and consistent with then-applicable market standards. We rely on these parties, including OSR, for execution of our preclinical and clinical studies, but we can only control limited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GMP, GCP, and Good Laboratory Practices (“GLP”), which are regulations and guidelines enforced by the FDA, the Competent Authorities of the Member States of the EEA, and comparable foreign regulatory authorities for all our product candidates in clinical development. Regulatory authorities enforce these regulations through periodic inspections of study sponsors, principal investigators, study sites and other contractors. If we or any of our CROs or vendors fail to comply with applicable regulations, the clinical data generated in our clinical studies may be deemed unreliable and AIFA, the FDA, EMA, or other comparable regulatory authorities may require us to perform additional clinical studies before approving our marketing applications. We cannot assure you that upon inspection by a given regulatory authority, such regulatory authority will determine that any of our clinical studies comply with GCP regulations. In addition, our clinical studies must be conducted with product candidates which are produced under GMP regulations. Our failure to comply with these regulations may require us to repeat clinical studies, which would delay the regulatory approval process.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collaborators and contract manufacturers are subject to significant regulation with respect to manufacturing our product candidates. The manufacturing facilities on which we rely may not meet regulatory requirements and have limited capacity.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manufacturers and their facilities are required to comply with extensive regulatory requirements, including ensuring that quality control and manufacturing procedures conform to GMPs. These GMP regulations cover all aspects of manufacturing relating to our product candidates and components used in clinical studies. These regulations govern manufacturing processes and procedures (including record keeping) and the implementation and operation of quality systems to control and assure the quality of investigational product candidates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 BLA or MAA on a timely basis and must adhere to GLP and GMP regulations enforced by AIFA, the FDA, EMA, and other regulatory authorities through their facilities inspection program. The facilities and quality systems of some or all our collaborators and third-party contractors must pass a pre-approval inspection for compliance with the applicable regulations as a condition of regulatory approval of our product candidates or any of our other potential product candidates. In addition, the regulatory authorities may, at any time, audit or inspect a manufacturing facility involved with the preparation of our product candidates or our other potential product candidates or the associated quality systems for compliance with the regulations applicable to the activities being conducted. We do not control the manufacturing process of, and are completely dependent on, our contract manufacturing partners for compliance with the regulatory requirements. If these facilities do not pass a pre-approval plant inspection, regulatory approval of the product candidates may not be granted or may be substantially delayed until any violations are corrected to the satisfaction of the regulatory authority, if ever. Moreover, if our contract manufacturers fail to achieve and maintain high manufacturing standards, in accordance with applicable regulatory requirements, or there are substantial manufacturing errors, this could result in patient injury or death, product shortages, product recalls or withdrawals, delays or failures in product testing or delivery, cost overruns or other problems that could seriously harm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a limited number of suppliers and, in some instances, a sole supplier, for some of our components and materials used in our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depend on a limited number of suppliers and, in some instances, a sole supplier, for some of the components and equipment necessary to produce our viral vectors and drug product. We cannot be sure that these suppliers will remain in business, or that they will not be purchased by one of our competitors or another company that is not interested in continuing to produce these materials for our intended purpose. Our use of a sole or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and in some cases, no alternatives.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switch to a replacement supplier, the manufacture and delivery of our viral vectors and product candidates could be interrupted for an extended period, adversely affecting our business. Establishing additional or replacement suppliers may not be accomplished quickly. If we can find a replacement supplier, the replacement supplier would need to be qualified and may require additional regulatory authority approval, which could result in further delay. For example, AIFA, the FDA, EMA, or other regulatory authorities could require additional supplemental data, manufacturing data and comparability data up to and including clinical trial data if we rely upon a new supplier. We may be unsuccessful in demonstrating the comparability of clinical supplies which could require the conduct of additional clinical trials.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part of the regulatory process for approval of our product candidates, the regulatory authorities must review and approve the individual components of our production process, which includes raw materials, the manufacturing processes, and facilities of our suppliers. Some of our current suppliers have not undergone this process nor have they had any components included in any product approved by regulatory authorities.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these suppliers subjects us to a number of risks that could harm our reputation, business, and financial condition, including, among other things:</w:t>
      </w:r>
    </w:p>
    <w:p>
      <w:pPr>
        <w:pStyle w:val="TextBody"/>
        <w:bidi w:val="0"/>
        <w:jc w:val="both"/>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interruption of supply resulting from modifications to or discontinuation of a supplier’s operations;</w:t>
            </w:r>
          </w:p>
        </w:tc>
      </w:tr>
    </w:tbl>
    <w:p>
      <w:pPr>
        <w:pStyle w:val="TextBody"/>
        <w:bidi w:val="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75"/>
        <w:gridCol w:w="170"/>
        <w:gridCol w:w="9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product shipments resulting from uncorrected defects, reliability issues, or a supplier’s variation in a component;</w:t>
            </w:r>
          </w:p>
        </w:tc>
      </w:tr>
    </w:tbl>
    <w:p>
      <w:pPr>
        <w:pStyle w:val="TextBody"/>
        <w:bidi w:val="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lack of long-term supply arrangements for key components with our suppliers;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obtain adequate supply in a timely manner, or to obtain adequate supply on commercially reasonable terms;</w:t>
            </w:r>
          </w:p>
        </w:tc>
      </w:tr>
    </w:tbl>
    <w:p>
      <w:pPr>
        <w:pStyle w:val="TextBody"/>
        <w:bidi w:val="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75"/>
        <w:gridCol w:w="170"/>
        <w:gridCol w:w="97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difficulty and cost associated with locating and qualifying alternative suppliers for our components in a timely manner;</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delays related to the evaluation and testing of products from alternative suppliers, and corresponding regulatory qualifications;</w:t>
            </w:r>
          </w:p>
        </w:tc>
      </w:tr>
    </w:tbl>
    <w:p>
      <w:pPr>
        <w:pStyle w:val="TextBody"/>
        <w:bidi w:val="0"/>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delay in delivery due to our suppliers prioritizing other customer orders over ours;</w:t>
            </w:r>
          </w:p>
        </w:tc>
      </w:tr>
    </w:tbl>
    <w:p>
      <w:pPr>
        <w:pStyle w:val="TextBody"/>
        <w:bidi w:val="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reputation caused by defective components produced by our suppliers;</w:t>
            </w:r>
          </w:p>
        </w:tc>
      </w:tr>
    </w:tbl>
    <w:p>
      <w:pPr>
        <w:pStyle w:val="TextBody"/>
        <w:bidi w:val="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and/or increased costs associated with increased tariffs and the threats of additional tariffs;</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 of our warranty program due to product repair or replacement based upon defects in components produced by our suppliers; and</w:t>
            </w:r>
          </w:p>
        </w:tc>
      </w:tr>
    </w:tbl>
    <w:p>
      <w:pPr>
        <w:pStyle w:val="TextBody"/>
        <w:bidi w:val="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 in delivery by our suppliers due to changes in demand from us or their other customers.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costs could significantly increase and our ability to conduct our clinical trials and, if our product candidates are approved, to meet demand for our products could be impacted.</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collaborations, licensing arrangements, joint ventures, strategic alliances, or partnerships that we may enter in the future may not be successful, which could adversely affect our ability to develop and commercialize our current and potential future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collaborations, licensing arrangements, joint ventures, strategic alliances or partnerships with biotechnology or pharmaceutical companies or other third parties for the development or commercialization of our current and potential future product candidates. We may enter these transactions or arrangements on a selective basis depending on the merits of retaining commercialization rights for ourselves as compared to entering selective transactions or arrangements with other biotechnology or pharmaceutical companies or other third parties for each product candidate, both in the U.S. and internationally. To the extent that we decide to enter these transactions or arrangements, we will face significant competition in seeking appropriate collaborators. Moreover, collaborations or alternative transactions or arrangements are complex, and time consuming to negotiate, document and implement. We may not be successful in our efforts to establish and implement collaborations or other alternative transactions or arrangements should we choose to enter into such transactions or arrangements. The terms of any collaborations or other transactions or arrangements that we may establish may not be favorable to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not be able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the ownership or control of intellectual property developed during the collaboration or the scope of our or our collaborators’ other rights or obligations related to development or commercialization activities. If any conflicts arise with our current or future collaborators, they may act in their self-interest, which may be averse to our best interest, and they may breach their obligations to us. In addition, we have limited control over the amount and timing of resources that our current collaborators or any future collaborators devote to our collaborators’ or our future products. Disagreements between us and our collaborators can lead to delays in the development process or commercializing the applicable product candidate or product, may result in litigation or arbitration, which would increase our expenses and divert the attention of our management, and may result in termination or dissolution of the transaction or arrangement and, in such event, we may not continue to have rights to the product candidate or products relating to such transaction or arrangement or may need to purchase such rights at a premium. These disagreements can be difficult to resolve if neither of the parties has final decision-making authority.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with biotechnology or pharmaceutical companies and other third parties often are terminated or allowed to expire by the other party. Any such termination or expiration could adversely affect us financially and could harm our business reputation.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third parties requires us to share our trade secrets, which increases the possibility that a competitor will discover them or that our trade secrets will be misappropriated or otherwise disclosed.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these agreements typically restrict the ability of our collaborators, advisors, employees, and consultants to publish data potentially relating to our trade secrets. Our principal investigators, physicians and academic collaborators typically have rights to publish data, if we are notified in advance and may delay publication for a specified time in order to secure our intellectual property rights arising from the collaboration.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Intellectual Property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depend on a license agreement with OSR to permit us to use patents and patent applications, as well as to exploit specific OSR know-how. Termination of these rights or the failure to comply with obligations under this agreement could materially harm our business and prevent us from developing or commercializing our product candidates (Temferon in particular).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an amended and restated license agreement (the “ARLA”) with OSR under which we were granted rights to patents and patent applications, as well as proprietary technologies, that are important and necessary to our business, including our Temferon based product candidates. Our rights to use these patents and patent applications and employ the inventions claimed in these licensed patents, as well as the exploitation of OSR proprietary technology, are subject to the continuation of, and our compliance with, the terms of the ARLA.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ARLA imposes upon us various diligence, payment and other obligations, including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 to pay OSR various milestone payments upon the achievement of certain milestone events, such as the initiation of different phases of clinical trials of a licensed product, MAA approval by a major market country, MAA approval in the U.S., the first commercial sale of a licensed product in the U.S. and certain E.U. countries, and achievement of certain net sales levels;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 to pay OSR royalties based on net sales of each licensed product;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 to pay OSR a royalty of our net sublicensing income for each licensed product;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 to pay costs associated with the preparation, prosecution and maintenance of the licensed patent rights.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own a patent application relating to methods of treating solid cancers with Temferon in combination with a checkpoint inhibitor and a patent application relating to methods of treating renal cell carcinoma with Temferon in combination with a checkpoint inhibitor (together, the “Provisional Patents”),we are heavily reliant upon the ARLA to licensed patents that are important or necessary to the development of our technology and product candidates, including the patents relating to Temferon. Our license is exclusive only to specific fields of use, namely: the field(s) of Interferon (“IFN”) gene therapy by lentiviral based-HSPC gene transfer with respect to (a) any Solid Cancer Indication (as defined in the ARLA) (including GBM and solid liver cancer) and/or (b) any Lympho-Hematopoietic Indication (as defined in the ARLA) for which we have the right to exercise an option to be included as part of the field of use, as provided in the ARLA; and (2) certain specified gene therapy products developed during the license term for use in the aforementioned field(s). Although we have exclusive option rights to license additional fields of use, or indications, upon the payment of additional fees to OSR, there is no guarantee that we will be in a position to do so within the time period specified to exercise such right.</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control the preparation, prosecution and maintenance of the licensed patent rights under the ARLA, or the enforcement of the licensed patent rights and know-how rights against infringement by third parties. Thus, the licensed patent rights were not drafted by us or our attorneys, and we do not control or have any input into the prosecution of these patent rights. We cannot be certain that drafting or prosecution of the licensed patent rights has been conducted in compliance with applicable laws and regulations or will result in valid and enforceable patents. OSR maintains control of the preparation, prosecution and maintenance of the licensed patent rights, and controls enforcement of the licensed patent rights and know-how rights.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OSR may terminate the agreement in the event we breach certain of our obligations or fail to make certain payments and upon our liquidation. In addition, OSR may terminate our rights as to certain fields of use for our failure to achieve certain development milestones for specified licensed products within certain time periods.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 If the ARLA is terminated, we may not be able to develop, manufacture, market or sell the product candidates covered by the agreement and those being tested or approved in combination with such products. Such an occurrence could materially adversely affect the value of the product candidates being developed under the ARLA.</w:t>
      </w:r>
    </w:p>
    <w:p>
      <w:pPr>
        <w:pStyle w:val="TextBody"/>
        <w:shd w:fill="FFFFFF" w:val="clear"/>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regarding intellectual property subject to, and any of our rights and obligations under, the ARLA or any other license or other strategic agreement, including:</w:t>
      </w:r>
    </w:p>
    <w:p>
      <w:pPr>
        <w:pStyle w:val="TextBody"/>
        <w:shd w:fill="FFFFFF" w:val="clear"/>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misappropriate or violate the intellectual property of the licensor that is not subject to the license agreement;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 to third parties under any such agreement or collaborative relationships;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inventorship and ownership of inventions and know-how resulting from the joint creation or use of intellectual property by our licensors and us and our partners;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priority of invention of patented technology.</w:t>
            </w:r>
          </w:p>
        </w:tc>
      </w:tr>
    </w:tbl>
    <w:p>
      <w:pPr>
        <w:pStyle w:val="TextBody"/>
        <w:shd w:fill="FFFFFF" w:val="clear"/>
        <w:bidi w:val="0"/>
        <w:ind w:left="72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filed certain patent applications and been granted licenses in certain fields of use to patent applications. There can be no assurance that any of the patent applications we have filed or for which we have licenses will result in issued patents. As a result, our ability to protect our proprietary technology in the marketplace may be 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certain patent applications and been granted licenses in certain fields of use to patent applications in many countries worldwide. These applications cover a range of areas including applications relating, in general terms, to methods of treating solid cancers with Temferon in combination with a checkpoint inhibitor, methods of treating renal cell carcinoma with Temferon in combination with a checkpoint inhibitor, the use of gene vectors comprising a miRNA target sequence, and the use of gene vectors comprising an interferon-alpha transgene operably linked to a miRNA-130a or miRNA-126 target sequence. Unless and until the pending patent applications are issued, their protective scope is impossible to determine. It is also impossible to predict whether or how many of the patent applications will result in issued patents. Even if pending applications are issued, they may be issued with coverage significantly narrower than what is currently sought.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proprietary position for our product candidates currently depends in part upon licenses to patents protecting methods of use, which may not prevent a competitor or other third party from using the same product candidate for another use.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of matter patent claims on the active pharmaceutical ingredient (“API”) in pharmaceutical drug products are generally considered to be the favored form of intellectual property protection for pharmaceutical products, as such patents generally provide protection without regard to any method of use, manufacture or formulation of the API used. Method of use patent claims protect the use of a product for the specified method and dosing. These types of patent claims do not prevent a competitor or other third party from making and marketing an identical API for an indication that is outside the scope of the method claims or from developing a different dosing regimen. Moreover,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such infringement is difficult to prevent or prosecute.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patents are issued based on patent applications we have filed or to which we have been granted a license, because the patent positions of pharmaceutical and biotechnology products are complex and uncertain, we cannot predict the scope and extent of patent protection for our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patents that may be issued based on patent applications that we have filed or been granted licenses to will not ensure sufficient protection with respect to our activities for a number of reasons, including without limitation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issued patents may not be broad or strong enough to prevent competition from other gene therapy products including identical or similar products;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patents are not issued or if issued patents expire, there would be no protections against competitors making generic equivalents;</w:t>
            </w:r>
          </w:p>
        </w:tc>
      </w:tr>
    </w:tbl>
    <w:p>
      <w:pPr>
        <w:pStyle w:val="TextBody"/>
        <w:bidi w:val="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prior art of which we are not aware that may affect the validity or enforceability of a patent claim;</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other patents existing, now or in the future, in the patent landscape for Temferon, or any other product candidates that we seek to commercialize or develop, if any, that will affect our freedom to operate;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patents that we own or have been granted licenses to are challenged, a court could determine that they are not valid or enforceable;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could determine that a competitor’s technology or product does not infringe patents that we own or  have been granted licenses to;</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to which we have been granted licenses could irretrievably lapse due to failure to pay fees or otherwise comply with regulations, or could be subject to compulsory licensing;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encounter delays in our development or clinical trials, the period of time during which we could market our products under patent protection would be reduced.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on any issued patent are due to be paid to the U.S. Patent and Trademark Office (“USPTO”) and foreign Intellectual Property Offices in several stages over the term of the patent. Maintenance fees are also due for pending patent applications in some countries.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office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life of patent protection is limited, and third parties could develop and commercialize products and technologies similar or identical to ours and compete directly with us after the patent licensed to us expires, which could materially and adversely affect our ability to commercialize our products and technologies.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life of a patent and the protection it affords is limited. For example, in the U.S., if all maintenance fees are timely paid, the natural expiration of a patent is generally 20 years from its earliest U.S. non-provisional filing date. In Europe, the expiration of an invention patent is 20 years from its filing date. Even if we successfully obtain patent protection for an approved drug candidate, it may face competition from generic or biosimilar medications. Manufacturers of generic or biosimilar drugs may challenge the scope, validity or enforceability of the patents underlying our technology in court or before a patent office, and the patent holder may not be successful in enforcing or defending those intellectual property rights and, as a result, we may not be able to develop or market the relevant product candidate exclusively, which would materially adversely affect any potential sales of that product.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amount of time required for the development, testing and regulatory review of new drug candidates, patents protecting such drug candidates might expire before or shortly after such drug candidates are commercialized. As a result, the patent applications we have filed and the patents and patent applications licensed to us may not provide us with sufficient rights to exclude others from commercializing products similar or identical to ours. Even if we believe that the U.S. patents involved are eligible for certain (and time-limited) patent term extensions, there can be no assurance that the applicable authorities, including the FDA and the USPTO, and any equivalent regulatory authority in other countries, will agree with our assessment of whether such extensions are available, and such authorities may refuse to grant extensions to such patents, or may grant more limited extensions than requested. For example, depending upon the timing, duration, and specifics of any FDA marketing approval of any product candidates we may develop, one or more of the U.S. patents licensed to us may be eligible for limited patent term extension under the Drug Price Competition and Patent Term Restoration Action of 1984 (the “Hatch-Waxman Amendments”). The Hatch-Waxman Amendments permit a patent extension term of up to five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period or the scope of patent protection afforded could be less than requested. If we are unable to obtain patent term extension or term of any such extension is less than requested, our competitors may obtain approval of competing products following our patent expiration, and our business could be harmed. Changes in either the patent laws or interpretation of the patent laws in the U.S. and other countries may diminish the value of our patents or narrow the scope of our patent protection.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licensed to us for our product candidates are expected to expire on various dates as described in “Business— Intellectual Property.” Upon the expiration, we will not be able to assert such licensed patent rights against potential competitors, which would materially adversely affect our business, financial condition, results of operations and prospects.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license intellectual property from third parties, and such licenses may not be available or may not be available on commercially reasonable terms or at all.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intellectual property rights existing now, or in the future, relevant to Temferon, or any other product candidates that we seek to commercialize or develop, if any, that may affect our ability to commercialize such product candidates. Although the Company is not aware of any such intellectual property rights, a third party may hold intellectual property rights, including patent rights, that are important or necessary to the development or manufacture of our product candidates. Even if all our main product candidates are covered by patents,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our business could be harmed.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lawsuits to protect or enforce our intellectual property, which could be expensive, time-consuming, and unsuccessful.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possibility of litigation relating to infringement claims asserted against it, we may become a party to other patent litigation and other proceedings, including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Pursuant to the ARLA, OSR has the right to enforce the patents at its own expense. However, if OSR fails to do so, we have the right to enforce the licensed patents in the field of use, at our expense.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or otherwise violate our intellectual property. As a result, we may be required to file claims to stop third-party infringement or unauthorized use. Any such claims could provoke these parties to assert counterclaims against us, including claims alleging that we infringe their patents or other intellectual property rights, and/or that any of our intellectual property (“IP”), including licensed IP, is invalid and/or unenforceable.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its technology. An adverse determination in any litigation or defense proceedings could put our intellectual property at risk of being invalidated or interpreted narrowly and could put our patent applications at risk of not being issued.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breadth or strength of our patent or other intellectual property rights is compromised or threatened, it could allow third parties to exploit and commercialize our technology or products or result in our inability to exploit and/or commercialize our technology and products without infringing third-party intellectual property rights. Further, third parties may be dissuaded from collaborating with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Interference or derivation proceedings brought by the USPTO, or its foreign counterparts may be necessary to determine the priority of inventions with respect to our patent applications, and we may also become involved in other proceedings, such as re -examination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of the substantial amount of discovery required in connection with intellectual property litigation, there is a risk that some of our confidential information could be compromised by disclosure during this type of litigation, even if some jurisdictions have specific rules to maintain confidentiality during the proceedings. Moreover, intellectual property law relating to the fields in which we operate is still evolving and, consequently, patent, and other intellectual property rights in our industry, are subject to change and are often uncertain. We may not prevail in any of these suits or other efforts to protect our technology, and the damages or other remedies awarded, if any, may not be commercially valuable. During this type of litigation, there could be public announcements of the results of hearings, motions or other interim proceedings or developments. If securities analysts or investors perceive these results to be negative, the market price for our common stock could be significantly harmed.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litigation could cause us to spend substantial resources and distract our personnel from their normal responsibilities.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trademarks we may obtain may be infringed or successfully challenged, resulting in harm to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rely on trademarks, including Temferon, as one means to distinguish any of our product candidates that are approved for marketing from the products of our competitors. Other than Temferon, which we have registered in the E.U. and the U.S., we have not yet selected trademarks for our product candidates and have not yet begun the process of applying to register trademarks for any other of our product candidates. Once we select trademarks and apply to register them, our trademark applications may not be approved. Third parties may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upon our trademarks and we may not have adequate resources to enforce our trademarks.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proprietary name we propose to use with our clinical-stage product candidates or any other product candidate in the U.S.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to identify a suitable proprietary product name that would qualify under applicable trademark laws, not infringe the existing rights of third parties and be acceptable to the FDA. The EMA may also object to our proposed proprietary product name that infringes the existing rights of third parties.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trademarks and trade names are not adequately protected, then we may not be able to build name recognition in our markets of interest and our business may be adversely affected.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enforce intellectual property rights throughout the world.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prosecuting, and defending patent applications and issued patents on product candidates in all countries throughout the world would be prohibitively expensive, and intellectual property rights that we have been granted licenses to in some countries outside the U.S. and Italy can be less extensive than those in the U.S. and Italy. In addition, the laws of some foreign countries do not protect intellectual property to the same extent as laws in the U.S. and Italy. Consequently, we may not be able to seek to prevent third parties from practicing inventions that are the subject of patents that we have been granted licenses to in all countries outside the U.S. and Italy, or from selling or importing products made using inventions that are the subject of patents that we have been granted licenses to in and into the U.S. or other jurisdictions. Competitors, for example, may use technologies that are the subject of patents that we have been granted licenses to in jurisdictions where we have not licensed patents to develop their own products and further, may export otherwise infringing products to territories where we have been granted licenses to patents, but enforcement is not as strong as that in the U.S. and Italy.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have encountered significant problems in protecting and defending intellectual property in foreign jurisdictions.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patents that we have been granted licenses to or marketing of competing products in violation of our proprietary rights generally. To date, we have not sought to enforce any issued patents in these foreign jurisdictions. Proceedings to enforce patent rights that we have been granted licenses to in foreign jurisdictions could result in substantial costs and divert our efforts and attention from other aspects of our business, could put patents that we have been granted licenses to at risk of being invalidated or interpreted narrowly and patent applications that we have been granted licenses to at risk of not issuing and could provoke third parties to assert claims against us. We may not prevail in any lawsuits that we initiate, and the damages or other remedies awarded, if any, may not be commercially meaningful. The requirements for patentability may differ in certain countries, particularly developing countries. Certain countries in Europe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that we have been granted licenses to around the world may be inadequate to obtain a significant commercial advantage from the intellectual property that we develop or license.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maintain effective proprietary rights for our product candidates, we may not be able to compete effectively in our markets.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protection afforded by any issued patents to which we have been granted licenses and future patents that may be granted, our license agreement with OSR provides rights to access know-how, or trade secrets. We seek to preserve the integrity and confidentiality of our data, trade secrets and intellectual property by maintaining physical security of our premises and physical and electronic security of our information technology systems, as well as by entering into confidentiality agreements. Agreements or security measures may be breached or could expire, and we may not have adequate remedies for any breach and/or expiration. In addition, our trade secrets may otherwise become known or be independently discovered by competitors.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any assurances that trade secrets and other confidential proprietary information will not be disclosed in violation of confidentiality agreements or that competitors will not otherwise gain access to trade secrets or independently develop substantially equivalent information and techniques. Also, misappropriation or unauthorized and unavoidable disclosure of trade secrets could impair our competitive position and may have a material adverse effect on our business. Additionally, if the steps taken to maintain trade secrets and intellectual property are deemed inadequate, we may have insufficient recourse against third parties for misappropriating any trade secret.</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Third parties may initiate legal proceedings alleging that we are infringing their intellectual property rights, the outcome of which would be uncertain and could have a material adverse effect on the success of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upon our ability to develop, manufacture, market and sell our platform technology without infringing the proprietary rights of third parties. There is considerable intellectual property litigation in the biotechnology and pharmaceutical industries. While no such judicial litigation has been brought against us and we have not been held by any court to have infringed a third party’s intellectual property rights, we cannot guarantee that our technology or use of our technology does not infringe third-party patents. It is also possible that we have failed to identify relevant third-party patents or applications. For example, applications filed before November 29, 2000, and certain applications filed after that date that will not be filed outside the U.S. remain confidential until patents issue. Patent applications in the U.S. and elsewhere are published approximately 18 months after the earliest filing, which is referred to as the priority date in cases where priority is claimed. Therefore, patent applications covering our technology could have been filed by others without our knowledge. Additionally, pending patent applications which have been published can, subject to certain limitations, be later amended in a manner that could cover our technology.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2013, the U.S. transitioned to a ‘first to file’ system in which the first inventor to file a patent application will be entitled to the patent. Third parties are allowed to submit prior art prior to the issuance of a patent by the USPTO and may become involved in post-grant review or derivation proceedings for applications filed on or after March 16, 2013, interference proceedings for applications filed before March 16, 2013, </w:t>
      </w:r>
      <w:r>
        <w:rPr>
          <w:rFonts w:ascii="Times New Roman;Times;Serif" w:hAnsi="Times New Roman;Times;Serif"/>
          <w:b w:val="false"/>
          <w:i/>
          <w:caps w:val="false"/>
          <w:smallCaps w:val="false"/>
          <w:sz w:val="20"/>
        </w:rPr>
        <w:t>ex parte</w:t>
      </w:r>
      <w:r>
        <w:rPr>
          <w:rFonts w:ascii="Times New Roman;Times;Serif" w:hAnsi="Times New Roman;Times;Serif"/>
          <w:b w:val="false"/>
          <w:i w:val="false"/>
          <w:caps w:val="false"/>
          <w:smallCaps w:val="false"/>
          <w:sz w:val="20"/>
        </w:rPr>
        <w:t xml:space="preserve"> reexamination, or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challenging our patent rights or the patent rights of others. An adverse determination in any such submission, proceeding or litigation could reduce the scope of, or invalidate, our patent rights, which could adversely affect our competitive position with respect to third parties. We may become party to, or threatened with, future adversarial proceedings or litigation regarding intellectual property rights with respect to our technology, including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of issued patents in the U.S. that cover the lentiviral vectors used in the manufacture of our product candidates.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found to infringe a third party’s intellectual property rights, we could be required to obtain a license from such third party to continue developing and marketing our technology. However, we may not be able to obtain any required license on commercially reasonable terms or at all. Any inability to secure licenses or alternative technology could result in delays in the introduction of our products or lead to prohibition of the manufacture or sale of products by us. Even if we were able to obtain a license, it could be non-exclusive, thereby giving our competitors access to the same technologies licensed to us. We could be forced, including by court order, to cease commercializing the infringing technology. In addition, we could be found liable for monetary damages, including treble damages and attorneys’ fees if we are found to have willfully infringed a patent. A finding of infringement could prevent us from commercializing our technology or force us to cease some of our business operations, which could materially harm our business. Claims that we have misappropriated the confidential information or trade secrets of third parties could have a similar negative impact on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asserting that our employees, consultants, or advisors have wrongfully used or disclosed alleged trade secrets, inventions, or intellectual property rights of their current or former employers or claims asserting ownership of what we regard as intellectual property that we have been granted licenses 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to defend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respect, Prof. Luigi Naldini, the Chairman of our Executive Scientific Board, is an employee of OSR –- San Raffaele Hospital, and has been appointed, according to a consultancy agreement, as a director of our Executive Scientific Board for the purpose of designing and developing the preclinic research and clinic experimentation program around cancers and gene therapy. The relevant consultancy agreement sets forth any specific representation and warranty in our favor that his activities do not infringe any third party’s intellectual property rights (in particular, of OSR). In this respect, Prof. Naldini has executed a statement whereby he has declared that his consultancy activities in our favor have been carried out without infringing upon the intellectual property rights of OSR. OSR is not part of this statement and, therefore, OSR could in any case address claims against us with respect to an infringement of its intellectual property right by Prof. Naldini in relation to his activity in our favor.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claims challenging the inventorship of patents and other intellectual property that we have been granted licenses to.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claims that former employees, collaborators, or other third parties have an interest in patents or other intellectual property that we have been granted licenses to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there may be a loss of valuable intellectual property rights to us or our licensors,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 In addition, we may receive less revenue from future products if any of our employees successfully claim compensation for their work in developing intellectual property, which in turn could have an impact on our future profitability.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applicable employment laws, we may not be able to prevent our employees or key consultants, after the termination of their relationship with us or –- with reference to key consultants –- during the same, to perform competitive activity in favor of other companies nor to enforce covenants not to compete and therefore may be unable to prevent our competitors from benefiting from the expertise of such employees or consultants. In addition, employees and consultants may be entitled to seek compensation for their inventions irrespective of their agreements with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entered into non-competition agreements with our current employees to prevent them, after the termination of their employment, to perform competitive activity in favor of other employers. Therefore, we cannot exclude the fact that such employers may benefit from the expertise of our current employees developed while working for us, after the termination of their employment. We sometimes enter into non-competition agreements with certain key consultants. These agreements prohibit key consultants, if they cease working for us, from competing directly with us or working for our competitors or clients for a limited period. We may be unable to enforce these agreements under the laws of the jurisdictions in which our consultants work and it may be difficult for us to restrict our competitors from benefitting from the expertise our former consultants developed while working for us. Under Italian law, a non-competition agreement could be invalidated if, for example, the geographic scope of the non-competition agreement is too broad, or, alternatively, such an agreement could be deemed by an Italian court to be an occupation ban. Such actions would make enforcing our non-competition agreements more challenging and could make it easier for our competitors to employ or benefit from the expertise of our key consultants. In addition, we cannot exclude that our current independent consultants may perform activities –during their relationship with us- which could result in competition / conflict with our activity (e.g., in case they perform their activity for the benefit of other employers or companies). Lastly, with reference to the key consultants with whom no non-competition agreement has been entered into, we cannot exclude that, after the termination of their relationship with us or during the same, other employers or companies may benefit from the expertise of such consultants developed while working for us.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Italian law, in case of inventions developed by our employees, which were developed while performing their employment activities, but outside the performance of their contractual duties, the rights to the inventions belong to us but we are required to compensate the employees for the rights to their respective inventions. Regarding independent consultants, Italian law provides that, save for the case in which the inventive activity of the same has been set forth as the subject of the consulting agreement and compensated for this purpose, the rights to economically exploit the original contributions and inventions realized in the execution of the consulting agreement will belong to consultant.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neither the employment agreements nor the consultancy agreements provide any specific compensation related to the inventive activity. Therefore, employees and independent consultants may ask for a fair compensation due to such inventions and, regarding independent consultants, the failure to pay a fair compensation could prevent us from obtaining rights on their inventions, and this could have a material adverse effect on our operations and ability to effectively compete.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rights do not necessarily address all potential threats.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 candidates we may develop will eventually become commercially available in generic or biosimilar product forms;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products that are similar to any product candidates we may develop or utilize similar technology but that are not covered by the claims of the patents that we may own or license now or in the future;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license partners or collaborators, might not have been the first to make the inventions covered by the issued patent or pending patent application that we own or license now or in the future;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future license partners or collaborators, might not have been the first to file patent applications covering certain of our or their inventions;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technologies without infringing our intellectual property rights;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pending patent applications currently licensed or those to which we may enter into a license regarding in the future will not lead to issued patents;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there are prior public disclosures that could invalidate the issued patents that have been licensed to us, or parts of such issued patents;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there are unpublished applications or patent applications maintained in secrecy that may later issue with claims covering our product candidates or technology similar to ours;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to which we hold rights to may be held invalid or unenforceable, including as a result of legal challenges by our competitors;</w:t>
            </w:r>
          </w:p>
        </w:tc>
      </w:tr>
    </w:tbl>
    <w:p>
      <w:pPr>
        <w:pStyle w:val="TextBody"/>
        <w:bidi w:val="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claims of patent applications, if and when issued, may not cover our product candidates;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foreign countries may not protect our proprietary rights or the proprietary rights of license partners or current or future collaborators to the same extent as the laws of the U.S.;</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inventors of our patent applications may become involved with competitors, develop products or processes that design around our patents, or become hostile to us or the patents or patent applications on which they are named as inventors;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scientific collaborations and will continue to do so in the future, and our collaborators may develop adjacent or competing products that are outside the scope of our patents;</w:t>
            </w:r>
          </w:p>
        </w:tc>
      </w:tr>
    </w:tbl>
    <w:p>
      <w:pPr>
        <w:pStyle w:val="TextBody"/>
        <w:bidi w:val="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70"/>
        <w:gridCol w:w="82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 candidates we develop may be covered by third parties’ patents or other exclusive rights;</w:t>
            </w:r>
          </w:p>
        </w:tc>
      </w:tr>
    </w:tbl>
    <w:p>
      <w:pPr>
        <w:pStyle w:val="TextBody"/>
        <w:bidi w:val="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harm our business;</w:t>
            </w:r>
          </w:p>
        </w:tc>
      </w:tr>
    </w:tbl>
    <w:p>
      <w:pPr>
        <w:pStyle w:val="TextBody"/>
        <w:bidi w:val="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that are patentable;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not to file a patent to maintain certain trade secrets or know-how, and a third-party may subsequently file a patent covering such intellectual property.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any of these events occur, they could have a material adverse effect on our business, financial condition, results of operations, and prospects. The patent positions of biotechnology and pharmaceutical companies generally are highly uncertain, involve complex legal, technical, and factual questions and have in recent years been the subject of much litigation. As a result, the issuance, scope, validity, enforceability, and commercial value of our patents, including those patent rights licensed to us by third parties, are highly uncertain.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currently with substantial operations outside of the U.S., our business is subject to global economic conditions, macro events, political, regulatory, pandemic, and other risks associated with international operations and macro-economic trends.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substantial operations in Italy, our business is subject to risks associated with conducting business outside the U.S. Many of our suppliers and clinical trial relationships are located outside the U.S. The global economy, including credit and financial markets, has experienced extreme volatility and disruptions, including, among other things, severely diminished liquidity, and credit availability, declines in consumer confidence, declines in economic growth, supply chain shortages, inflation, fluctuating interest rates, increased tariffs and uncertainty about economic stability. Fluctuating interest rates, coupled with reduced government spending and volatility in financial markets may increase economic uncertainty and affect investor confidence. Similarly, regional geopolitical conflicts and trade disputes have created extreme volatility in the global capital markets and are expected to have further global economic consequences, including disruptions of the global supply chain and energy markets.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volatility and disruptions may adversely affect our business or the third parties on whom we rely. If the equity and credit markets deteriorate because of the political unrest or war, it may make any debt or equity financing more costly or more dilutive or more difficult to obtain in a timely manner or on favorable terms, if at all. Accordingly, our future results could be harmed by a variety of factors,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downturns, recessions, inflation, fluctuating interest rates, supply chain shortages, rising fuel prices, tariffs or political instability in particular non-U.S. economies and markets could negatively impact our budget projections, clinical trial cost estimates, and potential clinical timeline;</w:t>
            </w:r>
          </w:p>
        </w:tc>
      </w:tr>
    </w:tbl>
    <w:p>
      <w:pPr>
        <w:pStyle w:val="TextBody"/>
        <w:bidi w:val="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domestic and international banking systems where the Company has accounts;</w:t>
            </w:r>
          </w:p>
        </w:tc>
      </w:tr>
    </w:tbl>
    <w:p>
      <w:pPr>
        <w:pStyle w:val="TextBody"/>
        <w:bidi w:val="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and changing regulatory requirements for product approvals in the U.S. and Italy;</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jurisdictions could present different issues for securing, maintaining or obtaining freedom to operate in such jurisdictions;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reduced protection for intellectual property rights that could impact our ability to develop and/or license our technology;</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compliance with different, complex, and changing laws, regulations and court systems of multiple jurisdictions and compliance with a wide variety of foreign laws, treaties and regulations that could affect our need to hire subject matter experts or retain third-party experts;</w:t>
            </w:r>
          </w:p>
        </w:tc>
      </w:tr>
    </w:tbl>
    <w:p>
      <w:pPr>
        <w:pStyle w:val="TextBody"/>
        <w:bidi w:val="0"/>
        <w:spacing w:before="0" w:after="0"/>
        <w:ind w:left="0" w:right="0" w:hanging="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75"/>
        <w:gridCol w:w="170"/>
        <w:gridCol w:w="57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non-U.S. regulations and customs, tariffs, and trade barriers;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risks and currency controls due to maintaining our cash and cash equivalents both in U.S. dollars and Euros;</w:t>
            </w:r>
          </w:p>
        </w:tc>
      </w:tr>
    </w:tbl>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75"/>
        <w:gridCol w:w="170"/>
        <w:gridCol w:w="63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 specific country’s or region’s political or economic environment;</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protection measures, import or export licensing requirements or other restrictive actions by governments;</w:t>
            </w:r>
          </w:p>
        </w:tc>
      </w:tr>
    </w:tbl>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75"/>
        <w:gridCol w:w="170"/>
        <w:gridCol w:w="64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reimbursement regimes and price controls in certain non-U.S. markets;</w:t>
            </w:r>
          </w:p>
        </w:tc>
      </w:tr>
    </w:tbl>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consequences from changes in tax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tax, employment, immigration and labor laws for employees living or traveling abroad, including, for example, the variable tax treatment in different jurisdictions of options granted under our share incentive plans;</w:t>
            </w:r>
          </w:p>
        </w:tc>
      </w:tr>
    </w:tbl>
    <w:p>
      <w:pPr>
        <w:pStyle w:val="TextBody"/>
        <w:bidi w:val="0"/>
        <w:spacing w:before="0" w:after="0"/>
        <w:ind w:left="0" w:right="0" w:hanging="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uncertainty in countries where labor unrest is more common than in the 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administrative actions resulting from claims against us by current or former employees or by employees of third party contractors or consultants, individually or as part of class actions, including: (i) claims of wrongful terminations and payment of the related damages, (ii) discrimination, (iii) misclassification, (iv) claims for salary differences or for a different classification according to national collective bargaining agreement, (v) claims for the payment of social security charges or severance benefits, (vi) claims from suppliers’ employees or external consultants such as, by way of example, claims for reclassification as employees, rather than independent contractors, or, as indicated above, requests for payment of salary / social security charges, (vii) any sanctions due to the above-mentioned obligations, (viii) or other violations of labor law or other alleged conduct;</w:t>
            </w:r>
          </w:p>
        </w:tc>
      </w:tr>
    </w:tbl>
    <w:p>
      <w:pPr>
        <w:pStyle w:val="TextBody"/>
        <w:bidi w:val="0"/>
        <w:spacing w:before="0" w:after="0"/>
        <w:ind w:left="0" w:right="0" w:hanging="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170"/>
        <w:gridCol w:w="89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associated with staffing and managing international operations, including differing labor relations;</w:t>
            </w:r>
          </w:p>
        </w:tc>
      </w:tr>
    </w:tbl>
    <w:p>
      <w:pPr>
        <w:pStyle w:val="TextBody"/>
        <w:bidi w:val="0"/>
        <w:spacing w:before="0" w:after="0"/>
        <w:ind w:left="0" w:right="0" w:hanging="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shortages resulting from any events affecting raw material supply or manufacturing capabilities abroad;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geo-political actions, including war and terrorism, health epidemics, or natural disasters including earthquakes, typhoons, floods, and fires.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manage our business through a small number of employees, key consultants, and third party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key people include our Chief Executive Officer and current Chairman, Pierluigi Paracchi, who co-founded our Company in 2014 along with Prof. Luigi Naldini, our Executive Scientific Board Chairman, and Bernhard Gentner, a member of our Executive Scientific Board. Our other key people include Carlo Russo, our Chief Medical Officer &amp; Head of Development, Richard Slansky, our Chief Financial Officer, Barbara Regonini, our Finance Director and Stefania Mazzoleni, our Scientific Project Manager and Communications Officer. Our future growth and success depends on our ability to recruit, retain, manage, and motivate our employees and key consultants. The loss of the services of our Chief Executive Officer or any of our key personnel or the inability to hire or retain experienced management personnel could adversely affect our ability to execute our business plan and harm our operating results. Although we expect to enter into employment agreements with management, these agreements will likely be terminable at will with notice.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laws and regulations on executive compensation, including legislation in our home country, Italy, may restrict our ability to attract, motivate and retain the required level of qualified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specialized scientific and managerial nature of our business, we rely heavily on our ability to attract and retain qualified scientific and technical consultants. In particular, the loss of one or more of our key personnel could be detrimental to us if we cannot recruit suitable replacements in a timely manner.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 We do not currently carry “key person” insurance on the lives of members of senior management. The competition for qualified personnel in the biotechnology and pharmaceutical fields is intense. Due to this intense competition, we may be unable to attract and retain qualified personnel necessary for the development of our business or to recruit suitable replacement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 single manufacturing facility, and if operations at that manufacturing facility are disrupted, we could experience delays in our clinical trials or we would need to expend additional time and capital to identify and onboard another manufacturing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risks inherent in operating a single manufacturing facility, since any disruption, such as a fire, natural hazards or vandalism could significantly interrupt our manufacturing capability. We currently do not have alternative production plans in place or disaster-recovery facilities available. In case of a disruption, we will have to establish alternative manufacturing sources. This would require substantial capital on our part, which it may not be able to obtain on commercially acceptable terms or at all. Additionally, we would likely experience months or years of manufacturing delays as we build or locate replacement facilities and seek and obtain necessary regulatory approvals. If this occurs, we will be unable to satisfy manufacturing needs on a timely basis, if at all. Also, operating any new facilities may be more expensive than operating our current facility. Further, business interruption insurance may not adequately compensate us for any losses that may occur, and we would have to bear the additional cost of any disruption. For these reasons, a significant disruptive event at the manufacturing facility could have drastic consequences, including placing our financial stability at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significantly increase the size of our organization, and we may experience difficulties in managing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a very limited number of employees. If we are successful in executing our business strategy and to commercialize our products, if approved,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our clinical trials and the regulatory process effectively;</w:t>
            </w:r>
          </w:p>
        </w:tc>
      </w:tr>
    </w:tbl>
    <w:p>
      <w:pPr>
        <w:pStyle w:val="TextBody"/>
        <w:bidi w:val="0"/>
        <w:spacing w:before="0" w:after="0"/>
        <w:ind w:left="0" w:right="0" w:hanging="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170"/>
        <w:gridCol w:w="81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our administrative, accounting and management information systems and internal controls;</w:t>
            </w:r>
          </w:p>
        </w:tc>
      </w:tr>
    </w:tbl>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and train additional qualified personnel; and</w:t>
            </w:r>
          </w:p>
        </w:tc>
      </w:tr>
    </w:tbl>
    <w:p>
      <w:pPr>
        <w:pStyle w:val="TextBody"/>
        <w:bidi w:val="0"/>
        <w:spacing w:before="0" w:after="0"/>
        <w:ind w:left="0" w:right="0" w:hanging="0"/>
        <w:jc w:val="both"/>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 current and additional management, administrative, financial and sales and marketing personnel.</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principal investigators, consultants, and commercial partners may engage in misconduct or other improper conduct or activities, including non-compliance with regulatory standards and requirements and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fraud or other misconduct by our employees, principal investigators, consultants, and commercial partners. Misconduct by these parties could include intentional failures to comply with the regulations of AIFA, the FDA, EMA, or of other foreign regulatory authorities, provide accurate information to AIFA, the FDA, EMA, and other foreign regulatory authorities, comply with healthcare fraud and abuse laws and regulations in the U.S. and other countries, report financial information or data accurately or disclose unauthorized activities to us.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during clinical trials, which could result in regulatory sanctions and cause serious harm to our reputation. We have adopted a code of conduct applicable to all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obtain AIFA, FDA, EMA or other regulatory authority approval for any of our product candidates and begin commercializing those products , our operations may be directly or indirectly through our customers, subject to various federal, state and/or international fraud and abuse laws, including, without limitation, the U.S. federal Anti-Kickback Statute, the U.S. federal False Claims Act and U.S. physician sunshine laws and regulations. These laws may impact, among other things, our proposed sales, marketing, and education programs. In addition, we may be subject to patient privacy regulation by both the U.S. federal government and the states and countries in which we conduct our business. The laws that may affect our ability to operate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Anti-Kickback Statute, which prohibits, among other things, persons from knowingly and willfully soliciting, receiving, offering or paying remuneration, directly or indirectly, to induce, or in return for, the purchase or recommendation of an item or service reimbursable under a U.S. federal healthcare program, such as the Medicare and Medicaid programs;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Health Insurance Portability and Accountability Act of 1996 (“HIPAA”), which created new federal criminal statutes that prohibit executing a scheme to defraud any healthcare benefit program and making false statements relating to healthcare matters;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and Clinical Health Act, and its implementing regulations, which imposes certain requirements relating to the privacy, security and transmission of individually identifiable health information;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physician sunshine requirements under the U.S. Patient Protection and Affordable Care Act, as amended by the Health Care and Education Reconciliation Act (the “PPACA”), requires manufacturers of drugs, devices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state law equivalents of each of the above U.S. federal laws, such as anti-kickback and false claims laws that may apply to items or services reimbursed by any third-party payor, including commercial insurers; state laws that require biotechnology and pharmaceutical companies to comply with the biotechnology and pharmaceutical industries’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and other foreign law equivalents of each of the laws, including reporting requirements detailing interactions with and payments to healthcare providers, and the European General Data Protection Regulation (the “GDPR”), which became effective in May 2018 and contains new provisions specifically directed at the processing of health information, higher sanctions and extra-territoriality measures intended to bring non-E.U. companies under the regulation, including companies like us that conduct clinical trials in the E.U.; we anticipate that over time we may expand our business operations to include additional operations in the E.U. and with such expansion, we would be subject to increased governmental regulation in the E.U. countries in which we might operate, including the GDPR and all relevant data protection rulings and further legislation.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enforcement of each of these laws is uncertain and subject to rapid change in the current environment of healthcare reform, especially considering the lack of applicable precedent and regulations. U.S. federal and state enforcement bodies have recently increased their scrutiny of interactions between healthcare companies and healthcare providers, which has led to several investigations, prosecutions, convictions and settlements in the healthcare industry. It is possible that U.S. and other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including, without limitation, damages, fines, imprisonment, disgorgement, exclusion from participation in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is found to be not in compliance with applicable laws, they may be subject to similar actions, penalties, and sanctions. Efforts to ensure that our business arrangements comply with applicable healthcare laws and regulations, as well as responding to possible investigations by government authorities, can be time- and resource-consuming and can divert a company’s attention from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Healthcare legislative and regulatory reform measures may have a material adverse effect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highly regulated and changes in law may adversely impact our business, operations, or financial results. The PPACA is a sweeping measure intended to, among other things, expand healthcare coverage within the U.S., primarily through the imposition of health insurance mandates on employers and individuals and expansion of the U.S. Medicaid program. Several provisions of the law may affect us and increase certain of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other legislative changes have been adopted since the PPACA was enacted. These changes include aggregate reductions in U.S. Medicare payments to providers of 2% per fiscal year, which went into effect on April 1, 2013, and, following passage of the U.S. Bipartisan Budget Act of 2018, will remain in effect through 2027 unless additional U.S.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laws may result in additional reductions in Medicare and other healthcare funding, which could have a material adverse effect on our customers and, accordingly, our financial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the PPACA, as well as other U.S. healthcare reform measures that may be adopted in the future, may result in more rigorous coverage criteria and an additional downward pressure on the reimbursement our customers may receive for our products. Further, there have been, and there may continue to be, judicial and Congressional challenges to certain aspects of the PPACA. For example, the U.S. Tax Cuts and Jobs Act of 2017 (the “TCJA”)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 legislative and regulatory changes to the PPACA, its implementing regulations and guidance and its policies, remain possible. However, it remains unclear how any new legislation or regulation might affect the prices we may obtain for any of our product candidates for which regulatory approval is obtained. Any reduction in reimbursement from Medicare and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the price of our securities or limit our ability to raise capital or to enter into collaboration agreements for the further development and potential commercialization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use of any of our product candidates could result in product liability or similar claims that could be expensive, damage our reputation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exposes us to an inherent risk of potential product liability or similar claims. Mainly in the U.S., the biotechnology and pharmaceutical industries have historically been litigious, and we face financial exposure to product liability or similar claims if the use of any of our products were to cause or contribute to injury or death. There is also the possibility that defects in the design or manufacture of any of our products might necessitate a product recall. Although we plan to maintain product liability insurance, the coverage limits of these policies may not be adequate to cover future claims. In the future, we may be unable to maintain product liability insurance on acceptable terms or at reasonable costs and such insurance may not provide us with adequate coverage against potential liabilities. A product liability claim, regardless of merit or ultimate outcome, or any product recall could result in substantial costs to us, damage to our reputation, customer dissatisfaction and frustration and a substantial diversion of management attention. A successful claim brought against us more than, or outside of, our insurance coverage,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information technology systems, or those of our third party vendors, collaborators, or other contractors or consultants, may fail or suffer cyber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information. We also have outsourced elements of our operations to third parties, and as a result we manage a few third-party vendors and other contractors and consultants who have access to our confidential information.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information technology systems and those of our current and any future third party vendors, collaborators and other contractors or consultants may be vulnerable to a variety of disruptive elements, including data breaches, cyber-attacks by malicious third parties (including the deployment of computer viruses, harmful malware, ransomware, denial-of-service attacks, social engineering, and other means to affect service reliability and threaten the confidentiality, integrity, and availability of information), unauthorized access, natural disasters, terrorism, war, telecommunication and electrical failures and persons with access to systems inside our organization. In particular, the risk of a security breach or disruption, through cyber-attacks or cyber intrusion, including by computer hackers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Because the techniques used by cyber criminals change frequently, may not be recognized until launched, and can originate from a wide variety of sources, including outside groups such as external service providers, organized crime affiliates or terrorist organizations, we and our partners may be unable to anticipate these techniques or implement adequate preventative measures. Further, we do not have any control over the operations of the facilities or technology of third parties that collect, process and store personal data on our behalf.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not experienced any significant system failure, accident, or security breach to date, if such an event were to occur and cause interruptions in our operations or a loss of, or damage to, our data or applications, or those of our third party vendors and other collaborators, contractors and consultants, it could result in a disruption of our development programs and our business operations, whether due to a loss of our trade secrets or other confidential, personal or proprietary information, significant delays or setbacks in our research,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personal, or proprietary information, we could incur significant liability, our competitive position could be harmed, our reputation could be damaged, and the further development and commercialization of our product candidates could be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Unauthorized disclosure of sensitive or confidential data, including personal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damage to our reputation and/or compel us to comply with federal and/or state breach notification laws and foreign law equivalents, subject us to mandatory corrective action, and otherwise subject us to liability under laws and regulations that protect the privacy and security of personal information. The costs related to significant security breaches or disruptions could be material. If the information technology systems of our third-party vendors and other collaborators, contractors and consultants become subject to disruptions or security breaches, we may be exposed to material liability and have insufficient recourse against such third parties and we may have to expend significant resources to mitigate the impact of such an event, and to develop and implement protections to prevent future events of this nature from occurring. Any of the foregoing could adversely affect our business, financial condition, results of operations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or the third parties upon whom we depend, may be adversely affected by earthquakes or other natural disasters and our business continuity and disaster recovery plans may not adequately protect us from a serious disaster.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The disaster recovery and business continuity plans that we have in place currently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Unsuccessful compliance with certain European privacy regulations could have an adverse effect on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collection and use of personal health data in the E.U. is governed, as of May 2018, by the General Data Protection Regulation 2016/679 (the “GDPR”) as implemented by European Data Protection Board (the “EDPB”) guidelines and E.U. Member States national legislations. General E.U. data protection rules impose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GDPR also extends the geographical scope of E.U. data protection law to non-E.U. entities under certain conditions, tightens existing E.U. data protection principles and creates new obligations for companies and new rights for individuals. Failure to comply with the requirements of the GDPR, the EDPB guidelines and the related national data protection laws of the E.U. Member States may result in fines and other administrative penalties. The GDPR introduces new data protection requirements in the E.U. and substantial fines for breaches of the data protection rules, including violation of articles 44 to 49 GDPR related to transfer of personal data to a recipient in a non-E.U. country. The GDPR regulations impose additional responsibility and liability in relation to personal data that we process, and we intend to put in place additional mechanisms ensuring compliance with these and/or new data protection rules. In addition, other jurisdictions, including Italy, have implemented regulations like GDPR. Regarding Italian legislation, the national Privacy and Data Protection Code has been amended according to GDPR provisions (Legislative Decree n. 196/2003 as amended and updated by Legislative Decree n. 101/2018) and imposes additional fines and administrative penalties in relation to the processing of health data and processing of data for scientific research purposes. Moreover, European data protection background is constantly changing under the drive of the EDPB on the correct interpretation and application of GDPR and the ruling activity of the Court of Justice of the E.U. (see, for instance, the recent CJEU case C-3111/18, also known as Schrems II which invalidated the E.U.-U.S. Privacy Shield Framework for transfer of data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compliant with most recent legislative changes in European data protection rules, adopting Data Processing Agreements containing Standard Contractual Clauses with all partners based in the U.S. and (for the transition period until June 2021) in the United Kingdom. However, changes to these European privacy regulations (and similar regulations in other jurisdictions) and unsuccessful compliance may be onerous and adversely affect our business, financial condition, prospects,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we will be able to satisfy the continued listing standards of the Nasdaq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American Depository Shares (“ADS”) are listed on the Nasdaq. However, we cannot ensure that we will be able to satisfy the continued listing standards of the Nasdaq going forward. If we cannot satisfy the continued listing standards going forward, the Nasdaq Stock Market may commence delisting procedures against us, which could result in our ADS being removed from listing on the Nasdaq. If any of our ADSs were to be delisted, the liquidity of our ADSs could be adversely affected and the market price of our ADSs could decrease. Delisting could also adversely affect the ability of the holder of our ADSs to trade or obtain quotations on our ADSs because of lower trading volumes and transaction delays. These factors could contribute to lower prices and larger spreads in the bid and ask price for our ADSs. Investors may also not be able to resell their ADSs at or above the price they paid for such securities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ADSs is likely to be highly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ADSs has been and is likely to continue to be highly volatile. The following factors, in addition to other risk factors described in this section, may have a significant impact on the market price of the ADSs:</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results or delays in pre- and non-clinical studies or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70"/>
        <w:gridCol w:w="74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of adverse events in other gene therapy products or clinical studies of such products;</w:t>
            </w:r>
          </w:p>
        </w:tc>
      </w:tr>
    </w:tbl>
    <w:p>
      <w:pPr>
        <w:pStyle w:val="TextBody"/>
        <w:bidi w:val="0"/>
        <w:spacing w:before="0" w:after="0"/>
        <w:ind w:left="0" w:right="0" w:hanging="0"/>
        <w:jc w:val="both"/>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75"/>
        <w:gridCol w:w="170"/>
        <w:gridCol w:w="31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additional funding;</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obtain the approvals necessary to commence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unsatisfactory results of clinical trials;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regulatory approval or the failure to obtain it, or specific label indications or patient populations for its use, or changes or delays in the regulatory review process;</w:t>
            </w:r>
          </w:p>
        </w:tc>
      </w:tr>
    </w:tbl>
    <w:p>
      <w:pPr>
        <w:pStyle w:val="TextBody"/>
        <w:bidi w:val="0"/>
        <w:spacing w:before="0" w:after="0"/>
        <w:ind w:left="0" w:right="0" w:hanging="0"/>
        <w:jc w:val="both"/>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170"/>
        <w:gridCol w:w="69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therapeutic innovations or new products by us or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actions taken by regulatory authorities with respect to our clinical trials, manufacturing supply chain or sales and marketing activities;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or developments in laws or regulations applicable to the treatment of cancer tumors, or any other indication that we may seek to develop;</w:t>
            </w:r>
          </w:p>
        </w:tc>
      </w:tr>
    </w:tbl>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changes to our relationship with manufacturers or suppliers;</w:t>
            </w:r>
          </w:p>
        </w:tc>
      </w:tr>
    </w:tbl>
    <w:p>
      <w:pPr>
        <w:pStyle w:val="TextBody"/>
        <w:bidi w:val="0"/>
        <w:spacing w:before="0" w:after="0"/>
        <w:ind w:left="0" w:right="0" w:hanging="0"/>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intellectual property infringement actions in which we may become involved;</w:t>
            </w:r>
          </w:p>
        </w:tc>
      </w:tr>
    </w:tbl>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170"/>
        <w:gridCol w:w="87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concerning our competitors or the biotechnology and pharmaceutical industries in general;</w:t>
            </w:r>
          </w:p>
        </w:tc>
      </w:tr>
    </w:tbl>
    <w:p>
      <w:pPr>
        <w:pStyle w:val="TextBody"/>
        <w:bidi w:val="0"/>
        <w:spacing w:before="0" w:after="0"/>
        <w:ind w:left="0" w:right="0" w:hanging="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expected product sales and profitability or our failure to meet expectations;</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75"/>
        <w:gridCol w:w="170"/>
        <w:gridCol w:w="42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commencement of, or involvement in, litigation;</w:t>
            </w:r>
          </w:p>
        </w:tc>
      </w:tr>
    </w:tbl>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major changes in our board of directors or management;</w:t>
            </w:r>
          </w:p>
        </w:tc>
      </w:tr>
    </w:tbl>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recruit and retain qualified regulatory, research and development personnel;</w:t>
            </w:r>
          </w:p>
        </w:tc>
      </w:tr>
    </w:tbl>
    <w:p>
      <w:pPr>
        <w:pStyle w:val="TextBody"/>
        <w:bidi w:val="0"/>
        <w:spacing w:before="0" w:after="0"/>
        <w:ind w:left="0" w:right="0" w:hanging="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5"/>
        <w:gridCol w:w="170"/>
        <w:gridCol w:w="77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in the U.S. relating to the sale or pricing of biotechnology or gene therapy products;</w:t>
            </w:r>
          </w:p>
        </w:tc>
      </w:tr>
    </w:tbl>
    <w:p>
      <w:pPr>
        <w:pStyle w:val="TextBody"/>
        <w:bidi w:val="0"/>
        <w:spacing w:before="0" w:after="0"/>
        <w:ind w:left="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170"/>
        <w:gridCol w:w="36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depth of the trading market in the ADSs;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downturns, recessions, inflation, fluctuating interest rates, supply chain shortages, rising fuel prices, tariffs or political instability in global, U.S. or particular foreign economies and markets;</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instability in the global or U.S. banking systems or the banking systems of foreign countries;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interruptions resulting from a local or worldwide pandemic, geopolitical actions, including war and terrorism, or natural disasters;</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granting or exercise of employee stock options or other equity awards;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patents, litigation matters and our ability to obtain patent protection for our technologies;</w:t>
            </w:r>
          </w:p>
        </w:tc>
      </w:tr>
    </w:tbl>
    <w:p>
      <w:pPr>
        <w:pStyle w:val="TextBody"/>
        <w:bidi w:val="0"/>
        <w:spacing w:before="0" w:after="0"/>
        <w:ind w:left="0" w:right="0" w:hanging="0"/>
        <w:jc w:val="both"/>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170"/>
        <w:gridCol w:w="54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scientific or management personnel;</w:t>
            </w:r>
          </w:p>
        </w:tc>
      </w:tr>
    </w:tbl>
    <w:p>
      <w:pPr>
        <w:pStyle w:val="TextBody"/>
        <w:bidi w:val="0"/>
        <w:spacing w:before="0" w:after="0"/>
        <w:ind w:left="0" w:right="0" w:hanging="0"/>
        <w:jc w:val="both"/>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shareholder litigation; and</w:t>
            </w:r>
          </w:p>
        </w:tc>
      </w:tr>
    </w:tbl>
    <w:p>
      <w:pPr>
        <w:pStyle w:val="TextBody"/>
        <w:bidi w:val="0"/>
        <w:spacing w:before="0" w:after="0"/>
        <w:ind w:left="0" w:right="0" w:hanging="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investors’ and securities analysts’ perception of the business risks and conditions of our business.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the ADSs, regardless of our actual operating performance. Further, a systemic decline in the financial markets and related factors beyond our control may cause our ADS price to decline rapidly and unexpectedly.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ADSs may not receive the same distributions or dividends as those we make to the holders of our ordinary shares, and, in some limited circumstances, you may not receive dividends or other distributions on our ordinary shares and you may not receive any value for them, if it is illegal or impractical to make them available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the depositary for the ADSs (the “Depositary”), has agreed to pay to you the cash dividends or other distributions it or the custodian receives on ordinary shares or other deposited securities underlying the ADSs, after deducting its fees and expenses and subject to the terms of the deposit agreement. You will receive these distributions in proportion to the number of ordinary shares the ADSs represent. However, in accordance with the limitations set forth in the deposit agreement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of 1933, as amended (the “Securities Act”), but that are not properly registered or distributed under an applicable exemption from registration. In addition, conversion into U.S. dollars from foreign currency that was part of a dividend made in respect of deposited ordinary shares may require the approval or license of, or a filing with, any government or agency thereof, which may be unobtainable. In these cases, the Depositary may determine not to distribute such property and hold it as “deposited securities” or may distribute the net cash proceeds from the sale of the dividends.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In addition, the Depositary may withhold from such dividends or distributions its fees and an amount on account of taxes or other governmental charges to the extent the Depositary believes it is required to make such withholding. This means that you may not receive the same distributions or dividends as those we make to the holders of our ordinary shares, and, in some limited circumstances, you may not receive any value for such distributions or dividends if it is illegal or impractical for us to make them available to you. These restrictions may cause a material decline in the value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ADSs must act through the Depositary to exercise voting rights relating to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ADSs do not have the same rights as our shareholders and may only exercise the voting rights with respect to the underlying ordinary shares in accordance with the provisions of the deposit agreement. When a shareholder meeting is convened, holders of ADSs may not receive sufficient notice of a shareholder meeting to permit them to cancel their ADSs and withdraw ordinary shares to allow them to directly cast their vote with respect to any specific matter. In addition, the Depositary and its agents may not be able to send voting instructions to holders of ADSs or carry out their voting instructions in a timely manner. We will make all reasonable efforts to cause the Depositary to extend voting rights to holders of the ADSs in a timely manner, but we cannot assure holders that they will receive the voting materials in time to ensure that they can instruct the Depositary to vote the ordinary shares underlying their ADSs. Furthermore, the Depositary and its agents will not be responsible for any failure to carry out any instructions to vote, for the manner in which any vote is cast or for the effect of any such vote. As a result, holders of the ADSs may not be able to exercise their right to vote and they may lack recourse if the ordinary shares underlying their ADSs are not voted as they requested. In addition, in the capacity as a holder of ADSs, they will not be able to call a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 described in more detail below, our loyalty share program is available only to holders who own their ordinary shares in registered form, and is not available to ADS holders. See “—Risks Related to Italian Law and Our Operations in Italy—Our loyalty share program could have a negative effect on the liquidity of our ADSs and may make it more difficult for investors to acquire a controlling interest, change the management or the strategy of our company or exercise influence over us, which may adversely affect the market price of the ADSs. Further, our loyalty share program is available only to holders who own their ordinary shares in registered form, and the ability of ADS holders to influence corporate decisions may therefore be limited”.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ADSs holders may not be entitled to a jury trial with respect to claims arising under the deposit agreement, which could augur less favorable results to the plaintiff(s) in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governing the ADSs representing our ordinary shares provides that owners and holders of ADSs, including those who purchase the ADSs in a secondary transaction, irrevocably waive the right to a trial by jury in any legal proceeding arising out of or relating to the deposit agreement, our ordinary shares or the ADSs or the transactions contemplated thereby,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U.S. federal securities laws has not been finally adjudicated by a federal court. However, we believe that a jury trial waiver provision is generally enforceable under the laws of the State of New York, which govern the deposit agreement, by a court of the State of New York or a U.S. federal court in New York, which have non-exclusive jurisdiction over matters arising under the deposit agreement, applying such law. In determining whether to enforce a jury trial waiver provision, New York courts and U.S.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and the ADSs and the transactions contemplated thereby.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our ordinary shares or the ADSs or the transactions contemplated thereby. No condition, stipulation, or provision of the deposit agreement or ADSs serves as a waiver by any owner or holder of ADSs or by us or the Depositary of compliance with any provision of the U.S. federal securities laws. If you or any other owner or holder of ADSs brings a claim against us or the Depositary in connection with matters arising under the deposit agreement, our ordinary shares or the ADSs or the transactions contemplated thereby, you or such other owner or holder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owner or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securities litigation, which is expensive and could divert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companies that have experienced volatility in the market price of their shares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Chief Executive Officer, directors, and shareholders who own more than 5% of our outstanding ordinary shares currently own approximately 39% of our ordinary shares and have an approximately 71% voting interest through our loyalty share program. They will therefore be able to exert significant control over matters submitted to our shareholders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directors, and shareholders who own more than 5% of our outstanding ordinary shares beneficially own approximately 39% of our ordinary shares and have an approximately 771% voting interest through our loyalty share program. This significant concentration of share ownership and voting power may adversely affect the trading price for the ADSs because investors often perceive disadvantages in owning securities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 Also, the concentration of our beneficial ownership may have the effect of delaying, deterring, or preventing a change in our control, or may discourage bids for our shares at a premium over the market price of the shares. The significant concentration of share ownership may adversely affect the trading price of our ADSs due to investors’ perception that conflicts of interest may exist or arise.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substantial risk that we are or will become classified as a passive foreign investment company. If we are or become classified as a passive foreign investment company, our U.S. shareholders may suffer adverse tax consequences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we will be treated as a passive foreign investment company (a “PFIC”) for U.S. federal income tax purposes in any taxable year in which either: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least 75% of our gross income is “passive income;” or, (2) on average at least 50% of our assets by value produce passive income or are held for the production of passive income. Passive income for this purpose generally includes, among other things, certain dividends, interest, royalties, rents and gains from commodities and securities transactions and from the sale or exchange of property that gives rise to passive income. Passive income also includes interest income earned by reason of the temporary investment of funds, including those raised in a public offering, and the excess of certain foreign currency gains over certain foregoing currency losses.</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PFIC will depend on the nature and composition of our income and the nature, composition and value of our assets. Our status may also depend, in part, on how quickly we utilize cash proceeds received from previous offerings of our ADSs or ordinary shares in our business. Based on preliminary analysis, we believe that we were likely classified as a PFIC in 2024, and we may be classified as a PFIC for 2025 and future years. In particular, so long as we do not generate revenue from operations for any taxable year and do not receive any research and development grants, or even if we receive a research and development grant, if such grant does not constitute gross income for U.S. federal income tax purposes, we likely will be classified as a PFIC in any taxable year due to the gross income from investment of cash reserves and other passive sources that we derive.</w:t>
      </w:r>
    </w:p>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in any taxable year during which a U.S. taxpayer holds the ADSs, such U.S. taxpayer would be subject to certain adverse U.S. federal income tax rules. In particular, if the U.S. taxpayer did not make an election to treat us as a “qualified electing fund” (“QEF”) or make a “mark-to- market” election, then “excess distributions” to the U.S. taxpayer, and any gain realized on the sale or other disposition of the ADSs by the U.S. taxpayer: (1) would be allocated ratably over the U.S. taxpayer’s holding period for the ADSs;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U.S. taxpayers that have held the ADSs during a period when we were a PFIC will be subject to the foregoing rules, even if we cease to be a PFIC in subsequent years, subject to exceptions for U.S. taxpayer who made a timely QEF or mark-to-market election. Currently, we do not expect to provide U.S. shareholders with the information necessary for a U.S. shareholder to make a QEF election. Prospective investors should assume that a QEF election will not be available. U.S. taxpayers that hold the ADSs are strongly urged to consult their tax advisors about the PFIC rules, including tax return filing requirements and the eligibility, manner, and consequences to them of making a QEF or mark-to-market election with respect to the ADSs in the event that we are a PFIC. See “Item 10. Additional Information—E. Taxation—U.S. Federal Income Tax Consequences—Passive Foreign Investment Companies”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adversely change their recommendations or publish negative reports regarding our business or our securities, our ADS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ADSs will be influenced by the research and reports that industry or securities analysts may publish about us, our business, our market, and/or our competitors. We do not have any control over these analysts, and we cannot provide any assurance that analysts will cover us or provide favorable coverage. If any of the analysts who may cover us adversely change their recommendation regarding our securities, or provide more favorable relative recommendations about our competitors, our ADS price would likely decline. If any analyst who may cover us were to cease coverage of our company or fail to regularly publish reports on us, we could lose visibility in the financial markets, which in turn could cause our ADS price or trading volume to decline.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paid, and do not intend to pay, dividends on our ordinary shares and, therefore, unless our traded securities appreciate, our investors may not benefit from holding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ordinary shares. We do not anticipate paying any cash dividends on our ordinary shares in the foreseeable future. Consequently, investors may need to rely on sales of their ADSs after price appreciation, which may never occur, as the only way to realize any future gains on their investment. Investors seeking cash dividends should not purchase the ADSs. Moreover, Italian law imposes certain restrictions on our ability to declare and pay dividends. Italian law prohibits distributing dividends other than from net income or distributable reserves set forth in a company’s statutory accounts approved by a meeting of shareholders and after the establishment of certain compulsory reserves. In addition, if losses from previous fiscal years have reduced a company’s capital, dividends may not be paid until the capital is reconstituted or its stated amount is reduced by the amount of such losses. The application of these restrictions limits our ability to make distributions to holders of our shares See “Dividend Policy” and “Description of Share Capital and Governing Documents—Dividends and Other Distributions”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associated with being a public company require significant company resources and management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U.S. public company, we are subject to the reporting requirements of the Securities Exchange Act of 1934, as amended (the “Exchange Act”), Nasdaq listing requirements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have incurred and will continue to incur legal, accounting, and other expenses that we did not incur as a nonpublic company, particularly after we are no longer an “emerging growth company” as defined in the Jumpstart Our Business Startups Act (“JOBS Act”).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securities, fines, sanctions, and other regulatory action and potentially civil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JOBS Act allows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we remain an “emerging growth company” as defined in the JOBS Act, we intend to take advantage of certain exemptions from various requirements that are applicable to public companies that are not “emerging growth companies”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Sarbanes-Oxley Act requiring that our independent registered public accounting firm provide an attestation report on the effectiveness of our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of the JOBS Act, which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the adoption of new or revised accounting standards. As a result of this election, our consolidated financial statements may not be comparable to companies that comply with the public company effective date;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rules that may be adopted by the Public Company Accounting Oversight Board requiring mandatory audit firm rotation or a supplement to the auditor’s report on the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take advantage of these exemptions until we are no longer an “emerging growth company.” We will remain an emerging growth company until the earlier of (1) the last day of the fiscal year (a) following the fifth anniversary of the date of the completion of our IPO, (b) in which we have total annual gross revenue of at least $1.235 billion, or (c) in which we are deemed to be a large accelerated filer, as defined in the rule under the Exchange Act, and (2) the date on which we have issued more than $1.0 billion in non-convertible debt during the prior three-year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if investors will find our securities less attractive because we may rely on these exemptions. If some investors find our securities less attractive as a result, there may be a less active trading market for the ADSs, and our ADS price may be more volatile and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to, and we do, follow certain home country corporate governance practices instead of otherwise applicable SEC and Nasdaq requirements, which may result in less protection than is accorded to investors under rules applicable to domestic U.S.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rules of the Nasdaq Stock Market require listed companies to have, among other things, a majority of independent directors and independent director oversight of executive compensation, nomination of directors and corporate governance matters. As a foreign private issuer, we are permitted to, and we do, follow home country practice in lieu of these requirements. For more information, see “Item 6. Directors, Senior Management and Employees – C. Board Practices – Differences between Italian Laws and Nasdaq Requirements.” As long as we rely on the foreign private issuer exemption to certain of the Nasdaq’s corporate governance standards, a majority of the directors on our board of directors are not required to be independent directors. Therefore, our board of directors’ approach to governance may be different from that of a board of directors consisting of a majority of independent directors, and, as a result, the management oversight of our company may be more limited than if we were subject to all of the Nasdaq Stock Market’s corporate governance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shareholders may not have the same protection afforded to shareholders of companies that are subject to all of the corporate governance standards, and the ability of our independent directors to influence our business policies and affairs may be reduced.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taxable in a jurisdiction other than Italy, and this may increase the aggregate tax burden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incorporation, we have, on a continuous basis, had our place of effective management in Italy. We are therefore a tax resident of Italy under Italian tax law. However, we may become subject to limited income tax liability in other countries with respect to our operations in other countries, for example, the U.S., due to the existence of a permanent establishment or a permanent representative. The applicable tax laws or interpretations thereof may change. We have our place of effective management in Italy and, as such, we believe we are tax residents in Italy, although that determination is largely a matter of fact and degree based on all the circumstances, rather than a question of law, which facts and degree may also change. Changes to applicable laws or interpretations thereof and changes to applicable facts and circumstances (for example, a change of board members or the place where board meetings take place), may result in us becoming a tax resident of a jurisdiction other than Italy. Consequently, our overall effective income tax rate and income tax expense could materially increase, which could have a material adverse effect on our business, results of operations, financial condition and prospects. However, if there is a double tax treaty between Italy and the respective other country, double taxation of income may be avoided, and the detrimental tax effects mitigated by the application of the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Italian Law and Our Operations in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Italian corporation. The rights of our shareholders may be different from the rights of shareholders in companies governed by the laws of U.S.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Italian corporation. Our corporate affairs are governed by our articles of association and by the laws governing companies incorporated in Italy. The rights of our shareholders and the responsibilities of members of our board of directors may be different from the rights and obligations of shareholders and directors of companies governed by the laws of U.S. jurisdictions. While performing its duties, our board of directors is required by Italian law to act with the diligence required by the nature of their assignment and by their specific expertise. Italian corporate law limits the ability of our shareholders to challenge resolutions made or other actions taken by our board of directors in court. Our shareholders generally are not permitted to file a suit to reverse or void a decision or an action taken by our board of directors, except for those decisions that are detrimental to their rights. If a board resolution has not been taken in accordance with the Italian law or the Company’s articles of association, only the board of statutory auditors and the absent or dissenting members of the board of directors may challenge it within 90 days of such resolution. However, the shareholders may, where they represent the thresholds provided for by Italian law, bring corporate liability action against our directors where they have acted in violation of their duties of conduct. Individual shareholders may also take action for compensation for the damage directly caused to them by the director’s conduct. Under Italian law, shareholders’ claims against a member of our board of directors for breach of their duties of conduct must be filed in Milan, Italy, as the place where the Company was incorporated.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shares are not listed in Italy, our home jurisdiction. As a result, our shareholders will not benefit from certain provisions of Italian law that are designed to protect shareholders in a public takeover offer or a change-of-control transaction and may not be protected in the same degree in a public takeover offer or a change-of-control transaction as are shareholders of certain U.S. companies or in an Italian company listed in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ADSs are listed exclusively on Nasdaq and not on Italy’s stock exchange, our shareholders do not benefit from the protection afforded by certain provisions of Italian law that are designed to protect shareholders in the event of a public takeover offer or a change-of-control transaction. For example, Article 120 of the Italian Financials’ Consolidated Act and its implementing provisions require investors to disclose their interest in the relevant listed company if they reach, exceed, or fall below certain ownership thresholds. Similarly, the Italian takeover regime imposes a duty on any person or group of persons who acquires more than the 30% of a company’s voting rights (or the 25% if such company is not a small-medium enterprise, where there is no other shareholder holding a higher stake) to make a mandatory offer for all the Company’s outstanding listed equity securities. In addition, the Italian takeover regime imposes certain restrictions and obligations on bidders in a voluntary public takeover offer that are designed to protect shareholders. However, these protections are applicable only to issuers that list their equity securities in Italy and, because the ADSs are listed exclusively on Nasdaq, are not applicable to us. Furthermore, since Italian law restricts our ability to implement rights plans or U.S.-style “poison pills,” our ability to resist an unsolicited takeover attempt or to protect minority shareholders in the event of a change of control transaction may be limited. Therefore, our shareholders may not be protected in the same degree in a public takeover offer or a change-of-control transaction as are shareholders in certain U.S. companies or in an Italian company listed in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ability of shareholders to bring actions or enforce judgments against us or our directors and executive officers may be limited. Claims of U.S. civil liabilities may not be enforceable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Italy and our registered office and domicile is in Milan, Italy. Moreover, a majority of our directors and executive officers are not residents of the U.S., and all or a substantial portion of our assets are located outside the U.S. As a result, it may not be possible for investors to effect service of process within the U.S. upon us or upon such persons or to enforce against them judgments obtained in U.S. courts, including judgments in actions predicated upon the civil liability provisions of the federal securities laws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process of seeking to raise additional funds is cumbersome, subject to the verification of an Italian notary public in compliance with our bylaws and applicable law and may require prior approval of our shareholders at an extraordinary shareholder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Republic of Italy. The principal laws and regulations that apply to our operations, those of Italy and the E.U., are different from those of the U.S. With some exceptions, to issue new equity or debt securities convertible into equity, we must increase our authorized capital. To do so, our board of directors must meet and resolve to recommend that our shareholders approve an amendment to our bylaws increasing our capital. The holders of the majority of our outstanding shares must then approve that amendment at an extraordinary shareholder meeting duly called. These meetings take time to call, and it might be very difficult to get a majority of the holders of all outstanding shares to vote in favor of the proposed resolution. In addition, an Italian notary public must verify that the capital increase follows our bylaws and with applicable Italian law. Further, under Italian law, our existing shareholders, the holders of our mandatory convertible bonds and any other holders of convertible securities have preemptive rights (except in specific cases) to acquire any such shares pro-rated on their percentage interest in our company, and on the same terms as approved for such capital increase. Alternatively, our shareholders can delegate the power to increase our capital to the board of directors, but the board’s right to exercise such power, if delegated, will expire after five years. If the board does not approve a capital increase by the end of those five years, our board, and shareholders will need to meet again to re-delegate this authority.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shareholder resolutions approving a capital increase, Italian law provides that in the absence of meeting minutes, or in the event of the impossibility or illegality of the resolution, any interested person may, for a period of 180 days following the filing of the shareholder resolution with the competent Register of Companies, challenge such resolution. If a shareholder meeting was not called to approve the capital increase, the relevant resolution should be considered invalid and, any interested person may challenge the capital increase for a period of 90 days following the approval of the financial statements referring to the year during which the shareholder resolution has been, also partially, executed. In addition, once our shareholders authorize a capital increase, all those authorized shares that have been subscribed, need to be entirely paid-up before the shareholders may perform/execute a new capital increase. These restrictions could limit our ability to issue new equity or convertible debt securities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Italian law places restrictions on the amount of debt securities that we may issue relative to our equity to the extent that such debt securities are not listed on regulated markets or do not otherwise provide the holder of such securities the right to purchase or convert the same into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we may issue debt securities in an amount not to exceed twice the sum of our capital, our legal reserve and any other disposable reserves appearing on our latest Italian GAAP balance sheet approved by our shareholders, unless the debt securities are listed on regulated markets or provide the holder of such securities the right to purchase or convert the same into our shares, in which case such restrictions do not apply. The legal reserve is a reserve to which we allocate 5% of our Italian GAAP net income each year until it equals at least 20% of our capital. One of the other reserves that we maintain on our balance sheet is a “share premium reserve,” meaning amounts paid for our ordinary shares in excess of the amount of such ordinary shares that is allocated to the capital. At December 31, 2024, the sum of our capital, legal reserves and other reserves on our unaudited Italian GAAP financial statements was €23.9 million before the Italian GAAP net loss of 8.0 million for the period. If, in the future, we issue debt securities that are not listed on regulated markets or do not provide the holder of the securities the right to purchase or convert the same into our shares, until such debt securities are repaid in full, we may not voluntarily reduce our capital or allocate our reserves (such as by declaring dividends) if it results in the aggregate of the capital and reserves being less than half of the outstanding amount of the debt. In such a case, if our equity is reduced by losses or otherwise such that the amount of the outstanding debt securities is more than twice the amount of our equity, some legal scholars are of the opinion that the ratio must be restored through a recapitalization of our company. If our equity is reduced, we could recapitalize by issuing new shares or having our shareholders contribute additional capital to us, although there can be no assurance that we would be able to find purchasers of new shares or that any of our current shareholders would be willing to contribute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suffer losses that reduce our capital to less than €50,000, we will need to recapitalize, change our form of entity, or be liquidated.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requires us to reduce our shareholders’ equity and, our capital, to reflect on-going losses, in certain cases of losses exceeding 1/3 of the capital of the Company. Also, as an S.p.A., we are also required to maintain a minimum capital of €50,000. If we suffer losses from operations that reduce our capital to less than €50,000, then we must either increase our capital (which we could do by issuing new shares or having our shareholders contribute additional capital to our company) to at least €50,000 (or convert the form of our company into an S.r.l. but such conversion would not be applicable, since the S.r.l. form is not consistent with being listed pursuant to Italian law). If we do not take these steps, our company could be liquidated.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our operational losses against our legal reserves and capital. If our capital is reduced by more than one-third as a result of losses, our board of directors must call a shareholder meeting as soon as possible. The shareholders should take appropriate measures, which may include, inter alia, reducing the legal reserves and capital by the amount of the remaining losses, or carrying the losses forward for up to one year. If the shareholders vote to carry the losses forward up to one year, and the losses are still more than one-third of the amount of the capital at the end of the year, then we must reduce our capital by the amount of the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Italian labor laws could impair our flexibility to restructure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Italy, our employees are protected by various laws which afford them consultation rights with respect to specific matters regarding their employers’ business and operations, including the downsizing or closure of facilities and employee terminations. In particular, among other applicable Italian laws: (i) Laws no. 604/1966, 300/1970 and 92/2012 regulate the individual dismissals; (ii) Law no. 223/1991, concerns the collective dismissal procedure; (iii) Law no. 428/1990 as amended by legislative decree no. 18/2001, provides for the information and consultation procedure in case of a transfer of the undertaking or a part thereof; (iv) Legislative decree no. 25/2007, introduces a general right to information and consultation for employees and (v) Legislative Decree no. 23/2015 regulates the consequences of individual dismissals with specific reference to the employees hired starting from March 7, 2015.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of our ordinary shares and ADSs may be exposed to increased transaction costs because of the Italian financial transaction tax or the proposed European financial transaction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2013, the European Commission adopted a proposal for a directive on the financial transaction tax (“E.U. FTT”) to be implemented under the enhanced cooperation procedure by eleven Member States initially (Austria, Belgium, Estonia, France, Germany, Greece, Italy, Portugal, Slovenia, Slovakia, and Spain). Following Estonia’s formal withdrawal on March 16, 2016, ten Member States are currently participating in the negotiations on the proposed directive. Member States may join or leave the group of participating Member States at later stages and, subject to an agreement being reached by the participating Member States, a final directive will be enacted. The participating Member States will then implement the directive in local legislation. If the proposed directive is adopted and implemented in local legislation, investors in ordinary shares and ADSs may be exposed to increased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Italian financial transaction tax (the “IFTT”) applies with respect to trades entailing the transfer of (i) shares or equity-like financial instruments issued by companies resident in Italy, such as the ordinary shares; and (ii) securities representing the shares and financial instruments under (i) above (including depositary receipts such as the ADSs), regardless of the residence of the issuer. The IFTT may also apply to the transfer of ordinary shares and ADSs by a U.S. resident. The IFTT does not apply to companies having an average market capitalization lower than €500 million in the month of November of the year preceding the year in which the trade takes place. In order to benefit from this exemption, companies whose securities are listed on a foreign regulated market, such as the Company, need to be included on a list published annually by the Italian Ministry of Economy and Finance. The Company is in the process with the relevant procedures to be included in such list. For so long as the Company is not included in such list, investors in the ordinary shares and ADSs may be exposed to increased transaction costs. See “Item 10. Additional Information—E.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investors outside of Italy to enforce civil liabilities against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Italy and our registered office and domicile is in Milan, Italy. A majority of our directors and executive officers are not residents of the U.S., and all or a substantial portion of our assets are located outside the U.S. As a result, it may not be possible for investors to effect service of process within the U.S. upon us or upon such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 of U.S. courts may not be directly enforceable outside of the U.S. and the enforcement of judgments of U.S. courts outside of the U.S. may be subject to limitations. Investors may also have difficulties pursuing an original action brought in a court in a jurisdiction outside the U.S. for liabilities under the securities laws of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loyalty share program could have a negative effect on the liquidity of our ADSs and may make it more difficult for investors to acquire a controlling interest, change the management or the strategy of our Company or exercise influence over us, which may adversely affect the market price of the ADSs</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Further, our loyalty share program is available only to holders who own their ordinary shares in registered form, and the ability of ADS holders to influence corporate decisions may therefore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shareholders’ meeting held on May 2, 2024, our shareholders approved a loyalty share program through an amendment to our bylaws. The loyalty share program gives shareholders the opportunity to request to be included on a special list maintained by us and thereby receive increased votes for each ordinary share held in registered form after certain continuous periods of ownership of such ordinary shares. For more information regarding our loyalty share program, see “Item 10. Additional Information. B. Memorandum and Articles of Association.”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loyalty share program, shareholders who hold a significant quantity of ordinary shares in registered form for the continuous periods prescribed in our bylaws and who request and are included on the special list could be in a position to exercise a significant percentage of votes at meetings of shareholders and have substantial influence over our Company. A qualifying shareholder is entitled to a double vote (i.e., two votes for each ordinary share) for each ordinary share in registered form held by the same shareholder for a continuous period of not less than 24 months. An additional vote is also granted for each additional continuous 12-month period the same shareholder holds such ordinary share, for up to a total of ten votes per ordinary share. Continuous ownership prior to the registration date in the special list is taken into account. Furthermore, only shareholders who own their shares in registered form are entitled to take advantage of the loyalty share program and ADS holders are not entitled to additional voting rights. As a result, a relatively large proportion of our voting power may be concentrated in a relatively small number of registered shareholders who may have significant influence over us, and the ability of ADS holders to influence corporate decisions may therefore be limited. As a result, the loyalty share program may discourage change of control transactions that otherwise could involve payment of a premium over prevailing market prices for our ADSs or otherwise adversely impact the liquidity and market price of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Mandatory Convertible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Upon an event of default, we may not be able to make any redemption payments under the Mandatory Convertible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the Company and Fondazione Enea Tech e Biomedical (“Enea”), a private law foundation subject to the supervision of the Ministry of Enterprises and Made in Italy, entered into a Subscription Agreement (the “Subscription Agreement”) providing for the subscription of a mandatory convertible bond loan denominated “MANDATORY CONVERTIBLE LOAN GENENTA 2025-2028” (the “Mandatory Convertible Bond”) by Enea, with an aggregate nominal value of up to €20 million and consisting of up to a total of 2,000 bonds (the “Convertible Bonds”), each with a nominal value of €10,000 (the “Nominal Value”), to be issued in two tranches by the Company at an issue price per unit equal to €10,000 for 100% of the Nominal Value. Upon the occurrence of certain events of default, Enea may demand the early redemption of the Convertible Bonds for a cash amount equal to 100% of the total amount thereof. We may not have sufficient assets to repay Enea and a default would also likely significantly diminish the market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the Convertible Bonds may dilute the ownership interest of existing shareholders or may otherwise depress the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will automatically convert into ordinary shares of the Company (the “Conversion Shares”) on the earlier of (i) the occurrence of either (x) a Change of Control, which is defined as an acquisition by a person or group of persons not currently controlling the Company of more than 50% of the Company’s issued share capital with voting rights or a takeover bid and/or exchange offer launched on all of the Company’s outstanding ordinary shares and American depositary shares (“ADSs”) or (y) the completion of an Investment Round, which is defined as any further investment transactions in the Company’s share capital through the issuance of shares, convertible bonds, warrants or similar instruments for a total aggregate amount of €50,000,000 (the “Early Conversion Date” and, together with the Maturity Date, each a “Conversion Date”) and (ii) three years after the First Tranche Issue Date (the “Maturity Date”). The conversion of the Convertible Bonds into Conversion Shares will dilute the ownership interests of existing shareholders to the extent we deliver shares upon conversion of the Convertible Bonds. Any sales in the public market of the Conversion Shares could adversely affect prevailing market prices of our ADSs. In addition, the existence of the Convertible Bonds may encourage short selling by market participants because the conversion of the Convertible Bonds could be used to satisfy short positions, or the anticipated conversion of the Convertible Bonds into Conversion Shares could depress the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Convertible Bonds consist of two tranches: an initial tranche in the amount of €7,500,000 (the “First Tranche”) issued on March 19, 2025 (the “First Tranche Issue Date”) and a subsequent tranche in the amount of €12,500,000 (the “Second Tranche”) to be issued by September 19, 2026 (the “Second Tranche Issue Date” and, together with the First Tranche Issue Date, each an “Issue Date”). The issuance of the Second Tranche on the Second Tranche Issue Date is subject to a number of conditions precedent, including but not limited to the completion of investment transactions in the Company’s share capital through the issuance of shares, convertible bonds, warrants or similar instruments for a total aggregate amount of €32,500,000. If such investment transactions occur, and if the additional conditions precedent to the issuance of the Second Tranche are met, such investment transactions and the conversion of the Second Tranche into Conversion Shares may further dilute the ownership interest of existing shareholders or otherwise depress the price of our ADSs.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v_001"/>
      <w:bookmarkEnd w:id="49"/>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v_002"/>
      <w:bookmarkEnd w:id="50"/>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History and Operating Segment Evolution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founded in 2014 by San Raffaele Hospital (Ospedale San Raffaele or “OSR”) in Milan, a globally recognized premier research hospital for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with Pierluigi Paracchi (our CEO), Prof. Luigi Naldini (Chairman of our Executive Scientific Board) and Dr. Bernhard Gentner (a member of our Executive Scientific Board), to develop potential ground-breaking cell and gene cancer therapies. We leverage the vast experience in lentiviral vector (“LVV”) technology of the San Raffaele Telethon Institute for Gene Therapy (“SR-Tiget”). SR-Tiget, a joint venture between OSR and Fondazione Telethon (“Telethon”), is a world-leading cell and gene therapy research institution at the forefront of developing therapies for rare diseases. SR-Tiget has a proven track record for successful collaborative clinical research programs in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Its research has resulted in a number of approved products, including Strimvelis, an </w:t>
      </w: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 xml:space="preserve">gammaretroviral vector-based gene therapy for adenosine deaminase severe combined immunodeficiency, and Libmeldy, an </w:t>
      </w: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gene therapy for the treatment of early-onset metachromatic leukodystrophy patients, both marketed by Orchard Therapeutics. Our platform was developed in the SR-Tiget laboratories of our founders, Prof. Naldini and Dr. Gentner, and we hold exclusive rights and option rights, to certain intellectual property (“IP”) originating there.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closing our first round of funding in May 2015, we have recruited a leading management team, established a manufacturing process for our drug product candidates, completed preclinical activities (research and Good Laboratory Practice – “GLP” – grades), engaged with Italian, European and U.S. Key Opinion Leaders to identify our clinical lead indications, and submitted our first CTA.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has a proven track record as biotech executives. Their expertise spans from finance and venture capital to medical affairs, from scientific research to clinical drug product development and clinical trial management. For example, members of our management team have been involved in the successful development of Ethical Oncology Science, which was acquired in 2013 for over $400 million, and Strimvelis the first ever ex-vivo approved gene therapy product that was developed under the guidance of Dr. Carlo Russo, our Chief Medical Officer and Head of Development (formerly Head of Development of R&amp;D Biopharm and Rare Disease Units at GSK). Our management team members have played important roles in both large pharma companies such as Merck and GSK, and biotech startups, such as Adverum, Annapurna, VaxInnate Corporation, OncoSec Medical, Biological Dynamics and GenMark Diagnostics. We believe this multi-disciplinary competence provides a unique blend for the development of innovative gene and cell therapy products, and constitutes a fertile ground for alliances with industrial partners that could help us bring new therapies to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Via Olgettina No. 58, 20132 Milan, Italy and our telephone number is +39-02-2643-468120.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v_003"/>
      <w:bookmarkEnd w:id="51"/>
      <w:r>
        <w:rPr>
          <w:rFonts w:ascii="Times New Roman;Times;Serif" w:hAnsi="Times New Roman;Times;Serif"/>
          <w:b/>
          <w:i w:val="false"/>
          <w:caps w:val="false"/>
          <w:smallCaps w:val="false"/>
          <w:sz w:val="20"/>
        </w:rPr>
        <w:t>B. 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clinical-stage biotechnology company engaged in the development of hematopoietic stem cell gene therapies for the treatment of solid tumors. We have developed a novel biologic platform that involves the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to prevent tumor relapse. Our technology is not target dependent, and therefore we believe it can be used as a treatment for a broad variety of cancers.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incorporates the use of an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We believe there are many advantages to our approach: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Trojan Horse Mechanism of Action (“MoA”): </w:t>
            </w:r>
            <w:r>
              <w:rPr>
                <w:rFonts w:ascii="Times New Roman;Times;Serif" w:hAnsi="Times New Roman;Times;Serif"/>
                <w:b w:val="false"/>
                <w:i w:val="false"/>
                <w:caps w:val="false"/>
                <w:smallCaps w:val="false"/>
                <w:sz w:val="20"/>
              </w:rPr>
              <w:t>We use and modify TEMs, a subpopulation of tumor-associated myeloid cells, known to be involved in tumor growth and in the inhibition of immune system response, to allow the immune system to recognize the tumor and to deliver to the cancer site a chosen therapeutic.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Select Regulation of Transgene Expression: </w:t>
            </w:r>
            <w:r>
              <w:rPr>
                <w:rFonts w:ascii="Times New Roman;Times;Serif" w:hAnsi="Times New Roman;Times;Serif"/>
                <w:b w:val="false"/>
                <w:i w:val="false"/>
                <w:caps w:val="false"/>
                <w:smallCaps w:val="false"/>
                <w:sz w:val="20"/>
              </w:rPr>
              <w:t>Our selected control of the chosen therapeutic gene expression is designed to avoid off-target and systemic toxicity.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Potential Long-Term Effect: </w:t>
            </w:r>
            <w:r>
              <w:rPr>
                <w:rFonts w:ascii="Times New Roman;Times;Serif" w:hAnsi="Times New Roman;Times;Serif"/>
                <w:b w:val="false"/>
                <w:i w:val="false"/>
                <w:caps w:val="false"/>
                <w:smallCaps w:val="false"/>
                <w:sz w:val="20"/>
              </w:rPr>
              <w:t>Through the use of hematopoietic stem cells, our therapeutic candidate is designed as a “</w:t>
            </w:r>
            <w:r>
              <w:rPr>
                <w:rFonts w:ascii="Times New Roman;Times;Serif" w:hAnsi="Times New Roman;Times;Serif"/>
                <w:b w:val="false"/>
                <w:i/>
                <w:caps w:val="false"/>
                <w:smallCaps w:val="false"/>
                <w:sz w:val="20"/>
              </w:rPr>
              <w:t>living therapy</w:t>
            </w:r>
            <w:r>
              <w:rPr>
                <w:rFonts w:ascii="Times New Roman;Times;Serif" w:hAnsi="Times New Roman;Times;Serif"/>
                <w:b w:val="false"/>
                <w:i w:val="false"/>
                <w:caps w:val="false"/>
                <w:smallCaps w:val="false"/>
                <w:sz w:val="20"/>
              </w:rPr>
              <w:t>” intended to break the cancer-induced immune tolerance and to establish a competent immune surveillance throughout the life of the patient.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Agnostic Response</w:t>
            </w:r>
            <w:r>
              <w:rPr>
                <w:rFonts w:ascii="Times New Roman;Times;Serif" w:hAnsi="Times New Roman;Times;Serif"/>
                <w:b w:val="false"/>
                <w:i w:val="false"/>
                <w:caps w:val="false"/>
                <w:smallCaps w:val="false"/>
                <w:sz w:val="20"/>
              </w:rPr>
              <w:t>: In contrast to antigen-restricted CAR-T cells, our platform is not restricted to a pre-selected tumor antigen, nor any one tumor type. As such, it may be applied to a broad range of solid tumors and cancer subtypes, which would overcome one of the central unresolved challenges of immune-oncology cancer therapies.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Temferon, was developed using our proprietary platform and carries the interferon-alpha (“IFN-α”) payload. IFN-α is a well-known therapeutic that was previously administered intravenously for treatment of various cancers, but it is currently rarely used because of its systemic toxicity. The Temferon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modified TEMs express the transgene payload, IFN-α, in the tumor microenvironment, thereby reprogramming the Tumor Micro Environment (“TME”) which disrupts tumor induced immune-tolerance in blocks. Consequently, the immune system has been observed to recognize the tumor, respond, and inhibit tumor growth. Because Temferon is designed to deliver the IFN-α payload directly into the tumor, we believe it will demonstrate clinical activity without the side effect profile of systemic delivery of IFN-α. In preclinical mouse cancer models treated with Temferon both direct (anti-angiogenic, pro-apoptotic) and indirect (immune response) effects were observed.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developing Temferon for the treatment of glioblastoma multiforme (“GBM”) in patients who have an unmethylated MGMT gene promoter (“uMGMT-GBM”). GBM is the most common malignant primary brain tumor, accounting for more than half of all central nervous system cancers. Patients suffering from GBM have limited, non-curative treatment options. Although these treatments may improve survival, the prognosis for GBM patients remains poor, with a median overall survival (“mOS”) of approximately 13 to 15 months and only 5.5% of patients estimated to be alive five (5) years after diagnosis. With no curative treatments available and such poor prognosis for patients, there remains a large, unmet medical need. We chose uMGMT-GBM among our first targets for clinical development after considering the medical need, the active role that TEMs have in GBM pathology, and the high number of newly diagnosed uMGMT-GBM patients potentially interested in participating in our study. As a result, we believe uMGMT-GBM offers a good profile for our initial proof of concept trial in humans. The preliminary results in uMGT-GBM patients indicate that Temferon has been generally well tolerated, with no dose limiting toxicities observed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recently started a Phase 1/2a study of Temferon in metastatic Renal Cell Carcinoma (“mRCC”),the most common form of kidney cancer accounting for close to 74,000 new cases annually in the United States. Despite treatment with curative intent, about one-third of patients experience metastatic disease recurrence. Additionally, 30% of patients present with metastatic disease at the time of diagnosis. Metastatic RCC remains a highly lethal condition with a five-year overall survival (OS) rate of approximately 14%.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Temferon clinical programs for uMGMT-GBM and mRCC, we have exclusive option rights to license (i) Temferon for the treatment of additional indications, and (ii) other drug candidates that are currently in the preclinical stage of development both as standalone treatments and as combination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AGC Biologics facility in Bresso, Italy, will continue manufacturing LVV and Temferon to support Genenta’s trials. For further larger studies we may use AGC’s 60,000 square meter cell and gene therapy manufacturing facility located in Longmont, Colorado (U.S.), which AGC purchased from Novartis in July 2021 or another U.S.-based CMO.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portfolio of clinical and preclinical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autologous gene cancer therapies is based on our technology platform, which was originally developed in our founders’ laboratories at OSR. Through our collaboration with OSR, we have worldwide commercial rights to Temferon (though our current trademark rights to Temferon are limited to the U.S. and Europe) for the treatment of GBM, mRCC, as well as exclusive option rights to license all of our other programs. Specifically, pursuant to our amended and restated license agreement with OSR, we retain exclusive option rights to license (i) any platform improvements, including our second-generation technology, which includes developments to enable the on/off regulation of the therapeutic transgene, (ii) products for additional indications that utilize our platform technology but use different transgene payloads, and (iii) combinations of our platform with therapies in the immuno-oncology (“IO”) field, such as ICI, CAR-T cell therapies and TCR therapies. See “—Intellectual Property Rights— Collaboration/Licensing” for a description of our license agreements with OSR.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pipeline, with clinical and preclinical stage programs, is summarized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353425" cy="449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53425" cy="44958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*Genenta has options/rights on IP derived from preclinical data generated at SR-Tiget laboratories.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developing novel cancer therapeutics using our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platform, to initially address the unmet medical needs of uMGMT-GBM patients and patients suffering from other solid cancer indications such as advanced genitourinary malignancies like metastatic renal cell carcinoma. Ultimately, we hope to broaden our platform to treat a wide variety of cancers by pursuing the following strategies: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the development of our leading clinical-stage product candidate, Temferon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conducting two Phase 1/2a studies in Italy, to primarily evaluate the safety and tolerability of Temferon. We have completed the Phase 1 portion of the TEM-GBM Phase 1/2a study, which administered escalating doses of Temferon to GBM patients with an unmethylated MGMT promoter following radiotherapy. The study generated encouraging preliminary evidence of potential disease modification, including an increase in the percentage of long-term survivors (LTS) at two years compared to data reported in literature and from a registry which included matched patient population undergoing standard of care. We believe that these preliminary disease modification findings, along with the observed reprogramming of the tumor microenvironment (TME), provide a strong rationale to proceed in the clinical development of Temferon in GBM, particularly in combination with other immuno-oncology (I/O) therapies. In addition, the Phase 1/2a study in mRCC patients (TEM-GU study) offers a critical opportunity to evaluate the TME in a different solid tumor and to assess whether Temferon could restore sensitivity to TKIs or ICIs in patients who stopped responding to the TKIs or ICIs.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Extend our product pipeline across multiple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expand our product pipeline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Identifying additional indications suitable for Temferon. </w:t>
            </w:r>
            <w:r>
              <w:rPr>
                <w:rFonts w:ascii="Times New Roman;Times;Serif" w:hAnsi="Times New Roman;Times;Serif"/>
                <w:b w:val="false"/>
                <w:i w:val="false"/>
                <w:caps w:val="false"/>
                <w:smallCaps w:val="false"/>
                <w:sz w:val="20"/>
              </w:rPr>
              <w:t>We have selected Refractory Advanced Genitourinary Malignancies, including metastatic Renal Cell Carcinoma (“RCC”), as the second solid tumor indication for Temferon. We believe that results from ongoing clinical studies in GBM and mRCC will inform and guide future therapeutic strategies in these and other indications.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Using our platform with different transgene payloads</w:t>
            </w:r>
            <w:r>
              <w:rPr>
                <w:rFonts w:ascii="Times New Roman;Times;Serif" w:hAnsi="Times New Roman;Times;Serif"/>
                <w:b w:val="false"/>
                <w:i w:val="false"/>
                <w:caps w:val="false"/>
                <w:smallCaps w:val="false"/>
                <w:sz w:val="20"/>
              </w:rPr>
              <w:t>. Our platform technology is designed to enable us to use different transgene payloads to potentially achieve therapeutic outcomes in selected cancer indications. We are currently evaluating preclinical studies for two additional therapeutics using our platform with different payloads targeting solid tumors.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Developing a second-generation platform that enables the “on-demand” release of the transgene payload</w:t>
            </w:r>
            <w:r>
              <w:rPr>
                <w:rFonts w:ascii="Times New Roman;Times;Serif" w:hAnsi="Times New Roman;Times;Serif"/>
                <w:b w:val="false"/>
                <w:i w:val="false"/>
                <w:caps w:val="false"/>
                <w:smallCaps w:val="false"/>
                <w:sz w:val="20"/>
              </w:rPr>
              <w:t>. If we obtain convincing evidence on the ability of Temferon to slow down disease progression we intend to develop a second-generation technology platform that allows the drug products to be switched on to exert the therapeutic effects and switched off if they are no longer needed, or to mitigate toxicity. This technology may enable us to expand our treatment options to broader patient populations.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Exploring combination therapies</w:t>
            </w:r>
            <w:r>
              <w:rPr>
                <w:rFonts w:ascii="Times New Roman;Times;Serif" w:hAnsi="Times New Roman;Times;Serif"/>
                <w:b w:val="false"/>
                <w:i w:val="false"/>
                <w:caps w:val="false"/>
                <w:smallCaps w:val="false"/>
                <w:sz w:val="20"/>
              </w:rPr>
              <w:t>. We will seek to enter into collaborations with other companies to explore combination studies of our therapeutics with other cancer therapies, such as ICI, CAR-T cell therapies and TCR therapies. We believe our product, through its MoA, has the potential to enhance the durability and efficacy of the existing therapies, including restoring responsiveness in cases where these treatments were previously administered but lost effectiveness over time, thereby overcoming immune tolerance to the tumor and extend the durability of the response.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Exploiting in-licensing opportunities with OSR</w:t>
            </w:r>
            <w:r>
              <w:rPr>
                <w:rFonts w:ascii="Times New Roman;Times;Serif" w:hAnsi="Times New Roman;Times;Serif"/>
                <w:b w:val="false"/>
                <w:i w:val="false"/>
                <w:caps w:val="false"/>
                <w:smallCaps w:val="false"/>
                <w:sz w:val="20"/>
              </w:rPr>
              <w:t>. We intend to exploit in-licensing opportunities with OSR, a co-founding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 and maintain efficient manufacturing processes to support anticipated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meet our drug product supply needs for conducting larger trials, we intend to optimize our manufacturing processes for both lentiviral vector (LVV) and drug product (DP) production with a focus on meeting regulatory requirements for Marketing Authorization Application (MAA). This includes implementing scalable processes to enable cost-efficient production at a significantly reduced cost and exploring the potential for decentralized manufacturing approaches to further enhance flexibility, accessibility, and efficiency in delivering our product to patients. Currently, Temferon, is manufactured by the European Cell and Gene Therapy unit of AGC Biologics, a leading global contract development and manufacturing organization (“CDMO”), which is headquartered in Italy and specializes in the manufacturing of viral vectors and genetically engineered cells. AGC Biologics’ facility is certified by AIFA. AGC also has a 60,000 square meter cell and gene therapy manufacturing facility located in Longmont, Colorado (U.S.), which AGC purchased from Novartis in July 2021.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Establish a patient-centered infrastructure and strong relationships with key U.S. opinion leaders working in our disease area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cell and gene-based therapies are relatively new approaches in oncology, we intend to implement programs to improve patient and physician education regarding the availability of gene therapy-based products for those cancers with a high unmet medical need. We have established a network of leading U.S. Key Opinion Leaders (“KOLs”), which include:Antonio Chiocca, MD, Professor Neurosurgeon-in-Chief and Chairman, Department of Neurosurgery at Brigham and Women’s Hospital in Boston, MA; Frederick Lang, MD, Professor and Chairman of the Department of Neurosurgery at MD Anderson in Houston, TX; and David A. Reardon, MD, Department of Medical Oncology at Dana-Farber Cancer Institute in Boston, MA; Timothy F. Cloughesy, MD, Professor of Clinical Neurology Director of Neuro-Oncology Program at University of California Los Angeles (UCLA); Richard Everson, MD, Assistant Professor, Department of Neurosurgery at UCLA; Donald B. Kohn, MD, Distinguished Professor Depts. of MIMG, Pediatrics and MMP at UCLA; Robert Prins, PhD, Associate Professor Neurosurgery at UCLA; and Patrick Wen, MD, Professor of Neurology, Harvard Medical School, Director of the Center For Neuro-Oncology at Dana-Farber Brigham Hospital.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 opportunistic partnership(s) with pharmaceutical company(s)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partner with pharmaceutical companies whose core competencies and oncology strategies are in line with ours. These partnerships could include the provision of market-approved therapies for combination testing with Temferon, enabling us to explore synergistic effects and expand potential therapeutic indications. Additionally, we are open to establishing clinical development collaborations with other biotech companies that have complementary products in development. Such partnerships would allow us to leverage combined expertise, accelerate clinical progress, and create innovative treatment options for patients with high unmet medical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our growing body of early clinical data evidencing the potential of our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 coupled with our founders’ expertise in the development, manufacturing and commercialization of gene and cell therapies, positions us well to provide potentially transformative therapies through a single administration to patients suffering from a broad range of cancers. We believe our key strengths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Unique and valuable expertise. </w:t>
            </w:r>
            <w:r>
              <w:rPr>
                <w:rFonts w:ascii="Times New Roman;Times;Serif" w:hAnsi="Times New Roman;Times;Serif"/>
                <w:b w:val="false"/>
                <w:i w:val="false"/>
                <w:caps w:val="false"/>
                <w:smallCaps w:val="false"/>
                <w:sz w:val="20"/>
              </w:rPr>
              <w:t xml:space="preserve">We are conducting our clinical trials at OSR, a leading center for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for inherited diseases. OSR has treated more than 121 patients worldwide (one of the highest number of patients treated with gene therapy for rare diseases in a research hospital), using an ex-vivo viral vector platform similar to the one we are developing for cancer treatment. Members of our executive leadership team have held senior positions at GSK, Merck, Annapurna-Adverum and other companies specializing in gene and cell therapies and rare diseases. We have partnered with academic institutions that are pioneers in autologous </w:t>
            </w: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gene therapy and hold exclusive option rights to license additional patents and know-how to build our portfolio. Partnerships with leading academic institutions well recognized in the gene therapy field, such as SR-Tiget and OSR, are a core part of our research engine through which we are working to advance the clinical development of our product candidates and to identify new opportunities that we believe have comparably high probabilities of success in a preclinical setting. We believe our expertise, combined with our plan to leverage our relationships with leading academic institutions, will help expedite the commercialization of our lead clinical-stage product candidate and further expand our pipeline.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Deep pipeline with broad utility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We believe that the flexibility of our technology platform combined with our exclusive option rights to in-license additional programs, gives us the ability to grow our pipeline by targeting a broad set of cancer diseases.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Durable therapeutic potential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Preliminary data from the Phase 1 TEM-GBM study in uMGMT-GBM patients demonstrated the presence of Temferon-derived modified cells up to 24 months following a single administration of Temferon, the latest timepoint assessed within the study. Additionally, data from the long-term surveillance protocol, which tracks patients beyond two years post-treatment, further reinforces the sustained therapeutic effect observed, highlighting the potential for durable outcomes.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Designed for tumor restricted therapeutic payload delivery and release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design of our transgene expression cassette is intended to restrict payload expression to the tumor microenvironment. The local and tumor restricted therapeutic gene deployment approach is designed to focus the pleiotropic anti-tumor activities of the selected payload, by limiting the toxic manifestation that results from standard systemic administration of the payload.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Agnostic approach. </w:t>
            </w:r>
            <w:r>
              <w:rPr>
                <w:rFonts w:ascii="Times New Roman;Times;Serif" w:hAnsi="Times New Roman;Times;Serif"/>
                <w:b w:val="false"/>
                <w:i w:val="false"/>
                <w:caps w:val="false"/>
                <w:smallCaps w:val="false"/>
                <w:sz w:val="20"/>
              </w:rPr>
              <w:t>Our immune-gene therapy is designed as a tumor-agnostic immunotherapy, not dependent on any specific antigen target or tumor type. We believe it has the potential to be effectively applied across a broad spectrum of cancers and immune contexts, offering a versatile approach to treatment.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Solid tumors targeting. </w:t>
            </w:r>
            <w:r>
              <w:rPr>
                <w:rFonts w:ascii="Times New Roman;Times;Serif" w:hAnsi="Times New Roman;Times;Serif"/>
                <w:b w:val="false"/>
                <w:i w:val="false"/>
                <w:caps w:val="false"/>
                <w:smallCaps w:val="false"/>
                <w:sz w:val="20"/>
              </w:rPr>
              <w:t>Our platform has the potential to effectively target solid tumors, which remain challenging to treat, even by the most novel and leading-edge technologies such as ICIs and CAR-T cells. Our cellular carrier, TEMs, is naturally and actively recruited by growing tumors and has been detected in various human solid tumors, regardless of their origin or location, enhancing the versatility and reach of our therapeutic approach.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Active and sustained tumor surveillance. </w:t>
            </w:r>
            <w:r>
              <w:rPr>
                <w:rFonts w:ascii="Times New Roman;Times;Serif" w:hAnsi="Times New Roman;Times;Serif"/>
                <w:b w:val="false"/>
                <w:i w:val="false"/>
                <w:caps w:val="false"/>
                <w:smallCaps w:val="false"/>
                <w:sz w:val="20"/>
              </w:rPr>
              <w:t>Our immune-gene investigational therapy is designed to trigger the patient’s own immune response and establish an active immune surveillance. Our preclinical work, which used different cancer models (B-cell acute lymphoblastic leukemia and GBM) as well as preliminary data collected from our uMGMT-GBM patients, suggests the occurrence of changes in the TME.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Patient-Specific Formulation. </w:t>
            </w:r>
            <w:r>
              <w:rPr>
                <w:rFonts w:ascii="Times New Roman;Times;Serif" w:hAnsi="Times New Roman;Times;Serif"/>
                <w:b w:val="false"/>
                <w:i w:val="false"/>
                <w:caps w:val="false"/>
                <w:smallCaps w:val="false"/>
                <w:sz w:val="20"/>
              </w:rPr>
              <w:t>Our platform offers the potential to precisely adjust the dose to be administered based on individual patient characteristics. Through the ex-vivo modification of the patient’s own HSPCs and cryopreservation, we formulate the patient-specific drug product prior to therapy administration, which has the potential to enable an optimized and personalized treatment approach.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Preliminary data indicate that our approach is feasible and well-tolerated. </w:t>
            </w:r>
            <w:r>
              <w:rPr>
                <w:rFonts w:ascii="Times New Roman;Times;Serif" w:hAnsi="Times New Roman;Times;Serif"/>
                <w:b w:val="false"/>
                <w:i w:val="false"/>
                <w:caps w:val="false"/>
                <w:smallCaps w:val="false"/>
                <w:sz w:val="20"/>
              </w:rPr>
              <w:t>To date, Temferon has been well-tolerated with no dose-limiting toxicities.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LVV as transgene payload delivery vehicles. </w:t>
            </w:r>
            <w:r>
              <w:rPr>
                <w:rFonts w:ascii="Times New Roman;Times;Serif" w:hAnsi="Times New Roman;Times;Serif"/>
                <w:b w:val="false"/>
                <w:i w:val="false"/>
                <w:caps w:val="false"/>
                <w:smallCaps w:val="false"/>
                <w:sz w:val="20"/>
              </w:rPr>
              <w:t xml:space="preserve">LVVs are particularly attractive for clinical applications due to their capacity to transfer large genes/payloads and their ability to efficiently transduce non-proliferating or slowly proliferating cells, such as hematopoietic stem and progenitor cells that allow a persistent gene expression in transduced cells. Moreover, LVVs have a potentially reduced risk of genotoxicity compared to gamma-retroviral vectors. A large number of patients have been treated both with other LVV gene therapy products approved for sale and with clinical-stage LVV gene therapy product candidates for rare diseases worldwide, and generally these therapies have been well tolerated. We believe that long-term extensive follow-up across multiple diseases, with vectors expressing different genes, demonstrates the potential safety of our LVV-based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Applicability to a potentially large number of patients and indications</w:t>
            </w:r>
            <w:r>
              <w:rPr>
                <w:rFonts w:ascii="Times New Roman;Times;Serif" w:hAnsi="Times New Roman;Times;Serif"/>
                <w:b w:val="false"/>
                <w:i w:val="false"/>
                <w:caps w:val="false"/>
                <w:smallCaps w:val="false"/>
                <w:sz w:val="20"/>
              </w:rPr>
              <w:t xml:space="preserve">. With the advancements in the manufacturing and scaleup of cell and gene therapy products, we believe our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 has broad therapeutic potential across a large number of malignancies. The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transduction of HSPCs allows for the potentially long-term production of a differentiated cellular carrier loaded with the therapeutic gene and the consequent distribution of the therapeutic payload throughout multiple organs and tissues containing solid tumors.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Current IO Treatments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new therapeutic approaches and new drugs having been developed or approved, substantial unmet need remains for many of the most common cancers. Immuno-oncology therapies seek to work in conjunction with the patient’s own immune system to recognize and attack cancer cells selectively, without affecting normal cells, or to deliver immune system components that prevent the spread of cancer.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Immuno-oncology therapy is recognized as an important type of cancer treatment in addition to more established options such as surgery, chemotherapy, targeted therapy and radiation therapy. Indeed, the global immunotherapy drugs market size was USD 240.19 billion in 2023 and USD 284.38 billion in 2024 and is expected to reach around USD 1,300.38 billion by 2033, expanding at a compound annual growth rate of 18.4% from 2024 to 2033. The Cancer Research Institute  has classified immunotherapies, which harness the body’s immune system to combat cancers, into five primary categories: cell-based immunotherapy, immunomodulators, vaccines, antibody-based target therapy, and oncolytic viruses.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258300" cy="4762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58300" cy="47625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525000" cy="3038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25000" cy="3038475"/>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Limitations of IO Approaches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significant advances, the clinical application of immunotherapy for cancer patients still faces challenges, including:</w:t>
      </w:r>
    </w:p>
    <w:p>
      <w:pPr>
        <w:pStyle w:val="TextBody"/>
        <w:bidi w:val="0"/>
        <w:spacing w:before="0" w:after="0"/>
        <w:ind w:left="0" w:right="0" w:hanging="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75"/>
        <w:gridCol w:w="170"/>
        <w:gridCol w:w="82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tumor resistance (positive selection of tumor cells bearing advantageous mutations);</w:t>
            </w:r>
          </w:p>
        </w:tc>
      </w:tr>
    </w:tbl>
    <w:p>
      <w:pPr>
        <w:pStyle w:val="TextBody"/>
        <w:bidi w:val="0"/>
        <w:spacing w:before="0" w:after="0"/>
        <w:ind w:left="0" w:right="0" w:hanging="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on specific targets and in many cases highly heterogenic tumor antigens;</w:t>
            </w:r>
          </w:p>
        </w:tc>
      </w:tr>
    </w:tbl>
    <w:p>
      <w:pPr>
        <w:pStyle w:val="TextBody"/>
        <w:bidi w:val="0"/>
        <w:spacing w:before="0" w:after="0"/>
        <w:ind w:left="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response for many patients;</w:t>
            </w:r>
          </w:p>
        </w:tc>
      </w:tr>
    </w:tbl>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 durable response;</w:t>
            </w:r>
          </w:p>
        </w:tc>
      </w:tr>
    </w:tbl>
    <w:p>
      <w:pPr>
        <w:pStyle w:val="TextBody"/>
        <w:bidi w:val="0"/>
        <w:spacing w:before="0" w:after="0"/>
        <w:ind w:left="0"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75"/>
        <w:gridCol w:w="170"/>
        <w:gridCol w:w="10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Side effects;</w:t>
            </w:r>
          </w:p>
        </w:tc>
      </w:tr>
    </w:tbl>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 for multiple dosing for most IO classes; and</w:t>
            </w:r>
          </w:p>
        </w:tc>
      </w:tr>
    </w:tbl>
    <w:p>
      <w:pPr>
        <w:pStyle w:val="TextBody"/>
        <w:bidi w:val="0"/>
        <w:spacing w:before="0" w:after="0"/>
        <w:ind w:left="0" w:right="0" w:hanging="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170"/>
        <w:gridCol w:w="39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efficiently target many solid tumors.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 for Solid Tumors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success of IO therapies for some hematological cancers, significant gaps remain in the development of efficacious IO therapies for solid tumors. There are still several challenges that IO therapies need to resolve to treat solid tumors including the ability to target delivery of a therapeutic to the solid tumor and identification of suitable prominent cell surface targets. Cell therapies have not been as successful in solid tumors in comparison to blood cancers mainly because of the absence of a suitable prominent cell surface target and the high risk of toxicity when a potential solid tumor target is expressed, even at a low level, on normal tissue. Even if targets for solid tumors with a suitable tumor-selectivity profile can be identified, other factors may limit the activity of cell therapies, including limited cell-therapy penetration and distribution, low oxygen concentration (hypoxia) barriers around cancers that may prevent T cell access to the tumor, expression by tumor cells of certain checkpoint genes and an inability to target multiple antigens at the same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overcome the current limitations of IO therapies in solid tumors, a new, effective tumor therapeutic must:</w:t>
      </w:r>
    </w:p>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70"/>
        <w:gridCol w:w="36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a local and tumor-targeted delivery;</w:t>
            </w:r>
          </w:p>
        </w:tc>
      </w:tr>
    </w:tbl>
    <w:p>
      <w:pPr>
        <w:pStyle w:val="TextBody"/>
        <w:bidi w:val="0"/>
        <w:spacing w:before="0" w:after="0"/>
        <w:ind w:left="0" w:right="0" w:hanging="0"/>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170"/>
        <w:gridCol w:w="22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maximize on-target effects;</w:t>
            </w:r>
          </w:p>
        </w:tc>
      </w:tr>
    </w:tbl>
    <w:p>
      <w:pPr>
        <w:pStyle w:val="TextBody"/>
        <w:bidi w:val="0"/>
        <w:spacing w:before="0" w:after="0"/>
        <w:ind w:left="0" w:right="0" w:hanging="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reach the desired therapeutic index;</w:t>
            </w:r>
          </w:p>
        </w:tc>
      </w:tr>
    </w:tbl>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170"/>
        <w:gridCol w:w="32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minimize the off-target side effects; and</w:t>
            </w:r>
          </w:p>
        </w:tc>
      </w:tr>
    </w:tbl>
    <w:p>
      <w:pPr>
        <w:pStyle w:val="TextBody"/>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provide long term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technology utilizes a novel mechanism of action that we believe has the potential to address the limitations and challenges of current IO technologies. Through a single administration, our platform is designed to provide a broadly applicable treatment to deliver a tumor-targeted therapeutic, including to solid tumors. It does so by exploiting a naturally occurring cancer-induced biological process, allowing for the local delivery of the payload with a potentially durable response, in a manner that we believe will limit systemic toxicity. The ability to deliver localized and tumor-targeted payloads, by avoiding systemic or off-target toxicity, may also allow for the use of well-established immunotherapies, such as the immunomodulator IFN-α, that has shown efficacy but has had limited therapeutic applications due to side effects associated with its systemic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Specifically, we adapted an autologous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method to direct the patient’s own HSPCs by loading them with an immunotherapeutic transgene sequence, or payload, that we believe can counteract cancer progression and prevent tumor relapse. We believe that by delivering a targeted therapeutic specific to cancer cells, we can reach the desired on-target anti-tumor effect while reducing off-target side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technology employs the following key components:</w:t>
      </w:r>
    </w:p>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170"/>
        <w:gridCol w:w="35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the patient’s own autologous HSPCs;</w:t>
            </w:r>
          </w:p>
        </w:tc>
      </w:tr>
    </w:tbl>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185"/>
        <w:gridCol w:w="39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of LVVs for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HSPCs transduction;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payload delivery within the TME using specific tumor-associated myeloid cell (Tie2-expressing monocytes – “TEMs”). This “cell-confined” transgene expression is ensured by the selected promoter (Tie-2 promoter) and the imposed post-transcriptional regulation layer represented by a miRNA target sequence (miRNA-126 target sequences).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image below illustrates the steps of our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approach to transform patient’s autologous HSPCs into a therapeutic product.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572500" cy="441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44196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Illustration of our ex-vivo approach (steps 1-2-3) and treatment process (step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Patient’s HSPCs are harvested by means of an apheresis process, and (2)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modified by an LVV. The obtained drug product is frozen and stored for clinical use (3). When needed, the therapeutic product may be thawed and infused back in patient’s blood stream (4). The engineered HSPCs will repopulate the entire hematopoietic system, giving rise to differentiated progeny bearing the introduced modification</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HSPCs are the Source of the Delivery Vehicle for Our Gene Therapy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re-introducing gene-modified HSPCs into the patient, we seek to take advantage of the self-renewing and multi-differentiation capability of HSPCs to enable durable and potentially long-term effects following a single treatment. HSPCs are self-renewing cells that can differentiate into all types of blood cells, including white blood cells, red blood cells and platelets. HSPCs can be obtained directly from the bone marrow or from the patient’s peripheral blood with the use of a mobilizing agent that induces HSPCs to relocate from the bone marrow into the peripheral blood where they may be collected by apheresis. The advantages of using a patient’s own HSPCs include the absence of graft versus host disease (GVHD) that could occur using allogeneic cells, and the potential long-term treatment durability of this approach.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Ex-vivo LVV based Transduction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collection, a functional copy of the therapeutic gene is inserted into the patient’s own HSPCs using a non-replicating LVV. This is an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process called transduction.  We believe that LVVs are the first choice for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in humans because they can (i) carry large transgenes that will allow us to expand the therapeutic options to a multitude of payloads without “size” limits and (ii) efficiently transduce non-proliferating, or slowly proliferating cells, such as hematopoietic stem and progenitor cells. Most importantly, there is already an abundance of safety data generated using these vectors to develop investigational products currently under clinical testing, including CARs, TCRs, as well as commercial products such as Kymriah</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(CD-19 CAR-T, Novartis Pharma) and Zynteglo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(β-Thal, Bluebird Bio). With more than 100 clinical trials either completed or in progress using LVVs worldwide, this delivery method accounts for more than a third of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modified gene therapy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extensive clinical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studies, based on LVV gene transfer, have been performed in recent years by SR-Tiget for the prevention and treatment of some severe inherited disorders, resulting in approved drugs, such as Libmeldy</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These studies have shown that LVVs constitute a valuable and safer alternative to gamma-retroviral vectors, enabling a more efficient gene transfer into HSPCs and resulting in a robust and long-term transgene expression in their progeny. The studies also have demonstrated an alleviated risk of genotoxicity because of the vector design.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Differences exist between LVVs used for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transduction that could, in theory, lead to differences in the long-term safety profile of products, particularly in terms of genotoxic potential. Use of strong promoters in conditions where a high pre-existing risk for hematologic malignancies exists, such as sickle cell disease (“SCD”), could in the long-term (i.e. 5 years or more) contribute to the development of leukemia. There have been several significant adverse side effects in gene therapy treatments involving an ex-vivo transduced lentivirus vector (“LVV”) gene therapy product, Bluebird Bio’s elivaldogene autotemcel (“Lenti-D”), involving two SUSARs for cases of acute myeloid leukemia (“AML”), and one case involving myelodysplastic syndrome.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Bluebird Bio temporary suspended its gene therapy clinical trials for SCD (HGB-206 and HGB-210) and the marketing of Zynteglo</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due to a suspected unexpected serious adverse reaction (“SUSAR”) of acute myeloid leukemia (AML) in a SCD patient who received the product more than five years ago. In July 2021, the European Medicines Agency’s (“EMA”) safety committee (Pharmacovigilance Risk Assessment Committee – “PRAC”) announced that there is no evidence the LVV used in both Lenti-D and the E.U.-approved gene therapy Zynteglo spurred the AML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Bluebird Bio announced on August 9, 2021 that the SUSAR involving myelodysplastic syndrome occurred in one patient treated with Lenti-D over a year earlier. Bluebird Bio stated that this SUSAR “was likely mediated by Lenti-D lentiviral vector (LVV) insertion,” and that “specific design features of Lenti-D LVV likely contributed to this event.” As a result of this SUSAR, the FDA has placed a clinical hold on Bluebird Bio’s Lenti-D phase 3 trial for cerebral adrenoleukodystrophy.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intrinsic characteristics of the LVV we have selected as well as the properties of the promoter and control mechanisms, combined with HSPCs’ ability to self-renew, allow for a stable integration of the modified gene into the HSPCs and their related differentiated progeny, potentially achieving long-term safety and protection after only a single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Tumor-Targeted Payload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technology, used by all of our product candidates including Temferon, is designed to turn TEMs, which normally have an affinity for and travel to tumors, into a “Trojan Horse” to deliver a tumor-targeted payload. The technology enables the payload to be expressed in TEMs and not in other types of cells. The following key components make up our platform technology: (i) a Tie-2 promoter that drives transgene sequence transcription specifically in TEMs, and (ii) a post-transcriptional regulation layer represented by miRNA-126 target sequences that induces the downregulation of the transgene expression in those cells where the Tie2 promoter is active and the miRNA-126 target sequence is present. This transcriptional / post-transcriptional regulatory mechanism prevents off-target effects and allows the expression of the payload by the selected cellular carrier (TEMs).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transgene payload expression cassette consists of two key components: the Tie-2 promoter (RED) and miRNA-126 target sequences (LIGHT BLUE)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3"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Tie-2 promoter. </w:t>
            </w:r>
            <w:r>
              <w:rPr>
                <w:rFonts w:ascii="Times New Roman;Times;Serif" w:hAnsi="Times New Roman;Times;Serif"/>
                <w:b w:val="false"/>
                <w:i w:val="false"/>
                <w:caps w:val="false"/>
                <w:smallCaps w:val="false"/>
                <w:sz w:val="20"/>
              </w:rPr>
              <w:t>The Tie-2 promoter enables the transformation of TEMs into a “Trojan Horse”, to deliver the therapeutic payload within the tumor microenvironment. Tumor development and progression is a multi-step process leading to cancer growth. The so called “angiogenic switch” is one of the required steps and refers to a time-restricted event during tumor progression where the balance between pro- and anti-angiogenic factors tilts towards a pro-angiogenic outcome, resulting in the transition from a “dormant” avascularized tumor to an outgrowing vascularized cancer. It is well recognized that TEMs play an active role in this regard. Indeed, TEMs are actively recruited by proliferating tumors, through signals produced by the cancer cells or stromal/endothelial components, to promote the neo-vascularization and to contribute to the establishment of an immunosuppressive tumor microenvironment that leads to the failure in tumor eradication by the immune system. Amongst chemoattractant factors of monocytes, angiopoietins (Ang) play a crucial role. These are adhesion molecules and known vascular growth factors expressed by peritumoral blood vessels. One Ang in particular, Ang-2, attracts TEMs, which binds to the Tie-2 receptor. Expression of Ang-2 is upregulated by tumor hypoxia and may function as a chemoattractant for Tie2-expressing monocytes. Moreover, TEMs’ penetration into the tumor microenvironment in response to these stimuli cause Tie-2 receptor upregulation, which enhances the delivery of the payload to the tumor. Since TEMs recruitment is a naturally occurring event in the tumor development process and is a key aspect shared by several different cancers, we believe that our platform which enables the tumor targeted delivery of therapeutics represents a unique approach that may have broad applicability.</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8" w:type="dxa"/>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(ii)</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miRNA-126 target sequences</w:t>
            </w:r>
            <w:r>
              <w:rPr>
                <w:rFonts w:ascii="Times New Roman;Times;Serif" w:hAnsi="Times New Roman;Times;Serif"/>
                <w:b w:val="false"/>
                <w:i w:val="false"/>
                <w:caps w:val="false"/>
                <w:smallCaps w:val="false"/>
                <w:sz w:val="20"/>
              </w:rPr>
              <w:t>. The miRNA-126 target sequence serves as a post-transcriptional regulation layer that allows the expression of the transgene payload only in cells where miRNA-126 is not expressed. In our case, because miRNA-126 is highly expressed in HSPCs but down-regulated in the differentiated progeny, it switches off transgene expression in the stem and progenitor cell compartment. Indeed, Tie2 is a weak promoter expressed, in the hematopoietic compartment, by Tie2-expressing monocytes and by hematopoietic stem cells (“HSC”). In HSC, it works as a membrane-bound receptor that keeps HSC cell-to-cell interaction and adhesion with the bone marrow niche and preserves the HSC quiescent/low proliferating state.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8572500" cy="4133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4133850"/>
                    </a:xfrm>
                    <a:prstGeom prst="rect">
                      <a:avLst/>
                    </a:prstGeom>
                  </pic:spPr>
                </pic:pic>
              </a:graphicData>
            </a:graphic>
          </wp:inline>
        </w:drawing>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Post-transcriptional control mechanism of transgene expression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Transgene expression is allowed only in cells where miRNA-126 is not expressed; (1) mRNA is transcribed into the nucleus (2) the transgene is then translated in the cytoplasm and released.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In those cells expressing miRNA-126 the payload production is prohibited; (1) mRNA is transcribed into the nucleus (2) miRNA-126 recognizes its target sequences on the mRNA and forms double strands of RNA (3) that are degraded or block the translation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8572500" cy="2571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25717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Transgene payload expression as the result of the transcriptional (promoter) and post-transcriptional regulation (miRNA-126 target sequence) imposed by our expression cassette.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combining our built-in post-transcriptional control mechanism (</w:t>
      </w:r>
      <w:r>
        <w:rPr>
          <w:rFonts w:ascii="Times New Roman;Times;Serif" w:hAnsi="Times New Roman;Times;Serif"/>
          <w:b w:val="false"/>
          <w:i/>
          <w:caps w:val="false"/>
          <w:smallCaps w:val="false"/>
          <w:sz w:val="20"/>
        </w:rPr>
        <w:t>miRNA-126 target sequences</w:t>
      </w:r>
      <w:r>
        <w:rPr>
          <w:rFonts w:ascii="Times New Roman;Times;Serif" w:hAnsi="Times New Roman;Times;Serif"/>
          <w:b w:val="false"/>
          <w:i w:val="false"/>
          <w:caps w:val="false"/>
          <w:smallCaps w:val="false"/>
          <w:sz w:val="20"/>
        </w:rPr>
        <w:t>), with TEMs designed as a “Trojan Horse,” will allow our platform to restrict transgene expression and avoid systemic toxicity while reaching the therapeutic index to drive efficacy.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Leading Product Candidate: Temferon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product candidate, Temferon, consists of genetically modified HSPCs which use our platform to deliver interferon-alpha (“IFN-α”), within the tumor microenvironment via TEMs (HSPCs differentiated myeloid progeny). The IFN-α reduces angiogenesis, counteracts tumor cells proliferation and breaks the established immune-tolerance, enabling the immune system to recognize the tumor. IFN-α is a proven and known immunomodulatory molecule, or cytokine, that has limited clinical use due to the systemic toxicity associated with its intravenous administration. Our technology is designed to protect the HSPCs from IFN-α mediated activation that could negatively impact their repopulation capacity as reported in some studies of repeated systemic administration of high doses of IFN-α. We believe that this protection technology, whereby we restrict payload expression to TEMs, and the release of IFN-α within the TME, has the potential to provide efficacy without inducing systemic toxicity.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TEMs are associated with the growth of numerous cancer types, including solid tumors, we believe that Temferon is tumor type and tumor target agnostic and therefore may be used across a large variety of cancers. Currently, we are developing Temferon for uMGMT-GBM and mRCC.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43910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43910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 of Temferon manufacturing process and mechanism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Patient’s </w:t>
      </w:r>
      <w:r>
        <w:rPr>
          <w:rFonts w:ascii="Times New Roman;Times;Serif" w:hAnsi="Times New Roman;Times;Serif"/>
          <w:b/>
          <w:i/>
          <w:caps w:val="false"/>
          <w:smallCaps w:val="false"/>
          <w:sz w:val="20"/>
        </w:rPr>
        <w:t>HSPCs</w:t>
      </w:r>
      <w:r>
        <w:rPr>
          <w:rFonts w:ascii="Times New Roman;Times;Serif" w:hAnsi="Times New Roman;Times;Serif"/>
          <w:b w:val="false"/>
          <w:i/>
          <w:caps w:val="false"/>
          <w:smallCaps w:val="false"/>
          <w:sz w:val="20"/>
        </w:rPr>
        <w:t xml:space="preserve"> are harvested, (1) </w:t>
      </w:r>
      <w:r>
        <w:rPr>
          <w:rFonts w:ascii="Times New Roman;Times;Serif" w:hAnsi="Times New Roman;Times;Serif"/>
          <w:b/>
          <w:i/>
          <w:caps w:val="false"/>
          <w:smallCaps w:val="false"/>
          <w:sz w:val="20"/>
        </w:rPr>
        <w:t>ex-vivo</w:t>
      </w:r>
      <w:r>
        <w:rPr>
          <w:rFonts w:ascii="Times New Roman;Times;Serif" w:hAnsi="Times New Roman;Times;Serif"/>
          <w:b w:val="false"/>
          <w:i/>
          <w:caps w:val="false"/>
          <w:smallCaps w:val="false"/>
          <w:sz w:val="20"/>
        </w:rPr>
        <w:t xml:space="preserve"> modified by </w:t>
      </w:r>
      <w:r>
        <w:rPr>
          <w:rFonts w:ascii="Times New Roman;Times;Serif" w:hAnsi="Times New Roman;Times;Serif"/>
          <w:b/>
          <w:i/>
          <w:caps w:val="false"/>
          <w:smallCaps w:val="false"/>
          <w:sz w:val="20"/>
        </w:rPr>
        <w:t>LVVs</w:t>
      </w:r>
      <w:r>
        <w:rPr>
          <w:rFonts w:ascii="Times New Roman;Times;Serif" w:hAnsi="Times New Roman;Times;Serif"/>
          <w:b w:val="false"/>
          <w:i/>
          <w:caps w:val="false"/>
          <w:smallCaps w:val="false"/>
          <w:sz w:val="20"/>
        </w:rPr>
        <w:t xml:space="preserve"> (2) and re-introduced back in patient’s blood stream (3). Once recruited within the tumor microenvironment, TEMs release IFN-α that reduces angiogenesis, counteracts tumor cells proliferation and enables the immune system to recognize the tumor.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Temferon for uMGMT-GBM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GBM is a solid tumor affecting the brain. We have chosen this indication due to the following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High unmet medical need. </w:t>
            </w:r>
            <w:r>
              <w:rPr>
                <w:rFonts w:ascii="Times New Roman;Times;Serif" w:hAnsi="Times New Roman;Times;Serif"/>
                <w:b w:val="false"/>
                <w:i w:val="false"/>
                <w:caps w:val="false"/>
                <w:smallCaps w:val="false"/>
                <w:sz w:val="20"/>
              </w:rPr>
              <w:t>The prognosis for GBM patients remains poor with few therapeutic options having limited clinical benefits.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Temferon’s MoA targets TEMs which have an active role in uMGMT-GBM pathology. </w:t>
            </w:r>
            <w:r>
              <w:rPr>
                <w:rFonts w:ascii="Times New Roman;Times;Serif" w:hAnsi="Times New Roman;Times;Serif"/>
                <w:b w:val="false"/>
                <w:i w:val="false"/>
                <w:caps w:val="false"/>
                <w:smallCaps w:val="false"/>
                <w:sz w:val="20"/>
              </w:rPr>
              <w:t>GBMs are highly vascularized tumors that critically depend on the generation of tumor-associated blood vessels. Several studies demonstrate that infiltrating myeloid cells, including Tie2-expressing monocytes, contribute significantly to tumor angiogenesis, presumably by secreting pro-angiogenic factors and promoting malignant glioma growth by creating a local immunosuppressive microenvironment. Moreover, TEMs have been identified in the normal/tumor boundary from human biopsy samples of GBM patients who received treatment to reduce angiogenesis using the anti-VEGF treatment bevacizumab, and the Tie2 pathway has been implicated in the triggering of a bevacizumab-mediated VEGF-independent angiogenesis that explains the long-term refractoriness of GBMs to anti-VEGF treatment.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Immunosuppressive tumor microenvironment. </w:t>
            </w:r>
            <w:r>
              <w:rPr>
                <w:rFonts w:ascii="Times New Roman;Times;Serif" w:hAnsi="Times New Roman;Times;Serif"/>
                <w:b w:val="false"/>
                <w:i w:val="false"/>
                <w:caps w:val="false"/>
                <w:smallCaps w:val="false"/>
                <w:sz w:val="20"/>
              </w:rPr>
              <w:t>GBM is characterized by an immunosuppressive microenvironment that is mediated by tumor associated myeloid cells (including TEMs) that prevent the immune system from recognizing and rejecting the tumor. Our treatment approach is designed to exploit TEMS to deliver IFN-α to the tumor so that the immune system recognizes the tumor and halts tumor cell proliferation and recurrence.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Availability of a “competent” immune system. </w:t>
            </w:r>
            <w:r>
              <w:rPr>
                <w:rFonts w:ascii="Times New Roman;Times;Serif" w:hAnsi="Times New Roman;Times;Serif"/>
                <w:b w:val="false"/>
                <w:i w:val="false"/>
                <w:caps w:val="false"/>
                <w:smallCaps w:val="false"/>
                <w:sz w:val="20"/>
              </w:rPr>
              <w:t>Our approach relies on a patient’s immune system being capable of providing an immune response upon recognition of the tumor. Therefore, we believe newly diagnosed uMGMT-GBM patients who have relatively “competent” immune systems, not yet damaged by repeated cycles of chemotherapies, are strong candidates for our candidate.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Compelling preclinical data. </w:t>
            </w:r>
            <w:r>
              <w:rPr>
                <w:rFonts w:ascii="Times New Roman;Times;Serif" w:hAnsi="Times New Roman;Times;Serif"/>
                <w:b w:val="false"/>
                <w:i w:val="false"/>
                <w:caps w:val="false"/>
                <w:smallCaps w:val="false"/>
                <w:sz w:val="20"/>
              </w:rPr>
              <w:t>Our preclinical studies, published in peer-reviewed papers, suggest that TEMs play an active role in uMGMT-GBM, and when used as a “Trojan Horse,” may significantly shrink the tumor and control disease progression. In more recent unpublished studies, we have also demonstrated, in a preclinical immunocompetent GBM mouse model, that treatment by Temferon resulted in a long-lasting immune response in surviving mice, even after repeated tumor challenge intended to replicate possible tumor recurrences.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Market Opportunity. </w:t>
            </w:r>
            <w:r>
              <w:rPr>
                <w:rFonts w:ascii="Times New Roman;Times;Serif" w:hAnsi="Times New Roman;Times;Serif"/>
                <w:b w:val="false"/>
                <w:i w:val="false"/>
                <w:caps w:val="false"/>
                <w:smallCaps w:val="false"/>
                <w:sz w:val="20"/>
              </w:rPr>
              <w:t>Based on currently available treatments, the global market size for all GBM is projected to grow to over $6 billion by 2032. We believe a novel therapeutic, which demonstrates improvement over existing therapies would greatly increase the market size.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discussing other studies using Temferon in solid tumor indications, for which we are considering patients with unmet medical needs suffering from solid tumors which recruit TEMs in order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Disease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GBM is the most common malignant primary brain tumor accounting for more than half of all central nervous system cancers and for which there is a high unmet medical need. The incidence rate is 3.20 per 100,000 persons with over 13,000 deaths per year in the U.S. This disease is lethal, and left untreated, the median survival is three (3) months. The current standard of care includes using a combination of surgery, radiation therapy, and chemotherapy for treatment. Although these treatments may improve survival, the prognosis for GBM patients remains poor with a mOS of approximately 13 to 15 months and only 5.5% of patients estimated to be alive 5 years after diagnosis. GBM may occur at any age, but 70% of cases are seen in patients between 45 and 70 years of age (median 64 years). The disease often progresses rapidly (over 2 to 3 months). Neurological signs are nonspecific as they result from intracranial hypertension and include headaches and vomiting, often associated with behavioral changes or focal neurological deficits. Variants of GBM include secondary glioblastoma (20% of total diagnosed GBM), gliosarcoma (2%) and giant cell glioblastoma (1%). We are not including these variants in our studies because they do not fully meet our selection criteria discussed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Treatment Landscape and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standard of care for GBM includes surgery to remove the accessible tumor followed by radiation therapy (“RTx”), chemotherapy with temozolomide (“TMZ”) and/or tumor treating fields (“TTFields”).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Surgery </w:t>
            </w:r>
            <w:r>
              <w:rPr>
                <w:rFonts w:ascii="Times New Roman;Times;Serif" w:hAnsi="Times New Roman;Times;Serif"/>
                <w:b w:val="false"/>
                <w:i w:val="false"/>
                <w:caps w:val="false"/>
                <w:smallCaps w:val="false"/>
                <w:sz w:val="20"/>
              </w:rPr>
              <w:t>remains the mainstay of initial treatment. If the tumor is located in a resectable region of the brain, it is used to histologically confirm the diagnosis and level of tumor burden. For many patients, removal of the tumor also results in a decrease of tumor mass-associated symptoms. Although the extent of the surgical removal of the tumor is linked to longer survival, due to the invariably infiltrative nature of the disease, even the complete removal of the accessible tumor is not curative and most people with GBM later develop recurrent tumors either near the original site or at more distant locations within the brain. Additionally, as a possible consequence of surgical procedures, permanent brain damage may occur.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Radiation therapy </w:t>
            </w:r>
            <w:r>
              <w:rPr>
                <w:rFonts w:ascii="Times New Roman;Times;Serif" w:hAnsi="Times New Roman;Times;Serif"/>
                <w:b w:val="false"/>
                <w:i w:val="false"/>
                <w:caps w:val="false"/>
                <w:smallCaps w:val="false"/>
                <w:sz w:val="20"/>
              </w:rPr>
              <w:t>improves survival and is typically started approximately three (3) to four (4) weeks after surgery. RTx is performed daily for approximately six (6) weeks. RTx induces the formation of neo-antigens and a pro-inflammatory response that are key aspects for immune system mediated disease control. However, the efficacy of RTx is impaired by hypoxia and by the negative effects of RTx on tumor infiltrating immune cells.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Chemotherapy. </w:t>
            </w:r>
            <w:r>
              <w:rPr>
                <w:rFonts w:ascii="Times New Roman;Times;Serif" w:hAnsi="Times New Roman;Times;Serif"/>
                <w:b w:val="false"/>
                <w:i w:val="false"/>
                <w:caps w:val="false"/>
                <w:smallCaps w:val="false"/>
                <w:sz w:val="20"/>
              </w:rPr>
              <w:t>Temozolomide, the current chemotherapeutic standard of care, is a DNA-alkylating agent that can cross the blood-brain barrier to reach therapeutic concentrations in the brain. The drug is administered every day during radiation therapy and then for six to 12 cycles after radiation as a maintenance therapy. Each cycle lasts 28 days, with TMZ given the first five days of each cycle, followed by 23 days of rest. TMZ adds a methyl group to DNA that, if unrepaired, leads to DNA strand breaks and cytotoxicity. More than one-third of glioblastomas are deficient in methylguanine methyltransferase (“MGMT”), a repair protein that removes the methyl group. This MGMT deficiency occurs through the methylation (silencing) of the MGMT gene promoter. Glioblastoma patients with a silenced MGMT gene who are treated with TMZ have a longer survival than those with an unmethylated MGMT. TMZ has several adverse side effects, including a cumulative bone marrow toxicity.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Tumor-Treating Fields (TTFields)</w:t>
            </w:r>
            <w:r>
              <w:rPr>
                <w:rFonts w:ascii="Times New Roman;Times;Serif" w:hAnsi="Times New Roman;Times;Serif"/>
                <w:b w:val="false"/>
                <w:i w:val="false"/>
                <w:caps w:val="false"/>
                <w:smallCaps w:val="false"/>
                <w:sz w:val="20"/>
              </w:rPr>
              <w:t>. The use of TTFields to extend temozolomide maintenance chemotherapy for newly diagnosed glioblastoma patients has recently been incorporated as a new standard of care. TTFields are applied via multiple electrodes that are directly fixed to the scalp. These low-intensity, alternating electrical fields interfere with cell division ultimately leading to cell cycle arrest, aneuploidy, and apoptosis. The most common TTFields-associated adverse events (AEs) are mild-to-moderate array-associated contact dermatitis.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Experimental Treatments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Along with the above-mentioned treatments, the addition of the antiangiogenic agent bevacizumab (BEV) to RTx and TMZ has been explored with mixed clinical results BEV was tested both a first-line treatment together with RTx and concomitant TMZ administration in newly diagnosed glioblastoma patients, as well as in combination with RTx in recurrent GBM patients. BEV was approved by the FDA as monotherapy for recurrent glioblastoma in 2009 under the name Avastin®. The EMA declined to approve BEV for recurrent glioblastoma due to the absence of a non-bevacizumab control arm, a modest overall survival increment versus historic controls, inadequate elucidation of true antitumor effect, and challenges with radiographic response assessment. More recently, an immune-checkpoint blocker nivolumab was tested in combination with TMZ and RTx in a Phase 3 trial in recurrent glioblastoma patients but showed minimal activity and no benefit in terms of mOS, resulting in failure to meet one of its primary endpoints, PFS.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available GBM surgical treatments have not been able to prevent GBM recurrence because of the infiltrative nature of this disease and the absence of an effective immune system. A therapeutic able to cross the blood-brain barrier and selectively impact proliferation of cancer cells independently from the region of the brain where the tumor resides would be a significant advancement.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investigational product, Temferon, has the potential to address the world unmet need of patients suffering from GBM. Through a single administration, we believe Temferon may be able to provide a long-lasting immune response, minimize systemic toxicity, counteract cancer progression and prevent tumor relapse.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Temferon utilizes our platform and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therapy approach to introduce a functional copy of IFN-α which is Temferon’s transgene payload, into the patient’s autologous HSPCs, resulting in a drug product that can then be reintroduced into the patient as outlined above (</w:t>
      </w:r>
      <w:r>
        <w:rPr>
          <w:rFonts w:ascii="Times New Roman;Times;Serif" w:hAnsi="Times New Roman;Times;Serif"/>
          <w:b w:val="false"/>
          <w:i/>
          <w:caps w:val="false"/>
          <w:smallCaps w:val="false"/>
          <w:sz w:val="20"/>
        </w:rPr>
        <w:t>see “Our Leading Product Candidate: Temferon” and “Our Platform”</w:t>
      </w:r>
      <w:r>
        <w:rPr>
          <w:rFonts w:ascii="Times New Roman;Times;Serif" w:hAnsi="Times New Roman;Times;Serif"/>
          <w:b w:val="false"/>
          <w:i w:val="false"/>
          <w:caps w:val="false"/>
          <w:smallCaps w:val="false"/>
          <w:sz w:val="20"/>
        </w:rPr>
        <w:t>). Temferon is designed to colonize the patient’s bone marrow with the genetically modified HSPCs to continuously generate TEMs containing the IFN-α payload. Since TEMs are recruited within the tumor microenvironment, IFN-α is released solely at the targeted tumor, which may result in clinical activity without inducing systemic toxicity.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Once within the tumor microenvironment, IFN-α is expected to act both </w:t>
      </w:r>
      <w:r>
        <w:rPr>
          <w:rFonts w:ascii="Times New Roman;Times;Serif" w:hAnsi="Times New Roman;Times;Serif"/>
          <w:b w:val="false"/>
          <w:i/>
          <w:caps w:val="false"/>
          <w:smallCaps w:val="false"/>
          <w:sz w:val="20"/>
        </w:rPr>
        <w:t>directly</w:t>
      </w:r>
      <w:r>
        <w:rPr>
          <w:rFonts w:ascii="Times New Roman;Times;Serif" w:hAnsi="Times New Roman;Times;Serif"/>
          <w:b w:val="false"/>
          <w:i w:val="false"/>
          <w:caps w:val="false"/>
          <w:smallCaps w:val="false"/>
          <w:sz w:val="20"/>
        </w:rPr>
        <w:t xml:space="preserve"> by promoting cancer cell apoptosis and inhibiting vascularization and </w:t>
      </w:r>
      <w:r>
        <w:rPr>
          <w:rFonts w:ascii="Times New Roman;Times;Serif" w:hAnsi="Times New Roman;Times;Serif"/>
          <w:b w:val="false"/>
          <w:i/>
          <w:caps w:val="false"/>
          <w:smallCaps w:val="false"/>
          <w:sz w:val="20"/>
        </w:rPr>
        <w:t xml:space="preserve">indirectly </w:t>
      </w:r>
      <w:r>
        <w:rPr>
          <w:rFonts w:ascii="Times New Roman;Times;Serif" w:hAnsi="Times New Roman;Times;Serif"/>
          <w:b w:val="false"/>
          <w:i w:val="false"/>
          <w:caps w:val="false"/>
          <w:smallCaps w:val="false"/>
          <w:sz w:val="20"/>
        </w:rPr>
        <w:t>by restoring the body’s anti-tumor immune response,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Direct Effects. </w:t>
            </w:r>
            <w:r>
              <w:rPr>
                <w:rFonts w:ascii="Times New Roman;Times;Serif" w:hAnsi="Times New Roman;Times;Serif"/>
                <w:b w:val="false"/>
                <w:i w:val="false"/>
                <w:caps w:val="false"/>
                <w:smallCaps w:val="false"/>
                <w:sz w:val="20"/>
              </w:rPr>
              <w:t>IFN-α suppresses tumor cell proliferation and promotes the apoptosis of tumor and stromal cells by induction of proapoptotic genes or repression of anti-apoptotic genes. Moreover, IFN-α inhibits angiogenesis by downregulating the expression of proangiogenic factors.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Additional Effects. </w:t>
            </w:r>
            <w:r>
              <w:rPr>
                <w:rFonts w:ascii="Times New Roman;Times;Serif" w:hAnsi="Times New Roman;Times;Serif"/>
                <w:b w:val="false"/>
                <w:i w:val="false"/>
                <w:caps w:val="false"/>
                <w:smallCaps w:val="false"/>
                <w:sz w:val="20"/>
              </w:rPr>
              <w:t>IFN-α stimulates early innate immune responses and the subsequent adaptive immune response via multiple pathways and mechanisms, including: maturation and cross-priming capacity of dendritic cells (“DCs”); upregulation of the expression of tumor-associated surface antigens and MHC class I molecules on tumor cells and of MHC class I and II molecules on DCs; enhanced priming and survival of T cells; enhanced humoral immunity; increased cytotoxic activity of NK cells and macrophages; control of helper T cell population balance (Th1=Th2); immunoglobulin class switching of B cells; and the regulation of CD8+ cytotoxic T-lymphocyte responses.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through these immunomodulatory functions and based on our preclinical data, IFN-α increases tumor immunogenicity, recruits and activates immune cells within the tumor milieu, breaks established tumor-induced immunotolerance and may induce tumor rejection.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572500" cy="42957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4295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 of Temferon antitumor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recruited at the tumor site, instead of fostering tumor growth and inhibiting the immune systems, TEMs start to release IFN-α that triggers cancer cell apoptosis and arms the immune cells to fight the cancer.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Development of Temferon in uMGMT-GBM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Preclinical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2008, a study conducted by De Palma et. al., demonstrated the potential of Tie2-expressing monocytes (TEMs) as vehicles for targeted interferon-alpha (IFN-α) delivery in cancer therapy. By exploiting the tumor-homing properties of TEMs, researchers achieved localized IFN-α delivery, resulting in significant inhibition of tumor growth and metastasis across various tumor models, including glioblastoma multiforme (GBM). Specifically, in the GBM model, treatment with TEM-mediated IFN-α delivery led to a substantial reduction in tumor burden and prolonged survival in treated animals, showcasing the potential for TEMs to modulate the tumor microenvironment effectively (PubMed PMID 18835032). Building upon this approach, a 2022 study conducted by Birocchi et. al., further highlighted the therapeutic potential of IFN-α in GBM treatment. Using a platform for inducible and localized cytokine delivery, researchers achieved controlled IFN-α release within the tumor microenvironment, demonstrating robust anti-tumor effects. This approach was observed to not only inhibit tumor growth but also reprogram the GBM microenvironment toward a pro-inflammatory and anti-tumor state. Notably, localized delivery mitigated the systemic toxicity typically associated with recombinant IFN-α administration, underscoring the importance of spatial and temporal control in enhancing efficacy and safety (PubMed PMID 35857642). Collectively, these studies underscore the therapeutic potential of utilizing TEMs and controlled cytokine delivery for targeted GBM treatment, offering promising avenues for enhancing anti-tumor immunity and controlling tumor progression.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Phase 1/2a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TEM-GBM study is a single-arm, open label, dose escalation, Phase 1/2a clinical trial, designed to evaluate the feasibility, safety, tolerability, biological activity (Phase 1) and efficacy (Phase 2) of Temferon in glioblastoma patients with an unmethylated MGMT gene (“uMGMT-GBM”). The trial is being conducted at two clinical centers of excellence located in Milan,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Istituto Nazionale Neurologico “</w:t>
      </w:r>
      <w:r>
        <w:rPr>
          <w:rFonts w:ascii="Times New Roman;Times;Serif" w:hAnsi="Times New Roman;Times;Serif"/>
          <w:b w:val="false"/>
          <w:i/>
          <w:caps w:val="false"/>
          <w:smallCaps w:val="false"/>
          <w:sz w:val="20"/>
        </w:rPr>
        <w:t>Carlo Besta</w:t>
      </w:r>
      <w:r>
        <w:rPr>
          <w:rFonts w:ascii="Times New Roman;Times;Serif" w:hAnsi="Times New Roman;Times;Serif"/>
          <w:b w:val="false"/>
          <w:i w:val="false"/>
          <w:caps w:val="false"/>
          <w:smallCaps w:val="false"/>
          <w:sz w:val="20"/>
        </w:rPr>
        <w:t>”, an internationally recognized leading center in neuroscience, specializing in the diagnosis and treatment of neurological diseases in adults and children, and (ii) OSR, which has a recognized expertise in complex and innovative diagnostic and therapeutic approaches in onco-hematological patients and in gene therapy treatments.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Study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investigational treatment involves the use of autologous CD34+-enriched hematopoietic progenitor cells genetically modified with a lentiviral vector encoding human interferon-α2. This therapy is specifically targeted at adult patients aged 18 to 70 years with GBM characterized by an unmethylated O-6-methylguanine-DNA methyltransferase (MGMT) gene promoter, a subgroup known for poorer response to standard therapies. We believe this trial represents an innovative strategy for modulating the tumor microenvironment and enhancing anti-tumor immunity in GBM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uMGMT-GBM patients are identified immediately after surgery, upon confirmation of the diagnosis and MGMT methylation status. After enrollment, each patient is screened for eligibility, and if eligible is subjected to the mobilization procedure to induce HSPCs to exit from the bone marrow niche and to migrate into the peripheral blood where they are collected by leukapheresis. Immediately after collection, each patient’s HSPCs are sent to our CMO to be genetically modified and become Temferon. Escalating doses of Temferon (0.5-4 x 106 cells/kg) are administered via autologous stem cell transplant (ASCT) following the conditioning regimen, and after the administration of unmodified supporter stem cells. The study has been designed to test different ASCT conditioning regimens (BCNU+tiothepa, busulfan+tiothepa, busulfan monotherapy) as well as administering varying quantities of supporter cells (2-3 x 106 cells/kg) to identify the optimal setting for ensuring engraftment and durability of the drug product and as an effort to optimizing the benefit/risk ratio. We believe that this design enables the study not only to identify the most effective approach for enhancing the engraftment and persistence of Temferon cells but will also allow for optimization of the therapeutic outcome. After Temferon administration, each patient will be followed for two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figure below depicts the different stages of TEM-GBM study enrollment and treatment.</w:t>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8572500" cy="4819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0" cy="4819650"/>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objectives of the dose-escalation phase (Phase 1) of the study are focused on determining the maximum tolerated dose (MTD) of the genetically modified cells and identifying the recommended dose to be carried forward into Phase 2. These objectives are pursued by closely monitoring dose-limiting toxicities (DLTs) and assessing treatment-related adverse events (AEs). Additionally, the study aims to assess the overall safety profile of the therapy, which includes evaluating any significant toxicities linked to both the harvesting of hematopoietic stem/progenitor cells (HSPCs) and the administration of the genetically modified cells. The secondary objectives include assessing the engraftment of the genetically modified cells in patients, monitoring the pharmacokinetics and pharmacodynamics, and evaluating early indicators of anti-tumor activity. These include important clinical endpoints such as progression-free survival (PFS) and overall survival (OS). The study also seeks to explore biomarkers related to the modulation of immune responses and potential changes in the tumor microenvironment that may indicate therapeutic efficacy. Moreover, the study will assess clinical responses using standard iRANO criteria, which includes tracking responses such as complete response (CR), partial response (PR), stable disease (SD), and progressive disease (PD). Survival metrics will be evaluated at various timepoints, and quality of life (QoL) will be measured using scales such as the Eastern Cooperative Oncology Group Performance Status (ECOG) and Karnofsky Performance Status (KPS). These tools will help monitor changes over time, enabling to gauge both the physical well-being and the functional capacity of patients as the study progresses. Through these comprehensive objectives, we believe the study will allow not only to assess the safety and tolerability of the therapy but also to identify promising biomarkers and early signs of efficacy that may guide future treatment strategies in GBM and potentially other cancers. The study EudraCT Number is 2023-510299-29-00 and can be found at EMA and FDA clinical trial registries here:</w:t>
      </w:r>
    </w:p>
    <w:p>
      <w:pPr>
        <w:pStyle w:val="TextBody"/>
        <w:bidi w:val="0"/>
        <w:spacing w:before="0" w:after="0"/>
        <w:ind w:left="0" w:right="0" w:hanging="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75"/>
        <w:gridCol w:w="170"/>
        <w:gridCol w:w="77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7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https://euclinicaltrials.eu/search-for-clinical-trials/?lang=en&amp;EUCT=2023-510299-29-00;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74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https://clinicaltrials.gov/study/NCT03866109?intr=Temferon&amp;rank=3</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on, or that can be accessed through, these websites is not part of, and is not incorporated by reference into, this report. We have included these website addresses in this report solely as an inactive textual reference. Investors should not rely on any such information in deciding whether to purchase our securities.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Preliminary Interim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dose-escalation phase (Phase 1), each cohort tested varying doses of Temferon, of unmodified supporter cells and a different conditioning regimen (see the “Study Design” section above). The study revealed that transduced cells engrafted and persisted across all cohorts as a function of the Temferon administered dose.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 safety data highlighted a quick hematologic recovery (median 14 days). Only one serious adverse reaction, attributed to Temferon (elevated liver enzymes) was recorded. This occurred early in the treatment of a patient who subsequently achieved survival beyond three years. Most of the adverse events observed in the trial were attributed to autologous stem cell transplant procedures, including conditioning chemotherapy, concomitant medications, or disease progression, and most resolved over time. Three patients with GBM died within 122 days of Temferon administration, which were determined to be due to complications associated with conditioning chemotherapy and potentially concomitant steroid use. Busulfan monotherapy, as a conditioning regimen, demonstrated a better safety profile compared to combination therapies, with fewer adverse events, especially during the first 90 days, making it the preferred regimen moving forward into Phase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efficacy, while no complete responses were observed, the data suggested tumor stabilization for up to 6 months post-Temferon infusion in several patients. The median progression-free survival (PFS) and overall survival (OS) following Temferon infusion were promising, aligning with existing data from GBM patients. The study also highlighted an increase in the percentage of long-term survivors (LTS) at two years compared to data reported in literature. However, given the small sample size in dose-escalation setting, definitive conclusions on survival benefits cannot be made at this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biological activity of Temferon was assessed in patients requiring a second surgery due to disease progression, providing the only source of post-treatment GBM specimens for analysis. While these samples offer valuable insights into Temferon’s mechanism of action, we believe their limitation lies in being derived from patients in the treatment escape phase, potentially underestimating the therapy’s full biological effects. Preliminary analysis of the tumor microenvironment (TME) using single-cell RNA (scRNA) analysis, comparing Temferon-treated patients (RTx+Temferon) with those treated according to the standard of care (Stupp protocol: TMZ+RTx), revealed a widespread induction of an interferon-response in Temferon-treated patients. This response was evident both within the tumor and the immune TME, including tumor-associated myeloid cells and T-cells, and demonstrated significant reprogramming of the myeloid compartment toward a pro-inflammatory (M1-like) state. This reprogramming was accompanied by a consistent increase in CD8 lymphocytes with effector phenotypes, including a subset of putatively tumor-reactive T cells, which were more prominently observed in Temferon-treated patients. Moreover, Temferon treatment was observed to induce the expansion of T-cell clones and promote T-cell recruitment within the TME, distinguishing it from the effects seen in patients treated with the SOC. However, the prolonged presence of tumor-reactive T-cell clones in Temferon-treated patients was associated with PD-1 upregulation, a marker of immune exhaustion caused by sustained tumor-antigen stimulation. We believe this upregulation of PD-1 may have interfered with the long-term maintenance of the anti-tumor response, partially limiting its efficacy over time. Despite this limitation, Temferon successfully primed the immune TME toward a robust and durable inflammatory phenotype, setting the stage for a potentially long-lasting immune response, even in GBM.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results align with our preclinical data, supporting the immune activation effects mediated by Temferon in uMGMT-GBM patients. In conclusion, Phase 1 data suggest that Temferon is well-tolerated at doses up to 4x10⁶ CD34+ cells/kg, particularly when combined with busulfan monotherapy. Moving forward, Phase 2 will aim to confirm these results while further investigating long-term efficacy and safety.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TEM-GBM Clinical Development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encouraging changes observed in the tumor microenvironment (TME) of patients treated with Temferon, we are actively exploring the potential to combine Temferon with immune-oncology (I/O) therapies. In particular, we are highly interested in immune checkpoint inhibitors (ICIs) due to their established role in reactivating exhausted T cells, enhancing and extend anti-tumor immune responses.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strategy is further supported by recent evidence demonstrating the potential of activating anti-tumor immunity in GBM when ICI are used as neoadjuvant early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paradigm shift aligns closely with our ongoing efforts to reprogram the TME. The robust immune activation observed in Temferon-treated patients—including the reprogramming of the myeloid compartment toward a pro-inflammatory (M1-like) state and the expansion of effector CD8+ T cells—creates an ideal foundation for synergistic combinations with ICIs. We believe that the primed inflammatory phenotype induced by Temferon may enhance the efficacy of ICIs by overcoming key barriers to anti-tumor immunity in GBM, as highlighted in the referenced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clinical plan aims to evaluate these combination approaches in GBM patients, leveraging the unique mechanism of Temferon to establish a robust immune contexture within the TME, potentially enhancing response rates and extending survival outcomes.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2023 the U.S. Food and Drug Administration (FDA) and the European Commission each granted Orphan Drug Designation (“ODD”) to Temferon for the treatment of glioblastoma multiforme, underscoring its therapeutic potential in this critical area of unmet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Solid Tumor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selected metastatic renal cell carcinoma (“mRCC”) as the second solid tumor to investigate. Renal cell carcinoma (“RCC”) is a type of cancer that affects the genito-urinary system. The rationale for focusing on mRCC is based on the same considerations to those underlying the uMGMT-GBM indication, specifically:</w:t>
      </w:r>
    </w:p>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High unmet medical need and market opportunity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prognosis for patients with mRCC remains poor.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Suitable tumor microenvironment. </w:t>
            </w:r>
            <w:r>
              <w:rPr>
                <w:rFonts w:ascii="Times New Roman;Times;Serif" w:hAnsi="Times New Roman;Times;Serif"/>
                <w:b w:val="false"/>
                <w:i w:val="false"/>
                <w:caps w:val="false"/>
                <w:smallCaps w:val="false"/>
                <w:sz w:val="20"/>
              </w:rPr>
              <w:t>mRCC is distinguished by an immunotherapy-responsive tumor microenvironment in which TEMs play a critical role.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IFN-α and advanced genitourinary malignancies. </w:t>
            </w:r>
            <w:r>
              <w:rPr>
                <w:rFonts w:ascii="Times New Roman;Times;Serif" w:hAnsi="Times New Roman;Times;Serif"/>
                <w:b w:val="false"/>
                <w:i w:val="false"/>
                <w:caps w:val="false"/>
                <w:smallCaps w:val="false"/>
                <w:sz w:val="20"/>
              </w:rPr>
              <w:t> mRCC has shown remarkable sensitivity to IFN-α treatment. Nearly 15 years ago, immunotherapy with IFN-α or interleukin-2 revolutionized the systemic treatment of RCC, establishing a foundation for immunotherapy in this field. More recently, the targeted delivery of IFN-α through an innovative in vivo gene therapy approach for genitourinary cancers has demonstrated significant clinical benefit, culminating in and leading to the FDA approval of Adstiladrin®. This reinforces the critical role of IFN-α in genitourinary malignancies and highlights the exceptional responsiveness of these tumors to immune-oncology (I/O) approaches.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Market Opportunity. </w:t>
            </w:r>
            <w:r>
              <w:rPr>
                <w:rFonts w:ascii="Times New Roman;Times;Serif" w:hAnsi="Times New Roman;Times;Serif"/>
                <w:b w:val="false"/>
                <w:i w:val="false"/>
                <w:caps w:val="false"/>
                <w:smallCaps w:val="false"/>
                <w:sz w:val="20"/>
              </w:rPr>
              <w:t>Based on currently available treatments, the RCC market for therapeutics is projected to grow 5.1% annually, reaching $12.7 billion in 2032. We believe a novel therapeutic which demonstrates improvement over existing therapies would have the potential to meaningfully grow the market size.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Disease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Renal Cell Carcinoma (“RCC”):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Renal cell carcinoma accounts for over 80% of primary renal malignancies, with clear cell RCC being the most common (75% of all parenchymal renal malignancies).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Combination therapy (dual IO or an IO plus VEGF-TKI) is now recommended as first-line therapy. The treatment choice in the second and subsequent lines depends on the regimens received in prior lines, usually avoiding rechallenging a patient with the same agents. The second-line setting is dominated by the use of single-agent TKIs, (cabozantinib or pazopanib) and lenvatinib combined with the everolimus (mTOR inhibitor). Other treatments include the TKIs sunitinib and sorafenib, and the mTOR inhibitor temsirolimus. Single-agent nivolumab is approved for second-line treatment, but is used mainly for patients who did not receive an ICI in the first line. A hypoxia-inducible factor 2α (HIF2α) inhibitor, belzutifan, is approved for treating patients with RCC with VHL disease (3–6% of RCCs) who do not require immediate surgery. Multiple Phase 3 trials are ongoing to expand its label in RCC, including in late-line advanced or metastatic settings and in combination with other approved targeted therapies in the adjuvant and first-line settings.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the results we have observed to date for Temferon for the treatment of GBM, we believe that Temferon may have the ability overcome certain of the limitations of the current standard of care for the treatment of RCC that are not curative/resolutive by stopping/delaying disease progression.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Clinical Development of Temferon in advanced genitourinary malignancies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TEM-GU Phase 1/2a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TEM-GU study is an open-label, single-center, Phase 1/2 therapeutic-exploratory clinical trial designed to evaluate the safety, tolerability, biological activity, and efficacy of Temferon in patients with metastatic renal cell carcinoma (“mRCC”). The study aims to evaluate the combination of Temferon with either immune checkpoint inhibitors (“ICI”) or tyrosine kinase inhibitor (TKI), to determine the most effective treatment for patients who have shown disease progression after standard treatments. The study is being conducted at the Genitourinary Oncology Unit at San Raffaele Hospital, Milan, Italy. This site is renowned for its expertise in the management of urological cancers and will offer cutting-edge care to the enrolled patients. Hematological follow-up and the administration of Temferon will take place at the specialist hematology and bone marrow transplant unit within the same hospital, ensuring coordinated and comprehensive patient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Study Design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investigational treatment utilizes autologous CD34+-enriched hematopoietic progenitor cells genetically modified with a lentiviral vector encoding human interferon-α2. Eligible patients, who must have progressed after standard treatments, will undergo screening, followed by HSPC harvest and genetic modification. A conditioning regimen precedes Temferon infusion, after which patients are monitored closely until hematologic recovery. Tumor biopsies will be performed pre- and post Temferon administration. After Temferon administration, patients will receive also either ICI or TKI depending on their prior treatment lines. Patients will then continue with regular follow-ups for up to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endpoints of the study focus on assessing the safety and tolerability of both the conditioning regimen and Temferon through clinical and laboratory surveillance, autoimmune assessments, and adverse event monitoring. Secondary endpoints aim to explore the long-term safety of Temferon, the incidence of specific adverse events, hematological recovery, presence of transduced myeloid cells, functional status, response rates, progression-free survival, and overall survival. Additionally, the biological activity of Temferon, tumor microenvironment changes and biomarkers will be evaluated via biopsy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EudraCT Number is 2024-512898-27-00 and can be found at EMA and FDA clinical trial registries here:</w:t>
      </w:r>
    </w:p>
    <w:p>
      <w:pPr>
        <w:pStyle w:val="TextBody"/>
        <w:bidi w:val="0"/>
        <w:spacing w:before="0" w:after="0"/>
        <w:ind w:left="0" w:right="0" w:hanging="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7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https://euclinicaltrials.eu/search-for-clinical-trials/?lang=en&amp;EUCT=2024-512898-27-00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https://clinicaltrials.gov/study/NCT06716853?intr=Temferon&amp;rank=1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on, or that can be accessed through, these websites is not part of, and is not incorporated by reference into, this report. We have included these website addresses in this report solely as an inactive textual reference. Investors should not rely on any such information in deciding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TEM-GU Clinical Development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1/2a study in metastatic RCC (TEM-GU) represents a key opportunity to investigate whether Temferon can restore sensitivity to TKIs or ICIs in patients who previously failed to respond. By combining Temferon with these agents, the study aims to enhance therapeutic efficacy in difficult-to-treat populations. This approach will help assess the potential of Temferon as a viable treatment option to overcome resistance to standard therapies. We believe that positive clinical results not only will support the expansion of Temferon’s exploration in combination therapies for RCC patients but also will pave the way for testing Temferon in other related indications. This could significantly broaden Temferon potential application in immune-oncology, especially in cancers with similar tumor microenvironment characteristics.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Pipeline Pre-Clinical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technology was designed to be flexible so that it can be adapted to potentially treat a variety of cancers. We believe that Temferon, in combination with a variety of current existing therapeutics, has the potential to enhance overall efficacy because its mechanism of action is intended to abrogate tumor induced tolerance. Additionally, we are developing a second-generation platform which is designed to release our therapeutic payload “on demand”. Finally, our proprietary platform is designed to control the expression of a potentially wide variety of therapeutic payloads we may choose for different targets.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therapies to treat several types of cancers, such as ICI, CAR-T and TCR, are rapidly transforming the practice of oncology, clinical data point to the risk of late relapses after treatment with these therapeutics. Thus, the data suggest that the durability of the response to these therapies remains a significant challenge. We believe that the potentially agnostic nature of Temferon, its activity observed in our clinical trials to date, which includes the abrogation of tumor induced tolerance, and its potentially synergistic mechanism of action, makes it a suitable candidate to be considered for combination treatments. Specifically, Temferon may be a good candidate to be used in combination with other immune-oncology drugs, such as CAR-T and ICI, to extend the durability of the response in very aggressive tumors. We believe that this additional Temferon application is supported by the promising results coming from the combination studies performed using Temferon with CAR-T, TCR and ICI in our pre-clinical programs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preclinical studies conducted in the laboratories of our founders, Prof. Luigi Naldini and Dr. Bernhard Gentner, Temferon was evaluated in combination with CAR T, TCR-edited T cells directed against tumor-associated antigens and immune checkpoint blockers. The results showed promising additive-to-synergistic anti-tumor activity in leukemia experimental models (Escobar et al., Nature Communication 2018), glioblastoma models, and multiple myeloma mouse models. Specifically, a CD19 CAR-T approach in a leukemia mouse model had a detectable, but not significant, effect on the tumor burden. However, when used in combination with Temferon, the combination treatment resulted in a significant inhibition of the hematological malignancy, with a significant fraction of CAR-T/Temferon treated mice surviving to the latest timepoint of analysis. Similarly, the combination of IFN gene therapy to α-CTLA4, an immune check point blocker, or adoptive T cell therapy, significantly improved the survival of the mice (Escobar et al., Nature Communication 2018). Further, in a multiple myeloma mouse model, Temferon was administered in combination with human TCR-edited T cells directed against NY-ESO1 and anti-myeloma drugs. The combination approach showed promising additive-to-synergistic effects without exacerbating hematologic or systemic toxicities. These results lead us to believe that IFN gene therapy might also boost the efficacy of other immunotherapies.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Switchable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founders are developing a second-generation platform designed to release the therapeutic payload “on demand” to potentially allow in vivo control of its efficacy. Potential advantages of this application include (i) broadening the clinical application to patient populations with more favorable pre-treatment prognoses; (ii) control of long-term side effects that may arise from the chronic exposure to immunostimulatory molecules and (iii) the ability to activate the immune system on demand to recognize tumors based on clinical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inducible version of the IFN-α payload has been generated by fusing the protein with a destabilizing domain (DD), which targets the protein to proteasomal degradation, unless a small molecule ligand binding to the DD and stabilizing it, is administered. The optimized fusion construct is delivered by the TEM platform and the exogenous administration of the ligand switches on its secretion within the tumor. The results from experiments performed in the laboratory of Prof. Naldini with a glioblastoma mouse model showed similar anti-tumor activity of the inducible and wild-type IFN payload. Moreover, the inducible construct allows switching of IFN release upon tumor clearance (Birocchi et al., Sci Transl Med 2022). We plan to use our second-generation platform carrying an IFN-α payload in combination with CAR T cells to target glioblastoma-associated antigens or immune checkpoint blockers in an experimental tumor model in mice.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Payloads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platform is designed to allow the control of the expression of any payload we use. Similar to IFN-α, there are several alternative payloads with immunotherapeutic properties that were previously systemically delivered to patients but were discontinued due to significant toxicity that prevented the drug from reaching therapeutic dosages (e.g. TNF-Alpha). Because we believe that our first- and second-generation platforms may have the ability to overcome certain limitations associated with systemic administration, we are testing them with additional payloads such as IFN- </w:t>
      </w:r>
      <w:r>
        <w:rPr>
          <w:rFonts w:ascii="Symbol" w:hAnsi="Symbol"/>
          <w:b w:val="false"/>
          <w:i w:val="false"/>
          <w:caps w:val="false"/>
          <w:smallCaps w:val="false"/>
          <w:sz w:val="20"/>
        </w:rPr>
        <w:t>g</w:t>
      </w:r>
      <w:r>
        <w:rPr>
          <w:rFonts w:ascii="Times New Roman;Times;Serif" w:hAnsi="Times New Roman;Times;Serif"/>
          <w:b w:val="false"/>
          <w:i w:val="false"/>
          <w:caps w:val="false"/>
          <w:smallCaps w:val="false"/>
          <w:sz w:val="20"/>
        </w:rPr>
        <w:t>, IL-12 and TNF-α. Because each payload triggers a unique biological response, we believe our platform may enable a personalized treatment approach.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immune activating cytokines have been tested for TEM-mediated gene-based delivery to tumor models in mice. Current pre-clinical results suggest the feasibility and specificity of tumor-targeted delivery of IFN-</w:t>
      </w:r>
      <w:r>
        <w:rPr>
          <w:rFonts w:ascii="Symbol" w:hAnsi="Symbol"/>
          <w:b w:val="false"/>
          <w:i w:val="false"/>
          <w:caps w:val="false"/>
          <w:smallCaps w:val="false"/>
          <w:sz w:val="20"/>
        </w:rPr>
        <w:t xml:space="preserve">g </w:t>
      </w:r>
      <w:r>
        <w:rPr>
          <w:rFonts w:ascii="Times New Roman;Times;Serif" w:hAnsi="Times New Roman;Times;Serif"/>
          <w:b w:val="false"/>
          <w:i w:val="false"/>
          <w:caps w:val="false"/>
          <w:smallCaps w:val="false"/>
          <w:sz w:val="20"/>
        </w:rPr>
        <w:t>and TNF-α and further support our hypothesis that the specific transcriptional and microRNA regulated expression of the payload prevents toxicity. Data generated in the laboratory of our founders in a leukemia model showed that IFN-</w:t>
      </w:r>
      <w:r>
        <w:rPr>
          <w:rFonts w:ascii="Symbol" w:hAnsi="Symbol"/>
          <w:b w:val="false"/>
          <w:i w:val="false"/>
          <w:caps w:val="false"/>
          <w:smallCaps w:val="false"/>
          <w:sz w:val="20"/>
        </w:rPr>
        <w:t>g</w:t>
      </w:r>
      <w:r>
        <w:rPr>
          <w:rFonts w:ascii="Times New Roman;Times;Serif" w:hAnsi="Times New Roman;Times;Serif"/>
          <w:b w:val="false"/>
          <w:i w:val="false"/>
          <w:caps w:val="false"/>
          <w:smallCaps w:val="false"/>
          <w:sz w:val="20"/>
        </w:rPr>
        <w:t xml:space="preserve"> but not TNF-α mediates anti-tumor activity when delivered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Further </w:t>
      </w:r>
      <w:r>
        <w:rPr>
          <w:rFonts w:ascii="Times New Roman;Times;Serif" w:hAnsi="Times New Roman;Times;Serif"/>
          <w:b w:val="false"/>
          <w:i/>
          <w:caps w:val="false"/>
          <w:smallCaps w:val="false"/>
          <w:sz w:val="20"/>
        </w:rPr>
        <w:t>ex vivo</w:t>
      </w:r>
      <w:r>
        <w:rPr>
          <w:rFonts w:ascii="Times New Roman;Times;Serif" w:hAnsi="Times New Roman;Times;Serif"/>
          <w:b w:val="false"/>
          <w:i w:val="false"/>
          <w:caps w:val="false"/>
          <w:smallCaps w:val="false"/>
          <w:sz w:val="20"/>
        </w:rPr>
        <w:t xml:space="preserve"> studies showed enhanced anti-tumor activity upon combined delivery of two cytokines by the TEM-based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experiments conducted with our second-generation inducible platform expressing IL-12 support the hypothesis that our proprietary transcriptional and microRNA regulated expression of the payload may prevent or limit toxicity. Indeed, IL-12 is a potent cytokine that must be kept within a therapeutic dose range to prevent toxicity. Targeted delivery and anti-tumor activity of the new inducible payload are being investigated (Mucci et al., EMBO Mol Med 2021). The laboratory of Prof. Naldini plans to test the combination of TEM-mediated gene-based delivery of inducible Il-12 or additional inducible payloads with CAR-T, TCR and ICI in experimental murine tumor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Biotechnology and pharmaceutical industries put significant resources in developing novel and proprietary therapies for the treatment of cancer. For the cell therapy field in particular, this results in rapidly advancing and changing technologies, intense competition and a strong emphasis on intellectual property. While we believe that our leading product candidate, Temferon and our scientific expertise in the field of cell and gene therapy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process for our autologous cell and gene therapy approach requires the following steps:</w:t>
      </w:r>
    </w:p>
    <w:p>
      <w:pPr>
        <w:pStyle w:val="TextBody"/>
        <w:bidi w:val="0"/>
        <w:spacing w:before="0" w:after="0"/>
        <w:ind w:left="0" w:right="0" w:hanging="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HSPCs harvesting in a specialized clinical center (leukapheresis)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of apheresis bag/s to the selected contract manufacturing organization (CMO)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CD34+ cells enrichment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transduction of CD34+ cells with our LVV,</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0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Cryopreservation, characterization and release by a Qualified Person of the obtained drug product.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LVV manufacturing needed for the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transduction process, as well as steps from 3 to 5, are conducted by the CMO. The figure below delineates the steps and the timeline for manufacturing Temferon.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8572500" cy="4133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0" cy="41338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 of Temferon Manufacturing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entered into agreements with AGC Biologics to manufacture our LVV and certain drug products for our ongoing clinical programs in Italy. AGC Biologics is a leading global contract development and manufacturing organization (“CDMO”), providing world-class development and manufacture of mammalian and microbial-based therapeutic proteins of plasmid DNA and, with the acquisition of Molecular Medicine S.p.A. (“MolMed”), of viral vectors and genetically engineered cells. AGC Biologics is recognized as the leading cell and gene therapy CDMO focused on research, development, production and clinical validation of cell and gene therapies for the treatment of cancer and rare diseases. Indeed, Strimvelis, the first ever market approved </w:t>
      </w:r>
      <w:r>
        <w:rPr>
          <w:rFonts w:ascii="Times New Roman;Times;Serif" w:hAnsi="Times New Roman;Times;Serif"/>
          <w:b w:val="false"/>
          <w:i/>
          <w:caps w:val="false"/>
          <w:smallCaps w:val="false"/>
          <w:sz w:val="20"/>
        </w:rPr>
        <w:t xml:space="preserve">ex-vivo </w:t>
      </w:r>
      <w:r>
        <w:rPr>
          <w:rFonts w:ascii="Times New Roman;Times;Serif" w:hAnsi="Times New Roman;Times;Serif"/>
          <w:b w:val="false"/>
          <w:i w:val="false"/>
          <w:caps w:val="false"/>
          <w:smallCaps w:val="false"/>
          <w:sz w:val="20"/>
        </w:rPr>
        <w:t xml:space="preserve">gene therapy for children, was developed and is still currently manufactured by AGC Biologics (formerly MolMed). Accordingly, Orchard Therapeutics (NasdaqGS: ORTX) in July 2020 renewed their collaboration agreement with AGC which will continue to support activities related to the development and manufacturing of vectors and drug products for several of Orchard’s investigational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hematopoietic stem cell (HSC) gene therapies in the upcoming years, including the recent E.U. market authorized gene therapy drug </w:t>
      </w:r>
      <w:r>
        <w:rPr>
          <w:rFonts w:ascii="Times New Roman;Times;Serif" w:hAnsi="Times New Roman;Times;Serif"/>
          <w:b w:val="false"/>
          <w:i/>
          <w:caps w:val="false"/>
          <w:smallCaps w:val="false"/>
          <w:sz w:val="20"/>
        </w:rPr>
        <w:t>Libmeldy.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AGC Biologics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AGC establish agreed-upon timelines for purchase order submissions and manufacturing date changes/cancellation. The agreements also set milestones both during the clinical phase and any future commercial phase of our product candidates and for technology transfer if required, as well as customary termination provisions, allowing for termination by a party upon the other party’s uncured material breach or upon the other party’s insolvency. We have recently strengthened our collaboration with AGC Biologics to enhance cell therapy manufacturing. On January 9, 2025, we announced the introduction of an exclusive GMP suite at AGC Biologics’s facility in Italy, dedicated to the production of Temferon batches. We believe this enhancement will improve the efficiency and reliability of our manufacturing processes. AGC Biologics facility in Bresso, Italy, will also continue manufacturing LVV to support Genenta’s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and Second Amendment to Development and Master Services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2024, we entered into an amendment to the Master Services Agreement with AGC Biologics to extend the term of the Master Services Agreement to June 30, 2025 (the “First Amendment”). The First Amendment was considered effective retroactive from March 5, 2024, the day on which the Master Service Agreement expired, to cover the preceding period during which the same Master Service Agreement continued to be operating. Additionally, on October 14, 2024, we entered into an Agreement for the Conduct of Clinical Trials on Medical Products with OSR) to conduct an open-label 1/2 clinical trial in Renal Cell Cancer.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24, 2024, we and AGC Biologics entered into the Second Amendment (the “Second Amendment”) to the Development and Master Services Agreement, effective as of March 6, 2019 and as amended as of March 5, 2024 (the “MSA”), pursuant to which AGC Biologics manufactures our LVV) and certain drug products for our ongoing clinical programs in Italy.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entry into the Second Amendment, we also entered into work statement No. 1 to manufacture, test and release certain of our cell therapy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Amendment provides that AGC Biologics will reserve an exclusive GMP suite (the “EGS”) for our exclusive benefit in connection with manufacturing services for cell therapy and commit a specified number of full-time equivalent employees to us. In addition, AGC Biologics will make the EGS available for a specified number of weeks per a recurring 12-month period commencing in the first quarter of 2025. In the event this specified number of weeks is not reached, AGC will issue certain credit notes to us equal to the lost volume of activity. Further, if AGC is unable to offer EGC availability for this specified number of weeks over a 12 month period, AGC Biologics will issue certain credit notes to us as a penalty based on formulas specified in the Second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Amendment also provides that AGC Biologics will charge us monthly fees during the ramp-up phase, which begins on such specified date in the first quarter of 2025 and is estimated to end in the third quarter of 2025, and annual fees, payable quarterly, once the ramp-up phase is completed, as specified in the work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authorities in the U.S.,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U.S. and in foreign countries and jurisdictions, along with compliance with applicable statutes and regulations and other regulatory authorities, require the expenditure of substantial time and financial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Approval and Regulation of Drugs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drug products are regulated by the FDA under the Federal Food, Drug, and Cosmetic Act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oDRf approval, warning letters, product recalls, product seizures, total or partial suspension of production or distribution, injunctions, fines, or administrative, civil and/or criminal investigation, penalties or prosecution.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all cell therapy product candidates are regulated by the FDA as biologics. Biologics require the submission of a BLA and approval by the FDA prior to being marketed in the U.S. Manufacturers of biologics may also be subject to state and local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steps required before a biologic may be marketed in the U.S. generally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studies, animal studies and formulation studies, performed in accordance with the FDA’s good laboratory practices (“GLP”) requirements, and applicable requirements for the humane use of laboratory animals or other applicable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application for an investigational new drug application (“IND”), which must become effective before human clinical trials may commence;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protocol and related documentation by an independent IRB or ethics committee at each clinical trial site before each trial may be initiated;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FDA of a biologics license application (“BLA”) for marketing approval that includes sufficient evidence of establishing the safety, purity, and potency of the proposed biological product for its intended indication, including from results of nonclinical testing and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by the FDA within 60 days of its receipt of a BLA to accept and file the application;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FDA audit of the preclinical study and clinical trial sites that generated the data in support of the BLA in accordance with any applicable expedited programs or designations;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user fees for FDA review of the BLA (unless a fee waiver applies);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or licensure, of the BLA to permit commercial marketing of the product for particular indications for use in the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inspection of the manufacturing facilities at which the biologic is produced to assess compliance with current Good Manufacturing Practices (“cGMP”) and to assure that the facilities, methods and controls are adequate;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BLA.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Studies and the IND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the preclinical studies must comply with federal regulations and requirements, including, as applicable, GLP and the Animal Welfare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commencing an initial clinical trial in humans with a product candidate in the U.S.,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the administration of the product candidate to healthy volunteers or patients under the supervision of qualified investigators. Clinical trials are subject to extensive regulation and must be conducted in compliance with (i) federal regulations, (ii) GCP standards, which set safeguards to protect the rights and health of patients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patient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trial program for a product candidate is generally divided into three phases. Although the phases are usually conducted sequentially, they may overlap or be combined. The three phases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1</w:t>
            </w:r>
            <w:r>
              <w:rPr>
                <w:rFonts w:ascii="Times New Roman;Times;Serif" w:hAnsi="Times New Roman;Times;Serif"/>
                <w:b w:val="false"/>
                <w:i w:val="false"/>
                <w:caps w:val="false"/>
                <w:smallCaps w:val="false"/>
                <w:sz w:val="20"/>
              </w:rPr>
              <w:t>. Phase 1 involves the initial introduction of a product candidate into humans. Phase 1 clinical trials are typically conducted in healthy human subjects, but in some situations are conducted in patients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2</w:t>
            </w:r>
            <w:r>
              <w:rPr>
                <w:rFonts w:ascii="Times New Roman;Times;Serif" w:hAnsi="Times New Roman;Times;Serif"/>
                <w:b w:val="false"/>
                <w:i w:val="false"/>
                <w:caps w:val="false"/>
                <w:smallCaps w:val="false"/>
                <w:sz w:val="20"/>
              </w:rPr>
              <w:t>. Phase 2 includes the controlled clinical trials conducted to obtain initial evidence of effectiveness of the product candidate for a particular indication(s) in patients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3</w:t>
            </w:r>
            <w:r>
              <w:rPr>
                <w:rFonts w:ascii="Times New Roman;Times;Serif" w:hAnsi="Times New Roman;Times;Serif"/>
                <w:b w:val="false"/>
                <w:i w:val="false"/>
                <w:caps w:val="false"/>
                <w:smallCaps w:val="false"/>
                <w:sz w:val="20"/>
              </w:rPr>
              <w:t>. Phase 3 clinical trials are clinical trials conducted in an expanded patient population at geographically dispersed clinical trial sites. They 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2018, the FDA released a draft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 with clinical trials, companies usually complete additional animal studies and also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which is an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there are requirements for the registration of certain clinical trials of product candidates on public registries, such as </w:t>
      </w:r>
      <w:r>
        <w:rPr>
          <w:rFonts w:ascii="Times New Roman;Times;Serif" w:hAnsi="Times New Roman;Times;Serif"/>
          <w:b w:val="false"/>
          <w:i w:val="false"/>
          <w:caps w:val="false"/>
          <w:smallCaps w:val="false"/>
          <w:sz w:val="20"/>
          <w:u w:val="single"/>
        </w:rPr>
        <w:t>www.clinicaltrials.gov</w:t>
      </w:r>
      <w:r>
        <w:rPr>
          <w:rFonts w:ascii="Times New Roman;Times;Serif" w:hAnsi="Times New Roman;Times;Serif"/>
          <w:b w:val="false"/>
          <w:i w:val="false"/>
          <w:caps w:val="false"/>
          <w:smallCaps w:val="false"/>
          <w:sz w:val="20"/>
        </w:rPr>
        <w:t>, and the submission of certain information pertaining to these trials, including clinical trial results, after trial completion.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Biologics License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obtain approval to market a biologic in the U.S.,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 number of alternative sources, including studies initiated by investigators. To support marketing approval, the data submitted must be sufficient in quality and quantity to establish the safety and effectiveness of the product candidate to the satisfaction of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Prescription Drug User Fee Act (“PDUFA”), as amended,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approving a BLA, the FDA will inspect the facilities at which the product is manufactured or the facilities that are significantly involved in the product development and distribution process and will not approve the product candidate unless cGMP compliance is satisfactory and the manufacturing processes and facilities are adequate to assure consistent production of the product within required specifications. Additionally, before approving a BLA, the FDA will typically inspect one or more clinical sites to assure compliance with GCP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Pediatric Research Equity Act,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application does not satisfy the regulatory criteria for approval and deny approval of a resubmitted BLA. FDA approval of any application may include many delays or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also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biologic. Moreover, product approval may require substantial post-approval testing and surveillance to monitor the biologic’s safety, purity, or potency, which can be costly.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some of the conditions established in an approved application, including changes in indications, labeling, or manufacturing processes or facilities, require submission and FDA approval of a new BLA or a supplemental BLA before the change can be implemented. A supplemental BLA for a new indication typically requires clinical data similar to that in the original application, and the FDA generally uses the same procedures and actions in reviewing a supplemental BLA as it does in reviewing a new BLA.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from new legislation, may be established that could delay or prevent regulatory approval of our product candidates under development or affect our ability to maintain product approvals we have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of Companion Diagnostics.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drugs and therapeutic biologics where the use of a specific diagnostic test is essential for the safe and effective use of the therapeutic product, such as when the use of a product is limited to a specific patient subpopulation that can be identified by using the test, regulatory authorities may require, as a condition of approval, that a relevant “companion diagnostic” test also be approved or cleared for the appropriate indication. This general policy approach may be inapplicable in cases where the drug or therapeutic biologic is intended to treat a serious or life-threatening condition for which no satisfactory alternative treatment exists and the benefits from the use of a product with an unapproved companion diagnostic device are so pronounced as to outweigh the risks from the lack of an approved companion diagnostic. Companion diagnostics are generally regulated as medical devices by regulatory authorities and relevant statutes and regulations govern, among other things, medical device design and development, preclinical and clinical testing, premarket regulatory review, manufacturing, labeling, storage, advertising and promotion, sales and distribution, export and import, and post-market surveillance.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Orphan Drug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grant orphan drug designation to biologics intended to treat a rare disease or condition that affects fewer than 200,000 individuals in the U.S. or a disease or condition that affects 200,000 or more individuals in the U.S. but there is no reasonable expectation that the cost of developing and making the biologic would be recovered from sales in the U.S.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orphan drug designation entitles a party to financial incentives, such as opportunities for grant funding towards clinical trial costs, tax credits for certain research and user fee waivers under certain circumstances. In addition, if a company receives the first FDA approval of a drug or biologic for the indication for which it has orphan drug designation, the product is entitled to seven years of orphan exclusivity, which means the FDA may not approve any other application for the “same” drug or biologic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or biologic for the same disease or condition, or the same drug or biologic for a different disease or condition.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EEA, the criteria for designating an “orphan medicinal product” are similar in principle to those in the U.S. Under Article 3 of Regulation (EC) 141/2000, a medicinal product may be designated as an orphan medicinal product if it meets the following criteria: (a) it is intended for the diagnosis, prevention or treatment of a life-threatening or chronically debilitating conditions; (b) either such condition that affects no more than five in 10,000 people in the E.U.; or without the benefits derived from orphan status, it must be unlikely that the marketing of the medicine would generate sufficient return in the E.U. to justify the investment needed for its development; and (c) there exists no satisfactory method of diagnosis, prevention or treatment of the condition concerned, or, if such a method exists, the medicinal product would be of significant benefit to those affected by the condition. The application for orphan designation must be submitted to the EMA and approved by the European Commission before an application is made for marketing authorization for the product. Once designated, orphan medicinal product designation also entitles a party to financial incentives such as reduction of fees or fee waivers. Moreover, ten years of market exclusivity is granted, if the product continues to be designated as an orphan medicinal product upon grant of the marketing authorization. During this ten-year period, with a limited number of exceptions, neither the competent authorities of the E.U. Member States, the EMA, or the European Commission are permitted to accept applications or grant marketing authorization for other similar medicinal products with the same therapeutic indication. A “similar medicinal product” is defined as a medicinal product containing a similar active substance or substances as contained in an authorized orphan medicinal product, and which is intended for the same therapeutic indication.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latter product is demonstrated to be safer, more effective or otherwise clinically superior to the original orphan medicinal product. This period of market exclusivity may be reduced to six years if, at the end of the fifth year, it is established that the orphan designation criteria are no longer met, including where it can be demonstrated on the basis of available evidence that the product is sufficiently profitable not to justify maintenance of market exclusivity.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Expedited Programs in the United States and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A product may be granted fast track designation if it is intended for the treatment of a serious or life-threatening condition and demonstrates the potential to address unmet medical needs for such condition. Fast track designation applies to the combination of the product and the specific indication for which it is being studied. The sponsor of a new drug or biologic may request the FDA to designate the drug or biologic as a fast-track product at any time during the clinical development of the product. With fast-track designation, the sponsor may be eligible for more frequent opportunities to obtain the FDA’s feedback. Another benefit of fast-track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 Even if a product candidate receives fast track designation, the designation can be rescinded and provides no assurance that a product will be reviewed or approved more expeditiously than would otherwise have been the case, or that the product will be approved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 Even if one or more of our product candidates receives breakthrough therapy designation, the designation can be rescinded and provides no assurance that a product will be reviewed or approved more expeditiously than would otherwise have been the case, or that the product will be approved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to verify the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grant priority review designation to a product candidate, which sets the user fee target date for FDA action on the application at six months from FDA filing. Priority review may be granted where a product is intended to treat a serious or life-threatening disease or condition and, if approved, has the potential to provide a safe and effective therapy where no satisfactory alternative therapy exists or a significant improvement in safety or efficacy compared to available therapy. If criteria are not met for priority review, the standard FDA review period is ten months from FDA filing. Priority review designation does not change the scientific/medical standard for approval or the quality of evidence necessary to support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21st Century Cures Act, a drug is eligible for regenerative medicine advanced therapy (“RMAT”) designation if (i) the drug is a regenerative medicine therapy, which is defined by FDA to include cell therapy, therapeutic tissue engineering product, human cell and tissue product, any combination product using such therapies or products, and certain human gene therapies and xenogeneic cell products, except for human cells, tissues, and cellular and tissue-based products that are regulated solely under Section 361 of the Public Health Service Act and part 1271 of Title 21, Code of Federal Regulations; (ii) the drug is intended to treat, modify, reverse, or cure a serious or life-threatening disease or condition; and (iii) preliminary clinical evidence indicates that the drug has the potential to address unmet medical needs for such disease or condition. An RMAT designation include all the benefits of the fast track and breakthrough therapy designation programs, including early interactions with FDA, and the potential to support accelerated approval and address post-approval requirements. An RMAT designation request should be submitted with the IND or after and, ideally, no later than the end-of-phase 2 meeting. Even if a product candidate receives RMAT designation, the designation can be rescinded and provides no assurance that a product will be reviewed or approved more expeditiously than would otherwise have been the case, or that the product will be approved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centralized procedure in the EEA, the maximum timeframe for the evaluation of a marketing authorization application is 210 days (excluding “clock stops,” when additional written or oral information is to be provided by the applicant in response to questions asked by the CHMP). Clock stops may extend the timeframe of evaluation of a marketing authorization application considerably beyond 210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evaluation might be granted by CHMP in exceptional cases, when a medicinal product is expected to be of a major public health interest, which should be justified and assessed on a case-by-case basis. In this circumstance, EMA ensures that the opinion of CHMP is given within 150 days (excluding clock stops).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Expanded Access to an Investigational Drug for Treatment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access, also called “compassionate use,” is the use of investigational new drug products outside of clinical trials to treat patients with serious or immediately life-threatening diseases or conditions when there are no comparable or satisfactory alternative treatment options. The FDA regulations allow access to investigational drugs under an IND by the sponsor or the treating physician for treatment purposes on a case -by-case basis for individual patients, intermediate-size patient populations, and larger populations for use of the drug under a treatment protocol or Treatment IND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suitability of treating a patient or a group of patients under expanded access is determined by the following: if patient(s) have a serious or immediately life-threatening disease or condition,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candidate or otherwise compromise the potential development of the product candidate.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Sponsors of one or more investigational drugs for the treatment of a serious disease(s) or condition(s) make publicly available their policies for evaluating and responding to requests for expanded access for individual patients. This provision requires drug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receives breakthrough therapy, fast track, or regenerative medicine advanced therapy designation. Additionally, in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market exclusivity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biological product can obtain pediatric market exclusivity in the U.S.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Biologics Price Competition and Innovation Act of 2009 (“BPCIA”), created an abbreviated approval pathway for biological products shown to be biosimilar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Post-approval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Newly discovered or developed safety or effectiveness data may require changes to a product’s approved labeling, including the addition of new warnings and contraindications, and also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 Restoration and Extension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upon the timing, duration and specifics of the FDA approval of our product candidates, some of our U.S. patents may be eligible for limited patent term extension. The provisions of the Drug Price Competition and Patent Term Restoration Act, informally known as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other countries also provide for patent term extensions or similar extensions of patent protection for biologic products. For example, in Japan, it may be possible to extend the patent term for up to five years and in Europe, it may be possible to obtain a supplementary patent certificate that would effectively extend patent protection for up to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 Care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false statements statute, which prohibits knowingly and willfully falsifying, concealing or covering up a material fact or making any materially false statement in connection with the delivery of or payment for health care benefits, items or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FCPA which prohibits companies and their intermediaries from making, or offering or promising to make improper payments to non-U.S. officials for the purpose of obtaining or retaining business or otherwise seeking favorable treatment;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transparency requirements known as the federal Physician Payments Sunshine Act, under the PPACA, which requires certain manufacturers of drugs, devices, biologics and medical supplies to report annually to the Centers for Medicare &amp; Medicaid Services within the U.S. Department of Health and Human Services, information related to payments and other transfers of value made by that entity to physicians and teaching hospitals, as well as ownership and investment interests held by physicians and their immediate family members;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which may apply to health care items or services that are reimbursed by non-government third-party payors, including private insurers.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Pharmaceutical Insurance Coverage and Health Care Reform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2010, the U.S. Congress enacted the PPACA, which, among other things, included changes to the coverage and payment for drug products under government health care programs. The PPACA effected the following changes of importance to our potential product candidates: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an annual, nondeductible fee on any entity that manufactures or imports specified branded prescription drugs and biologic agents, apportioned among these entities according to their market share in certain government healthcare programs;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addressed a new methodology by which rebates owed by manufacturers under the Medicaid Drug Rebate Program are calculated for drugs that are inhaled, infused, instilled, implanted or injected;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the types of entities eligible for the 340B drug discount program;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a new Patient-Centered Outcomes Research Institute to oversee, identify priorities in, and conduct comparative clinical effectiveness research, along with funding for such research.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legislative changes have been proposed and adopted in the U.S.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enactment of the PPACA, there have been numerous legal challenges and congressional actions to repeal and replace provisions of the law. For example, with enactment of the TCJA, which was signed by the President on December 22, 2017, Congress repealed the “individual mandate.” The repeal of this provision, which requires most Americans to carry a minimal level of health insurance, will become effective in 2019. According to the Congressional Budget Office, the repeal of the individual mandate will cause 13 million fewer Americans to be insured in 2027 and premiums in insurance markets may rise. Additionally, on January 22, 2018, the President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amended the PPACA, effective January 1, 2019, to increase from 50% to 70% the point-of-sale discount that is owed by pharmaceutical manufacturers who participate in Medicare Part D and to close the coverage gap in most Medicare drug plans, commonly referred to as the “donut hole”. Congress will likely consider other legislation to replace elements of the PPACA during the next congressional session.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presidential administration has also taken executive actions to undermine or delay implementation of the PPACA. In January 2017, the President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In October 2017, the President signed a second Executive Order allowing for the use of association health plans and short-term health insurance, which may provide fewer health benefits than the plans sold through the PPACA exchanges. At the same time, the presidential administration announced that it will discontinue the payment of cost-sharing reduction (“CSR”) payments to insurance companies until Congress approves the appropriation of funds for such CSR payments. The loss of CSR payments is expected to increase premiums on certain policies issued by qualified health plans under the PPACA. A bipartisan bill to appropriate funds for CSR payments was introduced in the Senate, but the future of that bill is uncertain. In addition, the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PPACA for plans sold through such marketplaces.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there have been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presidential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presidential administration have each indicated that it will continue to seek new legislative and/or administrative measures to control drug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and Approval of Medicinal Products in 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market any medicinal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medicinal products. Whether or not it obtains FDA approval for a product candidate, an applicant will need to obtain the necessary approvals by the comparable non-U.S. regulatory authorities before it can commence clinical trials or marketing of the product in those countries or jurisdictions. Some countries outside of the U.S. have a similar process that requires the submission of a CTA much like the IND prior to the commencement of human clinical trials. In the E.U., for example, a CTA must be submitted to the national competent authorities of the E.U. Member States where the clinical trial is conducted and to an independent ethics committee, much like the FDA and IRB, respectively. Once the CTA is approved in accordance with a country’s requirements, clinical trial development may proceed.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2014, the E.U. adopted a new Clinical Trials Regulation (E.U.) No 536/2014, which is set to replace the current Clinical Trials Directive 2001/20/EC. It will overhaul the current system of approvals for clinical trials in the E.U. Specifically, the new regulation, which will be directly applicable in all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single-entry point and strictly defined deadlines for the assessment of clinical trial applications. It is expected that the new Clinical Trials Regulation will come into effect following confirmation of full functionality of the Clinical Trials Information System, the centralized E.U. portal and database for clinical trials foreseen by the new Clinical Trials regulation, through an independent audit. In January 2022, the Clinical Trials Regulation entered into application harmonizing the submission, assessment and supervision processes for clinical trials in the E.U.</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 Regulations in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E.U. and E.U.-member country legislation, any application for marketing authorization must be accompanied by the results of clinical trials conducted in accordance with applicable regulations. A unified regulation on clinical trial procedures has been approved (E.U. Reg. 536/2014), but is not yet effective. The currently applicable rule is E.U. Directive 2001/20, as implemented in the various E.U. member countries from time to time through national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conducting or planning Phase 1/2a clinical trials on Temferon in Italy, in accordance with the specific regulations applicable to such early-phase trials. As discussed elsewhere in this report, we are currently conducting our TEM-GBM 001 study on UMGMT-GBM patients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Italian regulation is the Decree of April 27, 2015 of the Ministry of Health, providing a precise sequence of approvals for the start of Phase I studies and subsequent amendments to the related protocols. According to such Decree, an initial request must be submitted to AIFA seeking a technical-scientific opinion of Istituto Superiore di Sanità (ISS), acting on behalf of AIFA, on the admissibility of the request. Upon the favorable opinion of ISS, Italian Regulatory Authority (“AIFA”) issues an authorization to proceed with the planned study, and the rules generally governing the conduct of clinical trials (Legislative Decree 211 of June 24, 2003, implementing in Italy E.U. Directive 2001/20, Decree of December 17, 2004 of the Ministry of Health for non-profit studies, plus procedural rules such as the Decree of December 21, 2007, so called “CTA decree”, for the prescribed formats), are of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AIFA approval, the Independent Ethics Committees (“IECs”) of the research centers participating in the trial issue their opinions on the conduct of the study, having evaluated the study protocol and all other relevant documentation such as the informed consent form (“ICF”), the insurance policy underwritten by the sponsor, the information and consent form for data protection purposes. The IEC of the Coordinating Center issues first its opinion – the so-called </w:t>
      </w:r>
      <w:r>
        <w:rPr>
          <w:rFonts w:ascii="Times New Roman;Times;Serif" w:hAnsi="Times New Roman;Times;Serif"/>
          <w:b w:val="false"/>
          <w:i/>
          <w:caps w:val="false"/>
          <w:smallCaps w:val="false"/>
          <w:sz w:val="20"/>
        </w:rPr>
        <w:t>Parere Unico</w:t>
      </w:r>
      <w:r>
        <w:rPr>
          <w:rFonts w:ascii="Times New Roman;Times;Serif" w:hAnsi="Times New Roman;Times;Serif"/>
          <w:b w:val="false"/>
          <w:i w:val="false"/>
          <w:caps w:val="false"/>
          <w:smallCaps w:val="false"/>
          <w:sz w:val="20"/>
        </w:rPr>
        <w:t>, lit. “sole opinion” (“PU”) - and then the IECs of the other participating centers accept or refuse the PU in its entirety (they may seek amendment to the ICF on the basis of local operating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pertaining to each specific step of the procedure, in the right sequence, must be loaded on the online database of AIFA (“Osservatorio sulle Sperimentazioni Cliniche”, or “OsSC”); the OsSC system provides certain controls to make sure that e.g. no IEC opinion can be loaded before the pertinent AIFA approval, or that the opinions of the participating sites cannot be loaded before the PU is loaded. It may occur however that, due to calendar mismatches in the calendars of IEC meeting (usually held on a monthly basis), an approval may precede by a few days a “prior” one (typically, the PU or the AIFA approval): in such cases the IEC approval is issued under reservation (“</w:t>
      </w:r>
      <w:r>
        <w:rPr>
          <w:rFonts w:ascii="Times New Roman;Times;Serif" w:hAnsi="Times New Roman;Times;Serif"/>
          <w:b w:val="false"/>
          <w:i/>
          <w:caps w:val="false"/>
          <w:smallCaps w:val="false"/>
          <w:sz w:val="20"/>
        </w:rPr>
        <w:t>con riserva</w:t>
      </w:r>
      <w:r>
        <w:rPr>
          <w:rFonts w:ascii="Times New Roman;Times;Serif" w:hAnsi="Times New Roman;Times;Serif"/>
          <w:b w:val="false"/>
          <w:i w:val="false"/>
          <w:caps w:val="false"/>
          <w:smallCaps w:val="false"/>
          <w:sz w:val="20"/>
        </w:rPr>
        <w:t>”) and can be loaded in advance accordingly, under the assumption that the documents subjected to evaluation - protocol (updated) version, ICF and the rest – coincide exactly.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Marketing Authorization Application for Biologic Medicinal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regulatory approval to commercialize a new drug in the EEA (comprising the E.U. Member States plus Iceland, Liechtenstein and Norway, we must submit a marketing authorization application.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a marketing authorization for a medicinal product can be obtained through a centralized, mutual recognition, decentralized procedure, or national procedure (single country). The centralized procedure is mandatory for certain medicinal products, including orphan medicinal products, those produced by biotechnology, advanced therapy medicinal products (gene therapy, somatic cell therapy and tissue-engineered products) and those with a new active substance indicated for the treatment of HIV, AIDS, cancer, neurodegenerative disorders, autoimmune and other immune dysfunctions, viral diseases or diabetes, and is optional for certain other products, including medicinal products with a new active substance for other indications, and products that are a significant therapeutic, scientific or technical innovation, or whose authorization would be in the interest of public health.</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centralized procedure, the applicant can submit a single application for marketing authorization to the EMA which will provide a positive opinion regarding the application if it meets certain quality, safety, and efficacy requirements. Based on the opinion of the EMA, the European Commission takes a final decision to grant a centralized marketing authorization which permits the marketing of a product throughout the EEA. Under the centralized procedure, the maximum timeframe for the evaluation of a marketing authorization application is 210 days (excluding clock stops, when additional written or oral information is to be provided by the applicant in response to questions asked by the EMA Committee for Medicinal Products for Human Use (“CHMP”)). Clock stops may extend the timeframe of evaluation of a marketing authorization application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marketing authorization application under the accelerated assessment procedure is 150 days, excluding clock stops, but it is possible that the CHMP may revert to the standard time limit for the centralized procedure if it determines that it is no longer appropriate to conduct an accelerated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that the United Kingdom (which comprises Great Britain and Northern Ireland) has left the E.U., Great Britain will no longer be covered by centralized marketing authorizations (under the Northern Irish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(“MHRA”), the United Kingdom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countries outside of the E.U., such as the United Kingdom and countries in Eastern Europe, Latin America or Asia, the requirements governing the conduct of clinical trials, product licensing, pricing and reimbursement vary from country to country. Internationally, clinical trials are generally required to be conducted in accordance with cGCPs, applicable regulatory requirements of each jurisdiction and the medical ethics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Promotion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the advertising and promotion of our products will also be subject to E.U. laws and E.U. Member States’ national laws governing promotion of medicinal products, interactions with physicians, misleading and comparative advertising and unfair commercial practices. These laws require that promotional materials and advertising in relation to medicinal products comply with the product’s Summary of Product Characteristics (“SmPC”), as approved by the competent authorities. The SmPC is the document that provides information to physicians concerning the safe and effective use of the medicinal product. The SmPC forms an intrinsic and integral part of the marketing authorization granted for the medicinal product. Promotion of a medicinal product that does not comply with the SmPC is considered to constitute off -label promotion and is prohibited in the E.U. The applicable laws at the E.U. level and in the individual E.U. Member States also prohibit the direct-to-consumer advertising of prescription-only medicinal products. Violations of the rules governing the promotion of medicinal products in the E.U. could be penalized by administrative measures, fines and imprisonment. As the United Kingdom medicinal products legislation is still largely based on E.U. legislation, the promotion of prescription-only medicines to the public and promotion of medicinal products not in compliance with the SmPC are both also prohibited under United Kingdom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all phases of development (pre- and post-marketing), failure to comply with applicable regulatory requirements may result in administrative or judicial sanctions. These penalties could include the imposition of a clinical hold on trials, refusal to approve pending applications, withdrawal of an approval, warning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Data Protection in the EEA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EEA,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data when applying for a generic or biosimilar marketing authorization for a period of eight years from the date on which the innovator’s product was first authorized in the EEA. During an additional two-year period of market exclusivity, a generic or biosimilar marketing authorization can be submitted and authorized, and the innovator’s data may be referenced, but no generic or biosimilar medicinal product can be placed on the E.U.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 marketing authorization application with a complete independent data package of pharmaceutical tests, preclinical tests and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Periods of Authorization and Renewals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marketing authorization has an initial validity for five years in principle. The marketing authorization may be renewed after five years on the basis of a re-evaluation of the risk-benefit balance by the EMA or by the competent authority of the relevant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EEA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EEA market (in case of centralized procedure) or on the market of the authorizing EEA Member State within three years after authorization ceases to be valid (the so-called sunset clause).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Pediatric Studies and Exclusivity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obtaining a marketing authorization in the EEA,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commonly referred to as the Pediatric Regulation. This requirement also applies when a company wants to add a new indication, pharmaceutical form or route of administration for a medicine that is already authorized. The Pediatric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an adult population. Before a marketing authorization application can be filed, or an existing marketing authorization can be amended, the EMA must determine that a company actually complied with the agreed studies and measures listed in each relevant PIP, unless the EMA has granted: (i) a product-specific waiver, (ii) a class waiver or (iii) a deferral for one or more of the measures included in the PIP. If an applicant obtains a marketing authorization in all EEA Member States, or a marketing authorization granted in the centralized procedure by the European Commission, and the study results of the pediatric clinical trials conducted in accordance with the PIP are included in the drug product information, even when negative, the medicine is then eligible for an additional six-month period of qualifying patent protection through extension of the term of the Supplementary Protection Certificate.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ind w:left="0" w:right="0" w:hanging="0"/>
        <w:jc w:val="center"/>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Requirements after a Marketing Authorization has been Obtained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 authorization for a medicinal product in the EEA is obtained, the holder of the marketing authorization is required to comply with a range of requirements applicable to the manufacturing, marketing, promotion and sale of medicinal products. These include: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the E.U.’s stringent pharmacovigilance or safety reporting rules must be ensured. These rules can impose post-authorization studies and additional monitoring obligations.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(“E.U. cGMP”). These requirements include compliance with E.U. cGMP standards when manufacturing medicinal products and APIs, including the manufacture of API outside of the E.U. with the intention to import the API into the E.U..</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marketing and promotion of authorized drugs, including industry-sponsored continuing medical education and advertising directed toward the prescribers of drugs and/or the general public, are strictly regulated in the E.U. notably under Directive 2001/83EC, as amended, and E. Member State laws. Direct-to-consumer advertising of prescription medicines is prohibited across the E.U..</w:t>
            </w:r>
          </w:p>
        </w:tc>
      </w:tr>
    </w:tbl>
    <w:p>
      <w:pPr>
        <w:pStyle w:val="TextBody"/>
        <w:bidi w:val="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Data Protection Regulation</w:t>
      </w:r>
    </w:p>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collection, use, disclosure, transfer or other processing of personal data of individuals (natural persons) in the E.U., including personal health data, is governed by the GDPR, which became effective and applicable on May 25, 2018. Since the application of the GDPR, the European data protection law background has been constantly implemented through the activity of the European Data Protection Board (EDPB) and the respective, national Supervisory Authorities, concerning the correct interpretation and application of the GDPR, as well as through the ruling of the Court of Justice of the E.U. (CJEU). The GDPR and E.U. Member States national data protection legislation, including Italy, are wide-ranging in scope and impose numerous requirements on companies that process personal data, including requirements relating to the processing of health and other sensitive data. For example, it is essential to obtain consent of the individuals to whom the personal data relates, providing notice to individuals regarding data processing activities, implementing suitable safeguards to protect the security and confidentiality of personal data, providing notification of data breaches, and taking certain measures when engaging third party processors. The GDPR also imposes strict rules on the transfer of personal data to countries outside the E.U., including the U.S. and the United Kingdom, and allows data protection authorities to impose large penalties for violations of the GDPR, including potential fines of up to € 20 million or 4% of annual global revenues, whichever is greater. As regards the transfer of (pseudonymized) personal data to the U.S., the CJEU case C-3111/18, also known as Schrems II, invalidated the European Commission’s adequacy decision for the E.U.-U.S. Privacy Shield Framework, which the majority of U.S. companies relied on to conduct trans-Atlantic trade in compliance with E.U. data protection rules. The decision reinforced the importance of data protection to global commerce and imposed E.U. companies trading with U.S. companies or organizations to rely the transfer of personal data on other legal basis or appropriate safeguards provided for in the GDPR, such as Standard Contractual Clauses (SCC), Binding Corporate Rules (BCR) or derogations for specific situations. The Privacy Shield Framework has now been replaced by the so-called “Data Privacy Framework E.U.-U.S. (DPF)”, an agreement that entered into force after the adoption of the EU Commission’s adequacy decision of 10 July 2023. US companies that adhere to the DPF are considered compliant with the GDPR requirements and data transfer from the E.U. to the U.S. within this framework is thus considered compliant. In June 2021, the E.U. Commission adopted decisions on the United Kingdom’s adequacy under the E.U.’s GDPR and Law Enforcement Directive (LED). In both cases, the European Commission found the United Kingdom to be adequate. This means that most data can continue to flow from the E.U. and the EEA without the need for additional safeguards. The GDPR also confers a private right of action on data subjects and consumer associations to lodge complaints with supervisory authorities, seek judicial remedies and obtain compensation for damages. Compliance with the GDPR and all relevant E.U. data protection rules will be a rigorous and time-intensive process that may increase our cost of doing business.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GDPR also confers a private right of action on data subjects and consumer associations to lodge complaints with supervisory authorities, seek judicial remedies and obtain compensation for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GDPR and all relevant E.U. data protection rules will be a rigorous and time-intensive process that may increase our cost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Pricing Decisions for Approved Drug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drug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drug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drug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drug products, if approved in those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obtain, maintain and enforce patent protection for our product candidates, formulations, processes, methods and any other proprietary technologies, preserve our trade secrets, and operate without infringing on the proprietary rights of other parties, both in the U.S. and in other countries. Our policy is to actively seek to obtain, where appropriate, the broadest intellectual property protection possible for our current product candidates and any future product candidates, proprietary information and proprietary technology through a combination of contractual arrangements and patents, both in the U.S. and abroad. However, patent protection may not afford us with complete protection against competitors who seek to circumvent our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depend upon the skills, knowledge, experience and know-how of our management and research and development personnel, as well as that of our advisors, consultants and other contractors. To help protect our proprietary know-how, which is not patentable, and for inventions for which patents may be difficult to enforce, we currently rely and will in the future rely on trade secret protection and confidentiality agreements to protect our interests. To this end, we require all of our employees, consultants, advisors and other contractors to enter into confidentiality agreements that prohibit the disclosure of confidential information and, where applicable, require disclosure and assignment to us of the ideas, developments, discoveries and inventions important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Temferon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Temferon is protected by the following patents families that contain both issued and/or pending patent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we filed a patent application relating to methods of treating solid cancers with Temferon in combination with a checkpoint inhibitor and, in September 2024, we filed a patent application relating to methods of treating renal cell carcinoma with Temferon in combination with a checkpoint inhibitor. These provisional patents are wholly owned by us.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while the following patent families are jointly owned by OSR and Fondazione Telethon (Telethon), as set forth in our December 15, 2014 license agreement with OSR (described below), Telethon granted OSR a worldwide exclusive license, with the right to sublicense, its rights in the patent families pursuant to a separate cooperation agreement between OSR and Telethon. As described below, we have a worldwide exclusive license, from OSR, to the following patent families (including the U.S. and European family members indicated) in the fields of: GBM, solid liver cancer (LC) and any lympho-hematopoietic indication:</w:t>
      </w:r>
    </w:p>
    <w:p>
      <w:pPr>
        <w:pStyle w:val="TextBody"/>
        <w:bidi w:val="0"/>
        <w:spacing w:before="0" w:after="0"/>
        <w:ind w:left="0" w:right="0" w:hanging="0"/>
        <w:jc w:val="both"/>
        <w:rPr>
          <w:caps w:val="false"/>
          <w:smallCaps w:val="false"/>
        </w:rPr>
      </w:pPr>
      <w:r>
        <w:rPr>
          <w:caps w:val="false"/>
          <w:smallCaps w:val="false"/>
        </w:rPr>
        <w:t> </w:t>
      </w:r>
    </w:p>
    <w:tbl>
      <w:tblPr>
        <w:tblW w:w="7925" w:type="dxa"/>
        <w:jc w:val="left"/>
        <w:tblInd w:w="0" w:type="dxa"/>
        <w:tblLayout w:type="fixed"/>
        <w:tblCellMar>
          <w:top w:w="0" w:type="dxa"/>
          <w:left w:w="0" w:type="dxa"/>
          <w:bottom w:w="28" w:type="dxa"/>
          <w:right w:w="0" w:type="dxa"/>
        </w:tblCellMar>
      </w:tblPr>
      <w:tblGrid>
        <w:gridCol w:w="3770"/>
        <w:gridCol w:w="60"/>
        <w:gridCol w:w="1490"/>
        <w:gridCol w:w="60"/>
        <w:gridCol w:w="1385"/>
        <w:gridCol w:w="60"/>
        <w:gridCol w:w="1100"/>
      </w:tblGrid>
      <w:tr>
        <w:trPr/>
        <w:tc>
          <w:tcPr>
            <w:tcW w:w="37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Focus / Family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Expiration</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 Vector comprising mi-RNA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10,000,757*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2002003 B1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5/26/2026*</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 of treatment claims)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9,556,438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PCT/IB2006/002266 (WO 2007/000668).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11,753,643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USSN 18/191,611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 Vector comprising mi-RNA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10,287,579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2424571 B1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4/30/2030</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 of treatment claims)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9,951,328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20167404.1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PCT/IB2010/001166 (WO / 2010/125471)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USP 11,407,996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USSN 17/855,135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1 Interferon Gene Therapy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USSN 16/604,484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3612624 B1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 24202037.8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4/20/2038**</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treatment claims)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PCT/EP2018/060238 (WO 2018/193119)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1 Interferon Gene Therapy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WO2024194223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WO2024194223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3/15/2044</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(composition and method of treatment claims)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PCT/EP2024/057093 (WO2024194223)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Later expiration for certain U.S. patents pursuant to patent term adjustment (35 U.S.C. §154(b)).</w:t>
      </w:r>
    </w:p>
    <w:p>
      <w:pPr>
        <w:pStyle w:val="TextBody"/>
        <w:bidi w:val="0"/>
        <w:spacing w:before="0" w:after="0"/>
        <w:ind w:left="0" w:right="0" w:firstLine="8"/>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Application pending, anticipated expiration based on 20-year patent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incorporates the use of a lentiviral vector (“LVV”) that combines a therapeutic transgene sequence, or payload, with our proprietary platform. Our proprietary platform consists of (i) the Tie-2 promoter, that drives transgene sequence transcription specifically in TEMs, and (ii) miRNA-126 target sequences to downregulate transgene expression post-transcription in those cells where the Tie-2 promoter is active and the miRNA-126 is present. Intellectual property protection for our proprietary platform includes an exclusive license to all issued patents and pending applications (if any) in the PCT/IB2006/002266 (WO 2007/000668) and PCT/IB2010/001166 (WO / 2010/125471) families, as well as trade secrets. [We retain the option to exclusively license the PCT/EP2018/060238 and PCT/EP2024/057093 patent families (which we have not yet exercised), along with any improvements, for additional indications (fields of use) and other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patents and patent applications that we own or have been granted licenses to, we may also rely on unpatented trade secrets, know-how, and continuing technological innovation to develop and maintain our competitive position. We seek to protect know-how and trade secrets through an active program of legal mechanism including invention assignments, confidentiality agreements, material transfer agreements, research collaborations and licenses to protect our product candidates. These agreements may be breached, and we may not have adequate remedies for any breach. In addition,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 For a more comprehensive discussion of the risks related to our intellectual property, please see “Risk Factors — Risks Related to Our Intellectual Property.”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Collaboration / Licensing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License Agreement with Ospedale San Raffaele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amended and restated license agreement (the “ARLA”) with OSR in March 2023.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effectiveness of the ARLA was subject to Italy’s Law Decree No. 21 of March 15, 2012 (i.e., the Italian </w:t>
      </w:r>
      <w:r>
        <w:rPr>
          <w:rFonts w:ascii="Times New Roman;Times;Serif" w:hAnsi="Times New Roman;Times;Serif"/>
          <w:b w:val="false"/>
          <w:i/>
          <w:caps w:val="false"/>
          <w:smallCaps w:val="false"/>
          <w:sz w:val="20"/>
        </w:rPr>
        <w:t>Golden Power</w:t>
      </w:r>
      <w:r>
        <w:rPr>
          <w:rFonts w:ascii="Times New Roman;Times;Serif" w:hAnsi="Times New Roman;Times;Serif"/>
          <w:b w:val="false"/>
          <w:i w:val="false"/>
          <w:caps w:val="false"/>
          <w:smallCaps w:val="false"/>
          <w:sz w:val="20"/>
        </w:rPr>
        <w:t xml:space="preserve"> regulations), as subsequently amended and supplemented, and would not become effective until the applicable Italian governmental authority consented to the ARLA. On April 20, 2023, such consent was received and the ARLA became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ARLA, OSR has granted us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 HSPC gene transfer with respect to (a) any solid cancer indication (including glioblastoma and solid liver cancer) and/or (b) any lympho-hematopoietic indication for which we exercise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we granted OSR a perpetual, worldwide, royalty-free, non-exclusive license to any improvement generated by us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us regarding the Lentigen know-how are non-exclusive and cannot be sublicensed due to a pre-existing nonexclusive sublicense to these rights between OSR and GlaxoSmithKline Intellectual Property Development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we have an exclusive option exercisable until April 20, 2026 to any OSR product improvements at no additional cost, which could be useful for the development and/or commercialization of licensed products in the field of use. We also have an exclusive option exercisable until April 20, 2026 (the “LHI Option Period”) to any lympho-hematopoietic indication(s) to be included as part of the field of use, on an indication-by-indication basis, subject to the payment of specified option fees and milestone payments:</w:t>
      </w:r>
    </w:p>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85"/>
        <w:gridCol w:w="543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4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 million for the first lympho-hematopoietic indication;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4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4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0.5 million for the second lympho-hematopoietic indication;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54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5435"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0.3 million for the third lympho-hematopoietic indication.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 fee is due for the fourth lympho-hematopoietic indication and any subsequent lympho-hematopoietic indications.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right to extend the LHI Option Period twice for additional 12-month periods, subject to the payment of specified extension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effective date of the ARLA, we paid OSR an upfront fee in amount equal to €250,000 pursuant to the Original OSR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as consideration, we agreed to pay OSR additional license fees equal to up to €875,000 in total, which were paid on April 20, 2023 for €225,000, on December 31, 2023 for €150,000, and the remaining portion of €500,000 are to be paid upon our entering into a sublicense agreement with a third party sublicensee (pursuant to which we are entitled to receive an upfront payment in an amount exceeding a specified threshold from such sublicensee) during the period between September 30, 2022 and April 20, 2028 (with most of these additional license fees being triggered upon our entering into such a sublicense agreement). In addition, we have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We also agreed to pay OSR a royalty of our net sublicensing income for each licensed product and to pay OSR certain milestone payments upon the achievement of certain milestone events, such as the initiation of different phases of clinical trials of a licensed product, MAA approval by a major market country, MAA approval in the U.S., the first commercial sale of a licensed product in the U.S. and certain E.U. countries, and achievement of certain net sales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ARLA, we have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We are also obligated to carry out our development activities using qualified and experienced professionals and sufficient level of resources. In particular, consistent with the terms of the Original OSR License Agreement, the ARLA continues to require us to invest (a) at least €5,425,000 with respect to the development of the licensed products, and (b) at least €2,420,000 with respect to the manufacturing of such licensed products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OSR maintains control of the preparation, prosecution and maintenance of the patents licensed. We are obligated to pay those costs unless additional licensees benefit from these rights, in which case the cost will be shared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OSR controls enforcement of the patents and know-how rights, at its own expense. In the event that OSR fails to file suit to enforce such rights after notice from us, we have the right to enforce the licensed technology within the field of use. Both we and OSR must consent to settlement of any such litigation, and all monies recovered will be shared, after reimbursement for costs, in relation to the damages suffered by each party, or failing a bona fide agreement between us and OSR, on a 50% - 50%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ARLA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we fail to pay any of the upfront payment, additional license fees, sublicensing income or milestone payments within 30 days of due dates for each. In addition, OSR may terminate (with a 60-business-day prior written notice) our rights as to certain fields of use for our failure to achieve certain development milestones for specified licensed products within certain time periods, which may be subject to extension.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Amended and Restated License Agreement with OSR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2023, we entered into an amendment to the ARLA, whereby we and OSR agreed that we had fulfilled the obligations as set forth in the ARLA specific to Candidate Products 1 pursuant to the CP1 SRA (as defined below). Furthermore, the amendment provides that we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sponsored research agreement with regards to Candidate Products 2, OSR granted us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our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Sponsored Research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we entered into a Sponsored Research Agreement (“CP1 SRA”), which was contemplated under the ARLA, pursuant to which we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us and provide an estimate for completing the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the date of execution from the CP1 SRA until six months from the last report delivered to us under the CP1 SRA (the “CP1 Option Period”), we have the exclusive option to include certain intellectual property related to Candidate Products 1 and Candidate Products 1 as part of the licensed patents and licensed products under the ARLA. To exercise this option, we must pay an option exercise fee. We also have the right to extend the CP1 Option Period twice for additional 24-month periods. The extension requires payment of an extension fee for each 24-month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Know-How License Agreement with Fondazione Telethon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we entered into a Know-How License Agreement with Telethon (Telethon License Agreement). Telethon granted us a non-exclusive, perpetual, sublicensable (through multiple tiers), royalty-bearing, worldwide license to use its manufacturing know-how in the research and development, sale and export of any product, which is defined therein as any lentiviral vector regulated by miRNA 126 and/or miRNA 130 and/or other miRNAs with the same expression pattern as miRNA 126 and/or miRNA 130 in hematopoietic cells for the expression of any anticancer protein under the control of a Tie2 promoter or INF under the control of any promoter other than Tie2 for any cancer indication. As consideration for the license, we agreed to pay Telethon a royalty equal to a low single digit percentage of any actual payments (excluding taxes) to any CMO for the manufacturing of any product using the licensed know-how. The royalty payments must be made for eight (8) years from the effective date, or until February 2, 2024. At December 31, 2024, there were no royalties payments due. The parties may terminate the agreement in the event the other party breaches its obligations therein, which termination shall become effective sixty (60) business days following written notice thereof to the breaching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and have not been notified of any claims in respect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2" w:name="aa_001"/>
      <w:bookmarkEnd w:id="52"/>
      <w:r>
        <w:rPr>
          <w:rFonts w:ascii="Times New Roman;Times;Serif" w:hAnsi="Times New Roman;Times;Serif"/>
          <w:b/>
          <w:i w:val="false"/>
          <w:caps w:val="false"/>
          <w:smallCaps w:val="false"/>
          <w:sz w:val="20"/>
        </w:rPr>
        <w:t>C. Organizational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S.p.A. owns 100% of Genenta Science,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33625" cy="2352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333625" cy="2352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 w:name="aa_002"/>
      <w:bookmarkEnd w:id="53"/>
      <w:r>
        <w:rPr>
          <w:rFonts w:ascii="Times New Roman;Times;Serif" w:hAnsi="Times New Roman;Times;Serif"/>
          <w:b/>
          <w:i w:val="false"/>
          <w:caps w:val="false"/>
          <w:smallCaps w:val="false"/>
          <w:sz w:val="20"/>
        </w:rPr>
        <w:t>D. Plants,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located in Milan, Via Olgettina 58 within OSR - San Raffaele Hospital, Italy, where we lease approximately 51 square meters of office space (three (3) offices). The lease commenced in January 2020 and has a six (6) year initial term. It will expire on December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2025, and may be renewed for an additional six (6) years. We also have an office in a co-working space located in Alexandria Center - LaunchLabs, 430 East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New York, NY. We believe that our existing facilities are adequate for our near-term needs, and we believe that suitable additional or alternative office will be available as required in the future on commercially reasonable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 w:name="aa_003"/>
      <w:bookmarkEnd w:id="54"/>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 w:name="aa_004"/>
      <w:bookmarkEnd w:id="55"/>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consolidated financial statements and related notes included in this Annual Report beginning on page F-1. The following discussion and analysis contain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 w:name="aa_005"/>
      <w:bookmarkEnd w:id="56"/>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clinical-stage biotechnology company engaged in the development of hematopoietic stem cell gene therapies for the treatment of solid tumors. We have developed a novel biologic platform which involves the </w:t>
      </w:r>
      <w:r>
        <w:rPr>
          <w:rFonts w:ascii="Times New Roman;Times;Serif" w:hAnsi="Times New Roman;Times;Serif"/>
          <w:b w:val="false"/>
          <w:i/>
          <w:caps w:val="false"/>
          <w:smallCaps w:val="false"/>
          <w:sz w:val="20"/>
        </w:rPr>
        <w:t>ex-vivo</w:t>
      </w:r>
      <w:r>
        <w:rPr>
          <w:rFonts w:ascii="Times New Roman;Times;Serif" w:hAnsi="Times New Roman;Times;Serif"/>
          <w:b w:val="false"/>
          <w:i w:val="false"/>
          <w:caps w:val="false"/>
          <w:smallCaps w:val="false"/>
          <w:sz w:val="20"/>
        </w:rPr>
        <w:t xml:space="preserve"> gene transfer of a therapeutic candidate into autologous hematopoietic stem/progenitor cells (HSPCs) to deliver immunomodulatory molecules directly to the tumor by infiltrating monocytes/macrophages (Tie2 Expressing Monocytes -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2014, we have devoted substantially all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and convertible debt securities, which through December 31, 2024, aggregated gross cash proceeds of approximately €68.5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years ended December 31, 2024, 2023 and 2022 were approximately €8.9 million, €11.6 million, and €8.5 million, respectively. At December 31, 2024, we had an accumulated deficit of approximately €56.0 million. Substantially all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compliance, and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securities, including the net proceeds from our initial public offering (“IPO”) in December 2021 and follow-on offerings, and proceeds from our mandatory convertible bond financing in March 2025.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we had cash and cash equivalents of approximately €4.6 million and marketable securities of approximately €8.1 million. Our existing cash and cash equivalents as of December 31, 2024, plus €7.5 million in gross proceeds from our March 2025 mandatory convertible bond financing, will enable us to fund our operating expenses and capital expenditure requirements until approximately May 2026. We have based this estimate on assumptions that may prove to be wrong, and we could exhaust our available capital resources sooner than we expect. See “Liquidity and Capital Resources.” To finance our continuing operations, we will need to raise additional capital, which cannot be assured.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 since inception and do not expect to generate any revenue from the sale of products in the near term until we obtain regulatory approval of, and commercialize,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operating expenses consist of two components – research and development expenses, and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These expenses consist of costs incurred in connection with the development of our product candidates,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 and milestone payments incurred in connection with our license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contract research organizations (“CROs”), contract manufacturing organizations (“CMOs”), as well as investigative sites and consultants that conduct or support our clinical trials, preclinical studies and other scientific development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scale-up expenses and the cost of acquiring and manufacturing preclinical and clinical trial materials and (in due course) commercial materials, including manufacturing validation batches;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social security charges, related benefits, severance indemnity in case of termination of employees’ relationships, travel and share-based compensation expense for employees engaged in research and development functions and consulting fees;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compliance with regulatory requirements;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costs, depreciation, and other expenses, which include rent and utilities.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for managing our preclinical development, process development, manufacturing, and clinical development activities. These employees work across programs, and therefore, we do not track their costs by program. We elected to present the research and development expenditure net of research and development tax credit on the statements of operations and comprehensive loss. However, not all our research and development expenses are allocated by program:</w:t>
      </w:r>
    </w:p>
    <w:p>
      <w:pPr>
        <w:pStyle w:val="TextBody"/>
        <w:bidi w:val="0"/>
        <w:spacing w:before="0" w:after="0"/>
        <w:ind w:left="0" w:right="0" w:hanging="0"/>
        <w:jc w:val="left"/>
        <w:rPr>
          <w:caps w:val="false"/>
          <w:smallCaps w:val="false"/>
        </w:rPr>
      </w:pPr>
      <w:r>
        <w:rPr>
          <w:caps w:val="false"/>
          <w:smallCaps w:val="false"/>
        </w:rPr>
        <w:t> </w:t>
      </w:r>
    </w:p>
    <w:tbl>
      <w:tblPr>
        <w:tblW w:w="9005" w:type="dxa"/>
        <w:jc w:val="left"/>
        <w:tblInd w:w="0" w:type="dxa"/>
        <w:tblLayout w:type="fixed"/>
        <w:tblCellMar>
          <w:top w:w="0" w:type="dxa"/>
          <w:left w:w="0" w:type="dxa"/>
          <w:bottom w:w="0" w:type="dxa"/>
          <w:right w:w="0" w:type="dxa"/>
        </w:tblCellMar>
      </w:tblPr>
      <w:tblGrid>
        <w:gridCol w:w="5270"/>
        <w:gridCol w:w="60"/>
        <w:gridCol w:w="140"/>
        <w:gridCol w:w="980"/>
        <w:gridCol w:w="60"/>
        <w:gridCol w:w="60"/>
        <w:gridCol w:w="140"/>
        <w:gridCol w:w="980"/>
        <w:gridCol w:w="60"/>
        <w:gridCol w:w="60"/>
        <w:gridCol w:w="140"/>
        <w:gridCol w:w="980"/>
        <w:gridCol w:w="75"/>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Year Ended December 31,</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75"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 research and development expenses by program: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TEM-GBM Phase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984,458</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TEM-GBM Phase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TEM-MM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TEM-LT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TEM-GU Phase 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953,794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Unallocated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Personnel (including share-based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1,443,510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992,281</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Consultants and other third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544634</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Materials &amp; supplies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783,880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3,639,920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2,790,982</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Travel &amp; entertainment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25,276</w:t>
            </w:r>
          </w:p>
        </w:tc>
        <w:tc>
          <w:tcPr>
            <w:tcW w:w="75"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6,474,441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5,338,962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however, manufacturing costs in earlier-stage clinical trials tend to be higher due to the high cost associated with scaling up the manufacturing process and the smaller number of patients over which to spread those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from 2023, we implemented a new management accounting system, enabling the division of expenses by project, allowing for a more precise allocation of direct costs, including manufacturing costs, to the respective projects. This process has consequently led to a reduction in the balance of manufacturing costs that are not specifically allocated to any project but are incurred for the general benefit of all ongoing research and development activities, as shown in the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had a decrease in research and development expenses in 2024, compared to 2023, that was due to several factors as explained in the section “—Results of Operations - </w:t>
      </w:r>
      <w:r>
        <w:rPr>
          <w:rFonts w:ascii="Times New Roman;Times;Serif" w:hAnsi="Times New Roman;Times;Serif"/>
          <w:b w:val="false"/>
          <w:i/>
          <w:caps w:val="false"/>
          <w:smallCaps w:val="false"/>
          <w:sz w:val="20"/>
        </w:rPr>
        <w:t>Comparison of Year Ended December 31, 2024 to Year Ended December 31, 2023</w:t>
      </w:r>
      <w:r>
        <w:rPr>
          <w:rFonts w:ascii="Times New Roman;Times;Serif" w:hAnsi="Times New Roman;Times;Serif"/>
          <w:b w:val="false"/>
          <w:i w:val="false"/>
          <w:caps w:val="false"/>
          <w:smallCaps w:val="false"/>
          <w:sz w:val="20"/>
        </w:rPr>
        <w:t>,” but we expect that our research and development expenses, will increase substantially over the next several years, particularly as we increase the number of patients treated in our clinical trials, as well as due to increases in personnel costs, including share-based compensation,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outcome, and costs of our preclinical development activities, clinical trials and other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 appropriate safety profile with IND-enabling studies;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patient enrollment in, and the design, initiation and completion of,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receipt and terms of any marketing approvals from applicable regulatory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clinical and commercial manufacturing capabilities or making arrangements with third party manufacturers;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timely delivery of commercial-grade drug formulations that can be used in our clinical trials and for commercial launch;</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maintaining, defending and enforcing patent claims and other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qualifying for, and maintaining, adequate coverage and reimbursement by the government and other payors for any product candidate for which we obtain marketing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launching commercial sales of our product candidates, if and when approved, whether alone or in collaboration with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any competing technological and market developments;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 continued acceptable safety profile of the product candidates following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AIFA, EMA,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and consulting fees, related benefits, travel, and share-based compensation expense for personnel in executive, finance, and administrative functions. General and administrative expenses also include professional fees for legal, consulting, accounting, and audit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general and administrative expenses will increase in the future as we increase our headcount to support our continued research activities and development of our product candidates. We also anticipate that we will continue to incur additional accounting, audit, legal, regulatory, compliance, director and officer insurance costs, as well as legal, investor and public relations expenses associated with being a public company. Additionally, if we believe a regulatory approval of a product candidate appears likely, we anticipate an increase in payroll and other expense in order to perpare for commercial operations, especially as it relates to the sales and marketing of our product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income/(expense), foreign exchange income/(loss). For the year ended December 31, 2024, the net balance of other income/(expense) amounted to approximately €869,000 and mainly related to net financial interest income of approximately € 616,000, net unrealized foreign exchange gain of approximately € 260,000, and net realized foreign exchange loss of approximately €(7,000).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net balance of other income/(expense) amounted to approximately €87,000 and mainly related to net financial interest income of approximately € 304,000, net unrealized foreign exchange losses of approximately € (257,000), and net realized foreign exchange gain of approximately €40,000.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other income (expense) consisted primarily of a tax benefit approved by the Italian Tax Agency of €180,000 related to the allowance for corporate equity (“ACE”), and financial fees reimbursement of approximately €28,000.</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differences between periods in the Other income (expense) category is due to the performance of our investment activities, which are influenced by the price trends of US Treasury Bills and Italian Government Bonds and interest rates, and to the macroeconomic situation that affects the purchasing power of currencies like US Dollar versus Euro.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taxation in Italy and the U.S. Taxes are recorded on an accrual basis. These taxes therefore represent the allowances for taxes paid or to be paid for the year, calculated according to the current enacted rates and applicable laws. Due to the tax loss position reported, no income taxes were due for the years ended December 31, 2024,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each reporting date, we consider existing evidence, both positive and negative, that could impact our view of the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December 31, 2024.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open statutes of limitations for Italian tax authorities to audit our tax returns. There have been no material income tax-related interests or penalties assessed or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liability related to uncertain tax positions reported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legislation in force, as updated by the Italian Budget Law 2022, companies in Italy that invested in eligible research and development activities, regardless of the legal form and economic sector in which they operate, can benefit from a tax credit up to 10% of the increase of annual research and development expenses incurred, up to a maximum of €5.0 million, which can be used as compensation in order to reduce most taxes payable, including income tax or regional tax on productive activities, as well as of social security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Italian Budget Law also established that the actual support of eligible expenses and its correspondence with the accounting documents must result from a specific certification issued by the person responsible for the legal audit and, in addition to the audit report, a technical report is also required. In addition, the tax credit due can only be used as compensation in three equal annual instalments. The measure is provided up to the tax period ending December 31, 2031; however, starting with the fiscal year 2023, and in respect subsequent fiscal periods, the tax credit rate was decreased from 20% to 10% of the eligible expenses, and the annual ceiling of the credit was increased from €4.0 million to €5.0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2023 and 2022, we recorded research and development tax benefits of approximately €373,000, €428,000, and €890,000, respectively.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 Ended December 31, 2024 to Year Ended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2024, and 2023:</w:t>
      </w:r>
    </w:p>
    <w:p>
      <w:pPr>
        <w:pStyle w:val="TextBody"/>
        <w:bidi w:val="0"/>
        <w:spacing w:before="0" w:after="0"/>
        <w:ind w:left="0" w:right="0" w:hanging="0"/>
        <w:jc w:val="left"/>
        <w:rPr>
          <w:caps w:val="false"/>
          <w:smallCaps w:val="false"/>
        </w:rPr>
      </w:pPr>
      <w:r>
        <w:rPr>
          <w:caps w:val="false"/>
          <w:smallCaps w:val="false"/>
        </w:rPr>
        <w:t> </w:t>
      </w:r>
    </w:p>
    <w:tbl>
      <w:tblPr>
        <w:tblW w:w="9365" w:type="dxa"/>
        <w:jc w:val="left"/>
        <w:tblInd w:w="0" w:type="dxa"/>
        <w:tblLayout w:type="fixed"/>
        <w:tblCellMar>
          <w:top w:w="0" w:type="dxa"/>
          <w:left w:w="0" w:type="dxa"/>
          <w:bottom w:w="0" w:type="dxa"/>
          <w:right w:w="0" w:type="dxa"/>
        </w:tblCellMar>
      </w:tblPr>
      <w:tblGrid>
        <w:gridCol w:w="6365"/>
        <w:gridCol w:w="60"/>
        <w:gridCol w:w="140"/>
        <w:gridCol w:w="1220"/>
        <w:gridCol w:w="95"/>
        <w:gridCol w:w="60"/>
        <w:gridCol w:w="140"/>
        <w:gridCol w:w="1175"/>
        <w:gridCol w:w="11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11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6,474,441</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4,951,456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5,258,501</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9,764,31020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11,732,942</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(9,764,310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(11,732,942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309,253</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exchange rate gain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(216,891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87,487</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(8,912,495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(11,645,455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(8,912,495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(11,645,455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18,273,490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18,216,907</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change of marketable debt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(118,750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214,984</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foreign currency translation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(23,446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(15,853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3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comprehensive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(142,196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199,131</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(9,054,691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(11,446,324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presented basic and diluted loss per share at December 31, 2024, which consists of our historical loss divided by the basic and diluted weighted average number of ordinary shares outstanding at December 31, 2024. There was no dilutive impact due to our net loss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approximately €4.8 million for the year ended December 31, 2024, as compared to approximately €6.5 million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of €1.7 million was mainly due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manufacturing costs of approximately €0.4 million, as a net result of: i) a decrease in manufacturing activities and plasmid preparation of Lentiviral Vector (“LVV”) of approximately €0.7 million; and ii) an increase in CRO fees due to the commencement in October 2024 of the TEM-GU clinical trial of approximately €0.3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manufacturing costs of approximately €0.4 million related to the final phase of the scale-up manufacturing of LVV for gene therapy, mostly incurred in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of approximately €0.3 million in the costs associated with the technology transfer from the AGC Biologics’ Olgettina facility to its Bresso site for drug product manufacturing, mostly completed in 2023;</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trial costs of approximately €0.1 million as a net result of: i) a decrease in trial costs related to the last cohort of our TEM-GBM Phase 1 dose-ranging study completed in May 2024, for approximately €0.2 million; and ii) an increase in trial costs related to TEM-GU clinical trial commenced in October 2024 of approximately €0.1 million;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 in fees to OSR of approximately €0.5 million in line with the fee payment schedule provided by the ARLA and related Sponsored Research Agreement.</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2024, and December 31, 2023, we utilized approximately €0.7 million per year of research and development tax credit to offset certain social contributions and taxes payable. The benefit recorded for the years ended December 31, 2024, and 2023, to offset research and development expenses was approximately €0.4 million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approximately €5.0 million for the year ended December 31, 2024, as compared to approximately €5.3 million for the year ended December 31, 2023. The decrease of approximately €0.3 million was primarily due to a reduction in compensation expense, including stock option expenses of approximately €0.2 million as a result of two (2) employees who left the company in the second half of 2024, and a cumulative reduction of approximately €0.1 million in other general and administrative expenses mainly related to audit costs and insurance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approximately €0.5 million at December 31, 2024, while other income (expense) was not material for the year ended December 31, 2023. The reason for this change was due to an increase in capital gain income from favorable performance of our financial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financial income was approximately €0.1 million for the year ended December 31, 2024, compared to a net financial income of approximately €0.3 million for the year ended December 31, 2023. The change was mainly related to financial interest income on financial investments made in 2024 and 2023 in U.S. Treasury bills and Italian government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exchange rate gain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exchange gain was approximately €0.3 million for the year ended December 31, 2024, compared to a net exchange loss of approximately €0.2 million for the year ended December 31, 2023. The change in respect of the preceding year was due to the fluctuation of the USD versus Euro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was approximately €8.9 million for the year ended December 31, 2024, as compared to approximately €11.6 million for the year ended December 31, 2023. The decrease in our net loss of approximately €2.7 million was primarily due to a decrease in research and development expenses of approximately €1.6 million, a decrease in general and administrative expenses of approximately €0.3 million, an increase in net financial income of approximately €0.3 million, and a positive exchange rate fluctuation effect of approximately €0.5 million compared to the previous year.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 Ended December 31, 2023 to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9905" w:type="dxa"/>
        <w:jc w:val="left"/>
        <w:tblInd w:w="0" w:type="dxa"/>
        <w:tblLayout w:type="fixed"/>
        <w:tblCellMar>
          <w:top w:w="0" w:type="dxa"/>
          <w:left w:w="0" w:type="dxa"/>
          <w:bottom w:w="0" w:type="dxa"/>
          <w:right w:w="0" w:type="dxa"/>
        </w:tblCellMar>
      </w:tblPr>
      <w:tblGrid>
        <w:gridCol w:w="6950"/>
        <w:gridCol w:w="60"/>
        <w:gridCol w:w="140"/>
        <w:gridCol w:w="1175"/>
        <w:gridCol w:w="95"/>
        <w:gridCol w:w="60"/>
        <w:gridCol w:w="140"/>
        <w:gridCol w:w="1175"/>
        <w:gridCol w:w="110"/>
      </w:tblGrid>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Year Ended December 31,</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110" w:type="dxa"/>
            <w:tcBorders/>
            <w:vAlign w:val="center"/>
          </w:tcPr>
          <w:p>
            <w:pPr>
              <w:pStyle w:val="TableContents"/>
              <w:bidi w:val="0"/>
              <w:spacing w:before="0" w:after="283"/>
              <w:jc w:val="left"/>
              <w:rPr/>
            </w:pPr>
            <w:r>
              <w:rPr/>
              <w:t> </w:t>
            </w:r>
          </w:p>
        </w:tc>
      </w:tr>
      <w:tr>
        <w:trPr/>
        <w:tc>
          <w:tcPr>
            <w:tcW w:w="6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110" w:type="dxa"/>
            <w:tcBorders/>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6,474,441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5,338,962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5,258,501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5,705,030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11,732,942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11,043,992</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(11,732,942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(11,043,992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Others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242,554</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309,253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36,985</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exchange rate gain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(216,891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2,286,690</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Awards and subsidies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2,566,229</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(11,645,455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(8,477,763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(11,645,455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(8,477,763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18,216,907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18,216,858</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marketable debt securities fair value measurement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foreign currency translation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(11,446,324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(8,477,763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presented basic and diluted loss per share at December 31, 2023, which consists of our historical loss divided by the basic and diluted weighted average number of ordinary shares outstanding at December 31, 2023. There was no dilutive impact due to our net loss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approximately €6.5 million for the year ended December 31, 2023, as compared to approximately €5.3 million for the year ended December 31, 2022. The increase of approximately €1.2 million was mainly due to LVV (lentiviral vector for gene therapy) production activities. The increase in production activities related to the increase in the number of patients enrolled, the preparation of Phase II involving plasmid, cell banks production, and the cost of the manufacturing site transfer to a new location in 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we utilized approximately €0.7 million of research and development tax credit to offset certain social contributions and taxes payable, while we utilized approximately €0.6 million for such purpose during 2022. The benefit recorded for the years ended December 31, 2023 and 2022 to offset research and development expenses was approximately €0.4 million and €0.7 million, respectively. The decrease in the benefit recorded for the year ended December 31, 2023, compared to the year ended December 31, 2022, was primarily due to the R&amp;D tax rate reduction from 20% to 10% of the eligible expenses, starting from January 2023, as provided by the 2022 Italian Budget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approximately €5.3 million for the year ended December 31, 2023, as compared to approximately €5.7 million for the year ended December 31, 2022. The decrease was primarily due to a decrease in our insurance cost, as we were able to significantly reduce the cost of our directors and officers insurance without reducing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was not material for the year ended December 31, 2023, as compared to approximately €243,000 for the year ended December 31, 2022, which was mainly due to a tax benefit to help our economic growth “ACE” (i.e., allowance for corporate equity) and a reimbursement for bank fees and commissions both accrued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financial income was approximately €309,000 for the year ended December 31, 2023, compared to a net financial loss of approximately €37,000 for the year ended December 31, 2022. The change was mainly related to financial interest income on financial investments made in 2023 in U.S. Treasury bills and Italian government bonds.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Exchange Rate Gain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exchange loss was approximately €(217,000) for the year ended December 31, 2023 compared to approximately €2.3 million for the year ended December 31, 2022. The change in respect of the preceding year was due to the fluctuation of the USD versus Euro exchange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net exchange loss was due to a net unrealized foreign exchange loss of approximately €(257,000), and a net realized foreign exchange gain of approximately €40,000.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net exchange rate gain was mainly due to an approximately €1.6 million of net exchange rate gain realized on the conversion of $12.0 million of IPO proceeds collected in December 2021 to Euros, an approximately €0.4 million net exchange rate gain realized on USD trade payables and an approximately €0.3 million net exchange rate gain unrealized on USD bank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was approximately €11.6 million for the year ended December 31, 2023, as compared to approximately €8.5 million for the year ended December 31, 2022. The increase in our loss of approximately €3.2 million was primarily due to the net exchange rate loss compared to the net exchange rate gain in the prior year, the increase in our overall research and development spending, and the decrease in tax benefits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generally accepted accounting principles in the U.S.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accounting policies described below are critical to understand the judgements and estimates used in the consolidated financial statements and to fully understand and evaluate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Many of our service providers invoice us in arrears for services performed, on a pre-determined schedule or when contractual milestones are met; however, some require advanced payments. We attempt to obtain estimates directly from vendors on work performed, if possible. If we are unable to obtain estimates from vendors, we estimate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vendors, including central laboratories, in connection with preclinical development activities, especially, OSR, a co-founding stockholder, significant related party vendor and a leading center for ex-vivo gene therapy for inherited diseases;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 and investigative sites in connection with preclinical and clinical studies;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CMOs in connection with drug substance and drug product formulation of preclinical and clinical trial materials.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period. To date, there have not been any material adjustments to our prior estimates of accrued 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reward the efforts of employees, officers, directors, and certain consultants, and to promote our growth and development, the Board may approve, upon occasion, various share-based awards. Our stock option plan (the “Equity Incentive Plan 2021–2025” or the “Plan”), pursuant to which stock options are granted, was originally approved on May 20,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our shareholders modified the 2021–2025 Equity Incentive Plan to extend the final deadline for the issuance of the ordinary shares until December 31, 2035, in order to allow that all stock options granted during the term of the Plan could provide for an exercise period of 10 years starting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have authorized options on 1,828,986 ordinary shares (i.e., 10% of the number of shares outstanding, which was 18,289,866 ordinary shares outstanding at December 31, 2024); however, as provided by the Plan, we may increase the authorized shares under the Plan up to a maximum of 2,700,000 ordinary shares without further shareholder approval. Therefore, as we raise additional capital, the Board has the authority to issue options on 1,828,986 to 2,700,000 ordinary shares, as the number of issued and outstanding ordinary shares grows, i.e., we do not have to obtain further authorization from shareholders to increase the number of ordinary shares available for equity grants until the outstanding ordinary shares exceed 27,000,000.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adoption of Accounting Standards Update (“ASU”) No. 2018-07, Compensation—Stock Compensation (Topic 718): Improvements to Nonemployee Share-Based Payment Accounting on January 1, 2019, we measure our stock option awards granted to employees, officers, directors, and consultants based on their fair value on the date of the grant and recognize compensation expense for those awards over the requisite service period, which is normally the vesting period of the respective award. Forfeitures are accounted for as they occur. The measurement date for option awards is the date of the grant. We classify stock-based compensation expense in our Consolidated Statement of Operations and Comprehensive Loss in the same manner in which the award recipient’s payroll costs are classified or in which the award recipient’s service payments are classified.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chose the Black-Scholes-Merton model because it is considered easier to apply and it is a defined equation and incorporates only one set of inputs. As a result, it is the model most commonly in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Tax Credit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account for our research and development tax credit receivable in accordance with IAS 20 </w:t>
      </w:r>
      <w:r>
        <w:rPr>
          <w:rFonts w:ascii="Times New Roman;Times;Serif" w:hAnsi="Times New Roman;Times;Serif"/>
          <w:b w:val="false"/>
          <w:i/>
          <w:caps w:val="false"/>
          <w:smallCaps w:val="false"/>
          <w:sz w:val="20"/>
        </w:rPr>
        <w:t>Accounting for Government Grants and Disclosure of Government Assistance</w:t>
      </w:r>
      <w:r>
        <w:rPr>
          <w:rFonts w:ascii="Times New Roman;Times;Serif" w:hAnsi="Times New Roman;Times;Serif"/>
          <w:b w:val="false"/>
          <w:i w:val="false"/>
          <w:caps w:val="false"/>
          <w:smallCaps w:val="false"/>
          <w:sz w:val="20"/>
        </w:rPr>
        <w:t>. The receivable is recognized when there is reasonable assurance that: (1) the recipient will comply with the relevant conditions and (2) the grant will be received. We elected to present the credit net of the related expenditure on the statements of operations and comprehensive loss. While these tax credits can be carried forward indefinitely, we recognized an amount which reflects management’s best estimate of the amount that is reasonably assured to be realized or utilized in the foreseeable future based on historical benefits realized, adjusted for expected changes, as applicable.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Under the Jumpstart Our Business Startups Act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engaged in any off-balance sheet arrangements, such as the use of unconsolidated subsidiaries, structured finance, special purpose entities, or 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any future off-balance sheet arrangements and commitments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or marketable securities, is held in deposits that bear interest. Given the current rates of interest we receive, we will not be adversely affected if such rates are reduced. Our market risk exposure is primarily a result of foreign currency exchange rates, which is discussed in detail in the following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and cash flow are subject to significant fluctuations due to changes in foreign currency exchange rates. Our liquid assets and our expenses are denominated in EUR and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our business, our results of operations, and our cash flows might be subject to fluctuations due to changes in foreign currency exchange rates, which could adversely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hypothetical movement of 10% in USD to the EUR exchange rate would have had an impact of approximately €0.5 million on our net result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do not hedge our foreign currency exchange risk. In the future, we may enter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 w:name="aa_006"/>
      <w:bookmarkEnd w:id="57"/>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any revenue and have incurred significant operating losses and negative cash flows from our operations. We have funded our operations to date primarily with proceeds from the sales of quotas, in prior years as an S.r.l., and through our IPO of our shares as an S.p.A. We received gross cash proceeds of approximately €33.6 million from sales of quotas (pre-IPO), and approximately €32.7 million of gross proceeds from the IPO in December 2021. In addition, we received approximately €0.3 million of net proceeds from sales of our ADSs through our current and prior at-the-market (“ATM”)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had approximately €12.7 million in cash and cash equivalents and marketable securities.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cash flows for the years indicated:</w:t>
      </w:r>
    </w:p>
    <w:p>
      <w:pPr>
        <w:pStyle w:val="TextBody"/>
        <w:bidi w:val="0"/>
        <w:spacing w:before="0" w:after="0"/>
        <w:ind w:left="0" w:right="0" w:hanging="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4955"/>
        <w:gridCol w:w="60"/>
        <w:gridCol w:w="140"/>
        <w:gridCol w:w="1055"/>
        <w:gridCol w:w="95"/>
        <w:gridCol w:w="60"/>
        <w:gridCol w:w="140"/>
        <w:gridCol w:w="1175"/>
        <w:gridCol w:w="95"/>
        <w:gridCol w:w="60"/>
        <w:gridCol w:w="140"/>
        <w:gridCol w:w="1100"/>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(6,240,174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(11,205,023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(7,418,236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in)/produced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6,883,064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(14,892,666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Effect of exchange rate changes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890,329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(26,103,436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(7,445,306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at beginning of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37,240,162</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at end of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4,581,749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operating activities used approximately €6.2 million of cash and cash equivalents, resulting from our net loss of approximately €8.9 million, partially offset by non-cash charges of approximately €0.9 million and the cash generated by our operating assets and liabilities of approximately €1.9 million. The non-cash charges primarily included approximately €0.7 million of share-based compensation expense, approximately €0.1 million of unrealized gain on purchase of marketable securities, and other minor amounts of depreciation, retirement benefit obligation expense and cumulative translation adjustment. The net changes in our operating assets and liabilities were primarily due to: a decrease in other non-current assets due to a long-term VAT refund of approximately €0.4 million and the reduction of approximately €1.0 million from the research and development tax credit estimate; an increase in trade payables of approximately €0.2 million, primarily due to a lower premium for the D&amp;O insurance policy, amounting to approximately €0.2 million; and an increase of approximately €0.2 million in accrued expenses -related parties, due to bonuses accrued at the end of 2023 that have not yet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operating activities used approximately €11.0 million of cash and cash equivalents, resulting from our net loss of approximately €11.6 million, partially offset by non-cash charges of approximately €1.1 million and the cash generated by our operating assets and liabilities of approximately €0.4 million. The non-cash charges primarily included approximately €0.7 million of share-based compensation expense, approximately €0.2 million of unrealized gain on purchase of marketable securities, and other minor amounts of depreciation, retirement benefit obligation expense and cumulative translation adjustment. The net changes in our operating assets and liabilities were primarily due to a decrease in accounts payable. The decrease in accounts payable compared to the prior period, was mainly due to bills from certain suppliers, advisors, and legal consultants received in December 2022 that were paid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operating activities used approximately €7.4 million of cash and cash equivalents, resulting from our net loss of approximately €8.5 million, partially offset by non-cash charges of approximately €0.8 million and the cash generated by our operating assets and liabilities of approximately €0.2 million. The non-cash charges primarily included approximately €0.7 million of share-based compensation expense, and other minor amounts of depreciation, retirement benefit obligation expense and cumulative translation adjustment. The net changes in our operating assets and liabilities were primarily due to an increase in account payable and accrued expenses, as well as an increase in other current liabilities. The increase in account payable was mainly due to bills from certain suppliers, advisors, and legal consultants received in December 2022 that were paid in January 2023, as well as an increase in account payables to OSR, a related party. The increase in accrued expenses were mainly due to an increase in related parties-accrued expenses for invoices to be received from OSR and for senior management bonuses accrued at year end.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investing activities used approximately €16.4 million to purchase marketable securities (U.S. treasury bills and Italian government bonds), in order to deploy the liquidity available and not used in current operations more profitably, while respecting the principle of selecting low-risk profile assets. During the 2024, proceeds from the divestment of marketable securities amounted to approximately €23.2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approximately €4,000 of our cash and cash equivalents were used to primarily purchase laptops and other work tools for new employees hired during the fiscal year ending on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investing activities used approximately €14.9 million to purchase marketable securities (U.S. treasury bills and Italian government bonds), in order to deploy the liquidity available and not used in current operations more profitably, while respecting the principle of selecting low-risk profile assets. In addition, approximately €14,000 of our cash and cash equivalents were used to primarily purchase laptops and other work tools for new employees hired during the fiscal year ending on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investing activities used €27,070 of our cash and cash equivalents to both improve our cyber security and support the implementation of our new ERP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net cash provided by financing activities relates to the proceeds from our current and prior ATM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there was no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there was no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Current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revenue and do not expect to generate revenues from the sale of any product candidate in the near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our cash and cash equivalents, and marketable securities, were approximately €12.7 million. Our primary cash obligations relate to payments to AGC Biologic for manufacturing activities and to OSR pursuant to the ARLA and other providers of clinical trial related services and manufacturing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existing cash and anticipated cash from short-term financing activities, we estimate that such funds will be sufficient to fund our operations and capital expenditure requirements into the second quarter of 2026. We have based this estimate on assumptions that may prove to be wrong, and we could use our available capital resources sooner than we currently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operating plans may change because of many factors that may currently be unknown to us, and we may need to seek additional funds sooner than planned. Our future capital requirements will depend on many factors, including:</w:t>
      </w:r>
    </w:p>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and costs of our preclinical studies, clinical trials and other research and development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8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prioritization and number of our clinical trials and other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cost that we may incur under in- and out-licensing arrangements relating to our product candidate that we may enter into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obtaining regulatory approval for our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filing, prosecuting, enforcing, and defending patent claims and other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and timing for, amending current manufacturing agreements for production of sufficient clinical and (eventually) commercial quantities of our product candidates, or entering into new agreement with existing or new CMOs;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costs of contracting with third parties to provide marketing and distribution services for us or for building such capacities internally;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or undertaking the development and commercialization efforts for additional, future therapeutic applications of our product candidates and the magnitude of our 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significant revenues, if ever, we expect to satisfy our future cash needs through our existing cash, cash equivalents and short-term deposits as well as through additional financings, which we may seek through a combination of private and public equity offerings, debt financings and collaboration, in-licensing arrangements, joint ventures, strategic alliances or partnerships. For example, on May 12, 2023, we filed with the SEC a shelf registration statement, which was declared effective by the SEC on May 24, 2023 and permits us to sell from time to time additional ordinary shares, ordinary shares represented by ADSs or rights exercisable for ordinary shares or ADSs in one or more offerings in amounts, at prices and on the terms that we will determine at the time of offering for aggregate gross sales proceeds of up to $100.0 million. As of December 31, 2024, approximately $99.7 million of securities remained available under this registration statement. Further, we have entered into an ATM sales agreement, as amended (the “Sales Agreement”), with Virtu Americas LLC and Rodman &amp; Renshaw LLC (the “Sales Agents”) pursuant to which we may, but are not obligated to, offer and sell, from time to time, ADSs with an aggregate offering price up to $29,696,999 through the Sales Agents, subject to the terms and conditions described in the Sales Agreement and SEC rules and regulations (our “ATM offering”). As of December 31, 2024, approximately $29.7 million of capacity remained available under this ATM offering. In addition, in March 2025, we completed a mandatory convertible bond financing, pursuant to which we may receive up to €20 million in two tranches. Please see Note 1 – Nature of business and history – Shelf Registration Statement and Sales Agreement of our audited consolidated financial statements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expected use of cash and cash equivalents represents our intentions based upon our current plans and business conditions, which could change in the future as our plans and business conditions evolve. We may also use a portion of the available cash and cash equivalents, and marketable securities, to in-license, acquire, or invest in additional businesses, technologies, products, or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8" w:name="aa_007"/>
      <w:bookmarkEnd w:id="58"/>
      <w:r>
        <w:rPr>
          <w:rFonts w:ascii="Times New Roman;Times;Serif" w:hAnsi="Times New Roman;Times;Serif"/>
          <w:b/>
          <w:i w:val="false"/>
          <w:caps w:val="false"/>
          <w:smallCaps w:val="false"/>
          <w:sz w:val="20"/>
        </w:rPr>
        <w:t>C.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 w:name="aa_008"/>
      <w:bookmarkEnd w:id="59"/>
      <w:r>
        <w:rPr>
          <w:rFonts w:ascii="Times New Roman;Times;Serif" w:hAnsi="Times New Roman;Times;Serif"/>
          <w:b/>
          <w:i w:val="false"/>
          <w:caps w:val="false"/>
          <w:smallCaps w:val="false"/>
          <w:sz w:val="20"/>
        </w:rPr>
        <w:t>D. Trend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for the fiscal year ended December 31, 2024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 w:name="aa_009"/>
      <w:bookmarkEnd w:id="60"/>
      <w:r>
        <w:rPr>
          <w:rFonts w:ascii="Times New Roman;Times;Serif" w:hAnsi="Times New Roman;Times;Serif"/>
          <w:b/>
          <w:i w:val="false"/>
          <w:caps w:val="false"/>
          <w:smallCaps w:val="false"/>
          <w:sz w:val="20"/>
        </w:rPr>
        <w:t>E. 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critical accounting estimates, see “Item 5. Operating and Financial Review and Prospects—A. Operating Results—Critical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 w:name="aa_010"/>
      <w:bookmarkEnd w:id="6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 w:name="aa_011"/>
      <w:bookmarkEnd w:id="62"/>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Board of Directors (the “Board”) at December 31, 2024 were: John L. Cantello, Ph.D., Lauren H. Chung, Ph.D., Armon R. Sharei, Ph.D., Todd Wider, M.D., and Pierluigi Paracchi, who is the Chairman.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office of the directors is one year, and the aggregate annual directors’ compensation is €213,000.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name, age as of March 27, 2025, and position of the individuals who serve as our directors and executive officers. The following also includes certain information regarding the individual experience, qualifications, attributes and skills of our directors and executive officers as well as brief statements of those aspects of our directors’ backgrounds that led us to conclude that they are qualified to serve as directors:</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33"/>
        <w:gridCol w:w="60"/>
        <w:gridCol w:w="350"/>
        <w:gridCol w:w="60"/>
        <w:gridCol w:w="5758"/>
        <w:gridCol w:w="60"/>
        <w:gridCol w:w="1984"/>
      </w:tblGrid>
      <w:tr>
        <w:trPr/>
        <w:tc>
          <w:tcPr>
            <w:tcW w:w="193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pPr>
            <w:r>
              <w:rPr/>
              <w:t> </w:t>
            </w:r>
          </w:p>
        </w:tc>
        <w:tc>
          <w:tcPr>
            <w:tcW w:w="575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tcMar>
              <w:bottom w:w="0" w:type="dxa"/>
            </w:tcMar>
            <w:vAlign w:val="center"/>
          </w:tcPr>
          <w:p>
            <w:pPr>
              <w:pStyle w:val="TableContents"/>
              <w:bidi w:val="0"/>
              <w:spacing w:before="0" w:after="283"/>
              <w:jc w:val="center"/>
              <w:rPr/>
            </w:pPr>
            <w:r>
              <w:rPr/>
              <w:t> </w:t>
            </w:r>
          </w:p>
        </w:tc>
        <w:tc>
          <w:tcPr>
            <w:tcW w:w="198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elected or appointed</w:t>
            </w:r>
          </w:p>
        </w:tc>
      </w:tr>
      <w:tr>
        <w:trPr/>
        <w:tc>
          <w:tcPr>
            <w:tcW w:w="19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pPr>
            <w:r>
              <w:rPr/>
              <w:t> </w:t>
            </w:r>
          </w:p>
        </w:tc>
        <w:tc>
          <w:tcPr>
            <w:tcW w:w="575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Chairman of the Board of Directors and General Manager</w:t>
            </w:r>
          </w:p>
        </w:tc>
        <w:tc>
          <w:tcPr>
            <w:tcW w:w="60" w:type="dxa"/>
            <w:tcBorders/>
            <w:tcMar>
              <w:bottom w:w="0" w:type="dxa"/>
            </w:tcMar>
            <w:vAlign w:val="center"/>
          </w:tcPr>
          <w:p>
            <w:pPr>
              <w:pStyle w:val="TableContents"/>
              <w:bidi w:val="0"/>
              <w:spacing w:before="0" w:after="283"/>
              <w:jc w:val="left"/>
              <w:rPr/>
            </w:pPr>
            <w:r>
              <w:rPr/>
              <w:t> </w:t>
            </w:r>
          </w:p>
        </w:tc>
        <w:tc>
          <w:tcPr>
            <w:tcW w:w="19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w:t>
            </w:r>
          </w:p>
        </w:tc>
      </w:tr>
      <w:tr>
        <w:trPr/>
        <w:tc>
          <w:tcPr>
            <w:tcW w:w="19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Michael Wider</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tcMar>
              <w:bottom w:w="0" w:type="dxa"/>
            </w:tcMar>
            <w:vAlign w:val="center"/>
          </w:tcPr>
          <w:p>
            <w:pPr>
              <w:pStyle w:val="TableContents"/>
              <w:bidi w:val="0"/>
              <w:spacing w:before="0" w:after="283"/>
              <w:jc w:val="left"/>
              <w:rPr/>
            </w:pPr>
            <w:r>
              <w:rPr/>
              <w:t> </w:t>
            </w:r>
          </w:p>
        </w:tc>
        <w:tc>
          <w:tcPr>
            <w:tcW w:w="575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(1) (2)</w:t>
            </w:r>
          </w:p>
        </w:tc>
        <w:tc>
          <w:tcPr>
            <w:tcW w:w="60" w:type="dxa"/>
            <w:tcBorders/>
            <w:tcMar>
              <w:bottom w:w="0" w:type="dxa"/>
            </w:tcMar>
            <w:vAlign w:val="center"/>
          </w:tcPr>
          <w:p>
            <w:pPr>
              <w:pStyle w:val="TableContents"/>
              <w:bidi w:val="0"/>
              <w:spacing w:before="0" w:after="283"/>
              <w:jc w:val="left"/>
              <w:rPr/>
            </w:pPr>
            <w:r>
              <w:rPr/>
              <w:t> </w:t>
            </w:r>
          </w:p>
        </w:tc>
        <w:tc>
          <w:tcPr>
            <w:tcW w:w="19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19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Louis Cantello</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tcMar>
              <w:bottom w:w="0" w:type="dxa"/>
            </w:tcMar>
            <w:vAlign w:val="center"/>
          </w:tcPr>
          <w:p>
            <w:pPr>
              <w:pStyle w:val="TableContents"/>
              <w:bidi w:val="0"/>
              <w:spacing w:before="0" w:after="283"/>
              <w:jc w:val="left"/>
              <w:rPr/>
            </w:pPr>
            <w:r>
              <w:rPr/>
              <w:t> </w:t>
            </w:r>
          </w:p>
        </w:tc>
        <w:tc>
          <w:tcPr>
            <w:tcW w:w="575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(1) (2)</w:t>
            </w:r>
          </w:p>
        </w:tc>
        <w:tc>
          <w:tcPr>
            <w:tcW w:w="60" w:type="dxa"/>
            <w:tcBorders/>
            <w:tcMar>
              <w:bottom w:w="0" w:type="dxa"/>
            </w:tcMar>
            <w:vAlign w:val="center"/>
          </w:tcPr>
          <w:p>
            <w:pPr>
              <w:pStyle w:val="TableContents"/>
              <w:bidi w:val="0"/>
              <w:spacing w:before="0" w:after="283"/>
              <w:jc w:val="left"/>
              <w:rPr/>
            </w:pPr>
            <w:r>
              <w:rPr/>
              <w:t> </w:t>
            </w:r>
          </w:p>
        </w:tc>
        <w:tc>
          <w:tcPr>
            <w:tcW w:w="19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19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Haeyong Chung</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pPr>
            <w:r>
              <w:rPr/>
              <w:t> </w:t>
            </w:r>
          </w:p>
        </w:tc>
        <w:tc>
          <w:tcPr>
            <w:tcW w:w="575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(1) (2)</w:t>
            </w:r>
          </w:p>
        </w:tc>
        <w:tc>
          <w:tcPr>
            <w:tcW w:w="60" w:type="dxa"/>
            <w:tcBorders/>
            <w:tcMar>
              <w:bottom w:w="0" w:type="dxa"/>
            </w:tcMar>
            <w:vAlign w:val="center"/>
          </w:tcPr>
          <w:p>
            <w:pPr>
              <w:pStyle w:val="TableContents"/>
              <w:bidi w:val="0"/>
              <w:spacing w:before="0" w:after="283"/>
              <w:jc w:val="left"/>
              <w:rPr/>
            </w:pPr>
            <w:r>
              <w:rPr/>
              <w:t> </w:t>
            </w:r>
          </w:p>
        </w:tc>
        <w:tc>
          <w:tcPr>
            <w:tcW w:w="19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19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Armon Reza Sharei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pPr>
            <w:r>
              <w:rPr/>
              <w:t> </w:t>
            </w:r>
          </w:p>
        </w:tc>
        <w:tc>
          <w:tcPr>
            <w:tcW w:w="575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(1) (2)</w:t>
            </w:r>
          </w:p>
        </w:tc>
        <w:tc>
          <w:tcPr>
            <w:tcW w:w="60" w:type="dxa"/>
            <w:tcBorders/>
            <w:tcMar>
              <w:bottom w:w="0" w:type="dxa"/>
            </w:tcMar>
            <w:vAlign w:val="center"/>
          </w:tcPr>
          <w:p>
            <w:pPr>
              <w:pStyle w:val="TableContents"/>
              <w:bidi w:val="0"/>
              <w:spacing w:before="0" w:after="283"/>
              <w:jc w:val="left"/>
              <w:rPr/>
            </w:pPr>
            <w:r>
              <w:rPr/>
              <w:t> </w:t>
            </w:r>
          </w:p>
        </w:tc>
        <w:tc>
          <w:tcPr>
            <w:tcW w:w="19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19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tcMar>
              <w:bottom w:w="0" w:type="dxa"/>
            </w:tcMar>
            <w:vAlign w:val="center"/>
          </w:tcPr>
          <w:p>
            <w:pPr>
              <w:pStyle w:val="TableContents"/>
              <w:bidi w:val="0"/>
              <w:spacing w:before="0" w:after="283"/>
              <w:jc w:val="left"/>
              <w:rPr/>
            </w:pPr>
            <w:r>
              <w:rPr/>
              <w:t> </w:t>
            </w:r>
          </w:p>
        </w:tc>
        <w:tc>
          <w:tcPr>
            <w:tcW w:w="575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9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19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 Russo, M.D.</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tcMar>
              <w:bottom w:w="0" w:type="dxa"/>
            </w:tcMar>
            <w:vAlign w:val="center"/>
          </w:tcPr>
          <w:p>
            <w:pPr>
              <w:pStyle w:val="TableContents"/>
              <w:bidi w:val="0"/>
              <w:spacing w:before="0" w:after="283"/>
              <w:jc w:val="left"/>
              <w:rPr/>
            </w:pPr>
            <w:r>
              <w:rPr/>
              <w:t> </w:t>
            </w:r>
          </w:p>
        </w:tc>
        <w:tc>
          <w:tcPr>
            <w:tcW w:w="575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Medical Officer, Head of Development</w:t>
            </w:r>
          </w:p>
        </w:tc>
        <w:tc>
          <w:tcPr>
            <w:tcW w:w="60" w:type="dxa"/>
            <w:tcBorders/>
            <w:tcMar>
              <w:bottom w:w="0" w:type="dxa"/>
            </w:tcMar>
            <w:vAlign w:val="center"/>
          </w:tcPr>
          <w:p>
            <w:pPr>
              <w:pStyle w:val="TableContents"/>
              <w:bidi w:val="0"/>
              <w:spacing w:before="0" w:after="283"/>
              <w:jc w:val="left"/>
              <w:rPr/>
            </w:pPr>
            <w:r>
              <w:rPr/>
              <w:t> </w:t>
            </w:r>
          </w:p>
        </w:tc>
        <w:tc>
          <w:tcPr>
            <w:tcW w:w="19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19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 Regonini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pPr>
            <w:r>
              <w:rPr/>
              <w:t> </w:t>
            </w:r>
          </w:p>
        </w:tc>
        <w:tc>
          <w:tcPr>
            <w:tcW w:w="575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Director</w:t>
            </w:r>
          </w:p>
        </w:tc>
        <w:tc>
          <w:tcPr>
            <w:tcW w:w="60" w:type="dxa"/>
            <w:tcBorders/>
            <w:tcMar>
              <w:bottom w:w="0" w:type="dxa"/>
            </w:tcMar>
            <w:vAlign w:val="center"/>
          </w:tcPr>
          <w:p>
            <w:pPr>
              <w:pStyle w:val="TableContents"/>
              <w:bidi w:val="0"/>
              <w:spacing w:before="0" w:after="283"/>
              <w:jc w:val="left"/>
              <w:rPr/>
            </w:pPr>
            <w:r>
              <w:rPr/>
              <w:t> </w:t>
            </w:r>
          </w:p>
        </w:tc>
        <w:tc>
          <w:tcPr>
            <w:tcW w:w="19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r>
      <w:tr>
        <w:trPr/>
        <w:tc>
          <w:tcPr>
            <w:tcW w:w="1933"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Stefania Mazzoleni, Ph.D.</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pPr>
            <w:r>
              <w:rPr/>
              <w:t> </w:t>
            </w:r>
          </w:p>
        </w:tc>
        <w:tc>
          <w:tcPr>
            <w:tcW w:w="575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Scientific Project Manager and Communications Officer</w:t>
            </w:r>
          </w:p>
        </w:tc>
        <w:tc>
          <w:tcPr>
            <w:tcW w:w="60" w:type="dxa"/>
            <w:tcBorders/>
            <w:tcMar>
              <w:bottom w:w="0" w:type="dxa"/>
            </w:tcMar>
            <w:vAlign w:val="center"/>
          </w:tcPr>
          <w:p>
            <w:pPr>
              <w:pStyle w:val="TableContents"/>
              <w:bidi w:val="0"/>
              <w:spacing w:before="0" w:after="283"/>
              <w:jc w:val="left"/>
              <w:rPr/>
            </w:pPr>
            <w:r>
              <w:rPr/>
              <w:t> </w:t>
            </w:r>
          </w:p>
        </w:tc>
        <w:tc>
          <w:tcPr>
            <w:tcW w:w="198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w:t>
            </w:r>
          </w:p>
        </w:tc>
      </w:tr>
    </w:tbl>
    <w:p>
      <w:pPr>
        <w:pStyle w:val="TextBody"/>
        <w:bidi w:val="0"/>
        <w:spacing w:before="0" w:after="0"/>
        <w:ind w:left="0" w:right="0" w:firstLine="648"/>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135"/>
        <w:gridCol w:w="245"/>
        <w:gridCol w:w="5825"/>
      </w:tblGrid>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 (as defined under Nasdaq Stock Market rules)</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5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Compensation, Nomination and Governance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consists of five (5) members and each of their terms will expire at the Company’s general shareholders’ meeting called to approve the financial statements for the year ending December 31, 2024 to be held in April 2025, or earlier upon resignation.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Pierluigi Paracchi, Chief Executive Officer, Chairman of the Board of Directors, and General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Paracchi has over 15 years of combined experience as an investor and director of life science companies, including as Founder and CEO of Quantica SGR and in senior roles at Axòn Capital, Sofinnova Partners, and AurorA Science. He was also a board member and investor in Ethical Oncology Science, which was acquired in 2013 for a total deal of $470 million. Mr. Paracchi is a member of the Assobiotec Steering Committee, the Italian Association for the development of biotechnology. He also serves on the board of directors of the autoimmune disease and cancer company Altheia Science, as non-executive Chairman, at a medical device company, Lipogems International, and is a venture partner with AurorA Science, an independent biotech investment vehicle.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Richard B. Slansky,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Slansky is a senior financial executive with more than 30 years of experience as Chief Financial Officer in various biopharmaceutical, diagnostic and life science companies, including Biological Dynamics, OncoSec Medical, GenMark Diagnostics, now part of Roche, and C-N Biosciences, now a part of Millipore Sigma, a division of Merck KGaA. His experience spans across public and private healthcare and technology companies at various stages of growth, pre-revenue to commercial. He has been responsible for strategic vision and oversight of financial and operational teams, organizational leadership, creating maximum stakeholder value, financial and governmental compliance, among other activities. He also serves on the board of directors of several private companies in the life science, aerospace and real estate market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Carlo Russo, M.D., Chief Medical Officer &amp; Head of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Russo has extensive experience as a biotech executive focused on medical affairs, research and development, and clinical studies. He has served as Head of Development of GSK’s R&amp;D Biopharm and Rare Disease Units and the Cardiovascular Metabolic Center. Previously, Dr. Russo served as an Executive VP and CMO of Adverum, CMO &amp; Head of Research &amp; Development of Annapurna, and President and CEO of VaxInnate Corporation, among other senior roles. Dr. Russo holds several senior positions at research institutions, including Cornell University Medical College, Columbia University, and Scripps Research Institute. He holds his MD and Board Certification in Hematology from the University of Genoa Medical School, and is the author of more than 70 scientific publications.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Barbara Regonini, Finance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Regonini is an experienced financial executive with skills in strategic finance, restructuring and reorganization processes, internal controls, and corporate governance systems implementation. Prior to joining Genenta, she was Head of Finance at OAM – Financial Supervisory Authority. She previously held CFO roles and was part of the Supervisory Body of a public company in the renewable energy field. Former senior manager at PriceWaterhouseCoopers, she has a significant finance background in the industrial and service field. She has a Master’s degree at the University of Nicosia in Science of Digital Currency, a degree as Strategic CFO at Harvard Business School, a Master’s degree in Business and Administration at the University of Parma, and she is a Chartered Public Accountant and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Stefania Mazzoleni, Ph.D., Scientific Project Manager and Communications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Mazzoleni manages and oversees the scientific development of parallel immuno-gene therapy studies in oncology indications and provides scientific support for investor interactions. Dr. Mazzoleni has more than 15 years’ experience in life science research and development, oncology and project management, including over four years of drug development and cell and gene therapy experience acquired while working at various academic institutions (OSR - San Raffaele Hospital, National Institute of Molecular Genetics) and pharmaceutics (Nerviano Medical Sciences). Dr. Mazzoleni received a MSc in Medical Biotechnology in 2005, holds a PhD in Molecular and Cellular Biology from San Raffaele Vita-Salute University, has a second level vocational Master’s degree in Pharmacy and Pharmaceutical Oncology and is a member of the European Academy of Tumor Immunology.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Todd Michael Wider, M.D.,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Wider is a consultant to numerous entities in the biotechnology space, a co-founder and board member of Xanadu Bio and the prior Executive Chairman of Emendo Biotetherapeutics, a board member of Abeona Therapeutics, Arya Science Acquisition Corp. Todd is an active, honorary member of the medical staff of Mount Sinai Hospital in NYC. He received his AB, with high honors and Phi Beta Kappa, from Princeton University and his M.D. from Columbia University Vagelos College of Physicians and Surgeons.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is also a principal in Wider Film Projects, a documentary film company focused on producing films with sociopolitical resonance that have won Academy, Emmy and Peabody Awards.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John Louis Cantello, Ph.D.,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is an independent advisor to the biopharma industry with over 20 years of experience. Former VP and Head of Business Development, Oncology Therapy Area at GlaxoSmithKline and VP and Head of Business Development, Respiratory &amp; Immune Diseases at AstraZeneca. John has led teams accountable for assessing, valuing, and transacting M&amp;A, pipeline &amp; commercial asset deals covering oncology, respiratory, inflammation, metabolic and rare diseases. He has a track record of closing deals (transacting &gt;$30B in deal value) representing primary care, specialty care and rare diseases.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Lauren Haeyong Chung, Ph.D.,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is the CFO of Laxxon Medical, a pharma-technology company. Lauren has over 20 years of operating experience spearheading agile investment management strategies and tactical asset allocation in the healthcare industry. As the founder and CEO of Minleigh LLC, a healthcare focused strategic advisory firm, Lauren advised leadership, boards, and investment firms on global strategic plans, M&amp;A, integration, and compliance. Previously, Lauren co-founded Tokum Capital Management, a global institutional healthcare fund, and successfully managed its merger with Perella Weinberg Partners. Lauren serves on public and private company boards. She has a Ph.D. in Biomedical Sciences from Columbia University Vagelos College of Physicians and Surgeons, an M.B.A. from Columbia Business School, and a B.A. in Biochemistry and Economics with Honors from Wellesley College.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Armon Reza Sharei, Ph.D.,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Armon is Founder and CEO of Portal Bio and formerly the CEO and Founder of SQZ Biotechnologies (NYSE: SQZ), where he led the company from invention to post-IPO with over $300M in equity financing, a $1Bn collaboration with Roche, and three clinical trials. He graduated from Stanford University, obtained his Ph.D. at Massachusetts Institute of Technology and received his Post-Doctoral at Harvard Medical School.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Scientific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Luigi Naldini, M.D., Ph.D., Chairman of the Executive Scientific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 Naldini is a deeply experienced scientist and academic, considered by many to be the father of lentiviral gene therapy. Luigi Naldini is Professor of Cell and Tissue Biology and Cell and Gene Therapy at the Vita-Salute San Raffaele University School of Medicine in Milan, and Director of the San Raffaele-Telethon Institute for Gene Therapy and of the Division of Regenerative Medicine, Stem Cells &amp; Gene Therapy at the San Raffaele Scientific Institute. He has previously served as President of the European Society of Gene and Cell Therapy and a member of the board of directors and Advisory Council of the American Society of Gene and Cell Therapy. Prof. Naldini is also a scientific advisor on EMEA and WHO committees for the evaluation of novel gene transfer medicines and has authored more than 250 scientific publications.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Bernhard Gentner, M.D., Member of the Executive Scientific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Gentner is a physician scientist, serving as Group Leader of the Translational Stem Cell and Leukemia Research Unit at the San Raffaele-Telethon Institute for Gene Therapy in Milan and Staff Hematologist in the Hematology and Bone Marrow Transplantation Unit of OSR - San Raffaele Hospital. Dr. Gentner completed his MD studies at the University of Heidelberg, Germany, the MD Anderson Cancer Center and Baylor College of Medicine, Houston, USA. He completed his internal medicine training at Erlangen University Hospital, Germany and his hematology training at San Raffaele Vita-Salute University and has authored more than 30 scientific publications.</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Advisors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Advisors to the Company include: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Gaurav Shah</w:t>
      </w:r>
      <w:r>
        <w:rPr>
          <w:rFonts w:ascii="Times New Roman;Times;Serif" w:hAnsi="Times New Roman;Times;Serif"/>
          <w:b w:val="false"/>
          <w:i w:val="false"/>
          <w:caps w:val="false"/>
          <w:smallCaps w:val="false"/>
          <w:sz w:val="20"/>
        </w:rPr>
        <w:t>: Gaurav Shah serves as CEO and President of Rocket Pharma (NASDAQ:RCKT), a publicly traded clinical-stage biotechnology company focused on developing first-in-class gene therapy options for rare, devastating diseases with a market cap ranging from $600 million to $1 billion in recent months. He is co-founder of Rocket Pharma and sits on the Board of Directors. Prior to this role Gaurav was a Global Program Head in the Cell &amp; Gene Therapies Unit at Novartis, where he had strategic oversight of 12 functions and helped spearhead pivotal trials with CART-19 for patients with Leukemia and Lymphoma – later approved by the FDA as Kymriah. Earlier roles at Novartis included lead physician for Biosimilars and for Afinitor. Gaurav started his career in the pharmaceutical industry at ImClone/Eli Lilly as a Medical Director overseeing oncology trials focused on monoclonal antibodies. This work in industry has led to multiple drug approvals for children and adults with malignancies and other devastating disorders. Gaurav graduated from Harvard University (summa cum laude, Phi Beta Kappa) with a degree in Behavioral Neuroscience and currently serves as an interviewer for Admissions for Harvard College. He received his MD from Columbia (AOA), completed his internal medicine residency at Brigham and Women’s Hospital/Harvard Medical School and hematology/oncology fellowship training at Memorial-Sloan Kettering. After receiving board certification in medical oncology, he served as an Adjunct Assistant Professor of Oncology at Columbia.</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executive officers and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Arrangements Concerning Election of Directors and Members of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with major shareholders, customers, suppliers, or others pursuant to which any of our directors or members of senior management were selected as such.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3" w:name="ms_001"/>
      <w:bookmarkEnd w:id="63"/>
      <w:r>
        <w:rPr>
          <w:rFonts w:ascii="Times New Roman;Times;Serif" w:hAnsi="Times New Roman;Times;Serif"/>
          <w:b/>
          <w:i w:val="false"/>
          <w:caps w:val="false"/>
          <w:smallCaps w:val="false"/>
          <w:sz w:val="20"/>
        </w:rPr>
        <w:t>B.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in the aggregate all compensation we paid to all our directors and senior management as a group for the year ended December 31, 2024. The table does not include any amounts we paid to reimburse any of such persons for costs incurred in providing us with services during this period. We are not required to provide the compensation, on an individual basis, of our executive officers and directors under Italian law. As a matter of Italian law, the compensation of directors is established at the time of their appointment or by the shareholders’ meeting. The compensation of the managing directors shall be established by the board of directors, with the opinion of the board of statutory auditors. Our bylaws provides that the shareholders’ meeting may determine a total amount for the compensation of the directors, including managing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 paid to all directors and senior managers as a group was approximately €1.3 million for the year ended December 31, 2024.</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4"/>
        <w:gridCol w:w="60"/>
        <w:gridCol w:w="266"/>
        <w:gridCol w:w="1862"/>
        <w:gridCol w:w="60"/>
        <w:gridCol w:w="60"/>
        <w:gridCol w:w="395"/>
        <w:gridCol w:w="1974"/>
        <w:gridCol w:w="60"/>
        <w:gridCol w:w="60"/>
        <w:gridCol w:w="333"/>
        <w:gridCol w:w="1663"/>
        <w:gridCol w:w="78"/>
      </w:tblGrid>
      <w:tr>
        <w:trPr/>
        <w:tc>
          <w:tcPr>
            <w:tcW w:w="3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Bonuses and Related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Pension, Retirement and Other Similar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Share-Based Compensation</w:t>
            </w:r>
          </w:p>
        </w:tc>
        <w:tc>
          <w:tcPr>
            <w:tcW w:w="78" w:type="dxa"/>
            <w:tcBorders/>
            <w:vAlign w:val="center"/>
          </w:tcPr>
          <w:p>
            <w:pPr>
              <w:pStyle w:val="TableContents"/>
              <w:bidi w:val="0"/>
              <w:spacing w:before="0" w:after="283"/>
              <w:jc w:val="left"/>
              <w:rPr/>
            </w:pPr>
            <w:r>
              <w:rPr/>
              <w:t> </w:t>
            </w:r>
          </w:p>
        </w:tc>
      </w:tr>
      <w:tr>
        <w:trPr/>
        <w:tc>
          <w:tcPr>
            <w:tcW w:w="3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6"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33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directors and senior management as a group, consisting of 7 persons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8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w:t>
            </w:r>
          </w:p>
        </w:tc>
        <w:tc>
          <w:tcPr>
            <w:tcW w:w="1974"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63"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cost to the Company for the year ended December 31, 2024 related to all directors and senior managers as a group was approximately €2.2 million.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34"/>
        <w:gridCol w:w="60"/>
        <w:gridCol w:w="266"/>
        <w:gridCol w:w="1862"/>
        <w:gridCol w:w="60"/>
        <w:gridCol w:w="60"/>
        <w:gridCol w:w="403"/>
        <w:gridCol w:w="1966"/>
        <w:gridCol w:w="60"/>
        <w:gridCol w:w="60"/>
        <w:gridCol w:w="296"/>
        <w:gridCol w:w="1701"/>
        <w:gridCol w:w="77"/>
      </w:tblGrid>
      <w:tr>
        <w:trPr/>
        <w:tc>
          <w:tcPr>
            <w:tcW w:w="3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Bonuses and Related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Pension, Retirement and Other Similar Benefits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Share-Based Compensation</w:t>
            </w:r>
          </w:p>
        </w:tc>
        <w:tc>
          <w:tcPr>
            <w:tcW w:w="77" w:type="dxa"/>
            <w:tcBorders/>
            <w:vAlign w:val="center"/>
          </w:tcPr>
          <w:p>
            <w:pPr>
              <w:pStyle w:val="TableContents"/>
              <w:bidi w:val="0"/>
              <w:spacing w:before="0" w:after="283"/>
              <w:jc w:val="left"/>
              <w:rPr/>
            </w:pPr>
            <w:r>
              <w:rPr/>
              <w:t> </w:t>
            </w:r>
          </w:p>
        </w:tc>
      </w:tr>
      <w:tr>
        <w:trPr/>
        <w:tc>
          <w:tcPr>
            <w:tcW w:w="33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r>
      <w:tr>
        <w:trPr/>
        <w:tc>
          <w:tcPr>
            <w:tcW w:w="33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directors and senior management as a group, consisting of 7 persons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8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1,859,094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w:t>
            </w:r>
          </w:p>
        </w:tc>
        <w:tc>
          <w:tcPr>
            <w:tcW w:w="19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7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293,845</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total amount paid by the Company and the total cost to the Company, stems from the fact that the Company’s cost for each employee is higher than what is actually paid out during each fiscal year due to tax and contribution charges affecting labor costs. Additionally, according to the regulations applicable to Italian employees, severance pay is set aside annually and thus constitutes a cost for the Company, whereas it is disbursed and paid out only in the event of the employee’s resignation or dismissal. Furthermore, provisions for unexercised stock options during the fiscal year are also included in the Company’s cost.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4" w:name="ms_002"/>
      <w:bookmarkEnd w:id="64"/>
      <w:r>
        <w:rPr>
          <w:rFonts w:ascii="Times New Roman;Times;Serif" w:hAnsi="Times New Roman;Times;Serif"/>
          <w:b/>
          <w:i w:val="false"/>
          <w:caps w:val="false"/>
          <w:smallCaps w:val="false"/>
          <w:sz w:val="20"/>
        </w:rPr>
        <w:t>C. Board Practices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follow the historical Italian corporate governance system, with a board of directors (</w:t>
      </w:r>
      <w:r>
        <w:rPr>
          <w:rFonts w:ascii="Times New Roman;Times;Serif" w:hAnsi="Times New Roman;Times;Serif"/>
          <w:b w:val="false"/>
          <w:i/>
          <w:caps w:val="false"/>
          <w:smallCaps w:val="false"/>
          <w:sz w:val="20"/>
        </w:rPr>
        <w:t>consiglio di amministrazione</w:t>
      </w:r>
      <w:r>
        <w:rPr>
          <w:rFonts w:ascii="Times New Roman;Times;Serif" w:hAnsi="Times New Roman;Times;Serif"/>
          <w:b w:val="false"/>
          <w:i w:val="false"/>
          <w:caps w:val="false"/>
          <w:smallCaps w:val="false"/>
          <w:sz w:val="20"/>
        </w:rPr>
        <w:t>) and a separate board of statutory auditors (</w:t>
      </w:r>
      <w:r>
        <w:rPr>
          <w:rFonts w:ascii="Times New Roman;Times;Serif" w:hAnsi="Times New Roman;Times;Serif"/>
          <w:b w:val="false"/>
          <w:i/>
          <w:caps w:val="false"/>
          <w:smallCaps w:val="false"/>
          <w:sz w:val="20"/>
        </w:rPr>
        <w:t>collegio sindacale</w:t>
      </w:r>
      <w:r>
        <w:rPr>
          <w:rFonts w:ascii="Times New Roman;Times;Serif" w:hAnsi="Times New Roman;Times;Serif"/>
          <w:b w:val="false"/>
          <w:i w:val="false"/>
          <w:caps w:val="false"/>
          <w:smallCaps w:val="false"/>
          <w:sz w:val="20"/>
        </w:rPr>
        <w:t xml:space="preserve">) with supervisory functions. The two boards are separate, and no individual may be a member of both corporate bodies. Both the members of the board of directors and the members of the board of statutory auditors owe duties of loyalty and care to the Company. The board of statutory auditors acts as the Board’s audit committee for purposes of SEC and Nasdaq compliance (see </w:t>
      </w:r>
      <w:r>
        <w:rPr>
          <w:rFonts w:ascii="Times New Roman;Times;Serif" w:hAnsi="Times New Roman;Times;Serif"/>
          <w:b w:val="false"/>
          <w:i/>
          <w:caps w:val="false"/>
          <w:smallCaps w:val="false"/>
          <w:sz w:val="20"/>
        </w:rPr>
        <w:t>Differences between Italian Laws and Nasdaq Requirements</w:t>
      </w:r>
      <w:r>
        <w:rPr>
          <w:rFonts w:ascii="Times New Roman;Times;Serif" w:hAnsi="Times New Roman;Times;Serif"/>
          <w:b w:val="false"/>
          <w:i w:val="false"/>
          <w:caps w:val="false"/>
          <w:smallCaps w:val="false"/>
          <w:sz w:val="20"/>
        </w:rPr>
        <w:t xml:space="preserve">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Statutory Auditors for the three-year period of 2024-2026 consists of: Carlo Alberto Nicchio (Chairman), Jacopo Doveri, and Giuseppe Gentile, while Luca Domenico Maranzana and Adalberto Adriano Minazzi were appointed as alternates. The annual Board of Statutory Auditor compensation is €18,000 for the chairman and €12,000 for each active member while no compensation is provided for the alternates unless they replace an active member.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our Board of Statutory Auditors received approximately €44,000 in compensation in the aggregate for their services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Statutory Auditors’ term will therefore expire with our general shareholders’ meeting called to approve the financial statements for the year ending December 31, 2026 to be held in 2027. The following table sets forth the name, age as of March 27, 2025, and position of the individuals who serve as our Board of Statutory Auditors, and their alternates.</w:t>
      </w:r>
    </w:p>
    <w:p>
      <w:pPr>
        <w:pStyle w:val="TextBody"/>
        <w:bidi w:val="0"/>
        <w:spacing w:before="0" w:after="0"/>
        <w:jc w:val="left"/>
        <w:rPr>
          <w:caps w:val="false"/>
          <w:smallCaps w:val="false"/>
        </w:rPr>
      </w:pPr>
      <w:r>
        <w:rPr>
          <w:caps w:val="false"/>
          <w:smallCaps w:val="false"/>
        </w:rPr>
        <w:t> </w:t>
      </w:r>
    </w:p>
    <w:tbl>
      <w:tblPr>
        <w:tblW w:w="8870" w:type="dxa"/>
        <w:jc w:val="left"/>
        <w:tblInd w:w="0" w:type="dxa"/>
        <w:tblLayout w:type="fixed"/>
        <w:tblCellMar>
          <w:top w:w="0" w:type="dxa"/>
          <w:left w:w="0" w:type="dxa"/>
          <w:bottom w:w="28" w:type="dxa"/>
          <w:right w:w="0" w:type="dxa"/>
        </w:tblCellMar>
      </w:tblPr>
      <w:tblGrid>
        <w:gridCol w:w="2270"/>
        <w:gridCol w:w="60"/>
        <w:gridCol w:w="350"/>
        <w:gridCol w:w="60"/>
        <w:gridCol w:w="3620"/>
        <w:gridCol w:w="60"/>
        <w:gridCol w:w="2450"/>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pPr>
            <w:r>
              <w:rPr/>
              <w:t> </w:t>
            </w:r>
          </w:p>
        </w:tc>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tcMar>
              <w:bottom w:w="0" w:type="dxa"/>
            </w:tcMar>
            <w:vAlign w:val="center"/>
          </w:tcPr>
          <w:p>
            <w:pPr>
              <w:pStyle w:val="TableContents"/>
              <w:bidi w:val="0"/>
              <w:spacing w:before="0" w:after="283"/>
              <w:jc w:val="center"/>
              <w:rPr/>
            </w:pPr>
            <w:r>
              <w:rPr/>
              <w:t> </w:t>
            </w:r>
          </w:p>
        </w:tc>
        <w:tc>
          <w:tcPr>
            <w:tcW w:w="24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elected or re-appointed</w:t>
            </w:r>
          </w:p>
        </w:tc>
      </w:tr>
      <w:tr>
        <w:trPr/>
        <w:tc>
          <w:tcPr>
            <w:tcW w:w="22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Carlo-Alberto Nicchio</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tcMar>
              <w:bottom w:w="0" w:type="dxa"/>
            </w:tcMar>
            <w:vAlign w:val="center"/>
          </w:tcPr>
          <w:p>
            <w:pPr>
              <w:pStyle w:val="TableContents"/>
              <w:bidi w:val="0"/>
              <w:spacing w:before="0" w:after="283"/>
              <w:jc w:val="left"/>
              <w:rPr/>
            </w:pPr>
            <w:r>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Statutory Auditors</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22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Giuseppe Gentile</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tcMar>
              <w:bottom w:w="0" w:type="dxa"/>
            </w:tcMar>
            <w:vAlign w:val="center"/>
          </w:tcPr>
          <w:p>
            <w:pPr>
              <w:pStyle w:val="TableContents"/>
              <w:bidi w:val="0"/>
              <w:spacing w:before="0" w:after="283"/>
              <w:jc w:val="left"/>
              <w:rPr/>
            </w:pPr>
            <w:r>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22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Jacopo Doveri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tcMar>
              <w:bottom w:w="0" w:type="dxa"/>
            </w:tcMar>
            <w:vAlign w:val="center"/>
          </w:tcPr>
          <w:p>
            <w:pPr>
              <w:pStyle w:val="TableContents"/>
              <w:bidi w:val="0"/>
              <w:spacing w:before="0" w:after="283"/>
              <w:jc w:val="left"/>
              <w:rPr/>
            </w:pPr>
            <w:r>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22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Luca Domenico Maranzana</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tcMar>
              <w:bottom w:w="0" w:type="dxa"/>
            </w:tcMar>
            <w:vAlign w:val="center"/>
          </w:tcPr>
          <w:p>
            <w:pPr>
              <w:pStyle w:val="TableContents"/>
              <w:bidi w:val="0"/>
              <w:spacing w:before="0" w:after="283"/>
              <w:jc w:val="left"/>
              <w:rPr/>
            </w:pPr>
            <w:r>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Alternate auditor</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r>
        <w:trPr/>
        <w:tc>
          <w:tcPr>
            <w:tcW w:w="227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Adalberto Adriano Minazzi</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60" w:type="dxa"/>
            <w:tcBorders/>
            <w:tcMar>
              <w:bottom w:w="0" w:type="dxa"/>
            </w:tcMar>
            <w:vAlign w:val="center"/>
          </w:tcPr>
          <w:p>
            <w:pPr>
              <w:pStyle w:val="TableContents"/>
              <w:bidi w:val="0"/>
              <w:spacing w:before="0" w:after="283"/>
              <w:jc w:val="left"/>
              <w:rPr/>
            </w:pPr>
            <w:r>
              <w:rPr/>
              <w:t> </w:t>
            </w:r>
          </w:p>
        </w:tc>
        <w:tc>
          <w:tcPr>
            <w:tcW w:w="36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Alternate auditor</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r>
    </w:tbl>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shareholder and shareholders belonging to the same group shall not submit, or contribute to submit, or to cast their vote for more than one slate, including through a nominee. Each candidate may only be listed on single slate or, otherwise, will be ineligible for election if named in multiple slates.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an exemption from the Rule 10A-3 requirements provided by Rule 10A-3(c)(3) of the Exchange Act for foreign private issuers with a board of statutory auditors established in accordance with local law or listing requirements and subject to independence requirements under local law or listing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Board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Italian law does not require that we adopt a Compensation, Nomination and Governance Committee, in connection with our Corporate Conversion from a limited liability company (società a responsabilità limitata, or “S.r.l.”) to a joint stock company (società per azioni, or an “S.p.A.”), we established a Compensation, Nomination and Governance Committee according to Nasdaq Listing Rule 5615(a)(3). The members of our Compensation, Nomination and Governance Committee include: Todd M. Wider, John L. Cantello, Lauren H. Chung, and Armon R. Sharei. They were nominated on May 2, 2024. The Compensation, Nomination and Governance Committee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Italian Laws and Nasdaq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Sarbanes-Oxley Act, as well as related rules subsequently implemented by the SEC, requires foreign private issuers, such as us, to comply with various corporate governance practices. In addition, following the listing of the ADSs on Nasdaq, we are required to comply with the Nasdaq Stock Market Rules. Under those rules, we may elect to follow certain corporate governance practices permitted under Italian law in lieu of compliance with corresponding corporate governance requirements otherwise imposed by the Nasdaq Stock Market Rules for U.S. domestic registrants.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Italian law and practice and subject to the exemption set forth in Rule 5615 of the Nasdaq Stock Market Rules, as a foreign private issuer, we have elected to rely on home country governance requirements and certain exemptions thereunder rather than the Nasdaq Stock Market Rules, with respect to the following requirements: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Composition of the board of directors</w:t>
            </w:r>
            <w:r>
              <w:rPr>
                <w:rFonts w:ascii="Times New Roman;Times;Serif" w:hAnsi="Times New Roman;Times;Serif"/>
                <w:b w:val="false"/>
                <w:i w:val="false"/>
                <w:caps w:val="false"/>
                <w:smallCaps w:val="false"/>
                <w:sz w:val="20"/>
              </w:rPr>
              <w:t>. Italian law does not require that the majority of our board of directors consist of independent directors. Our board of directors therefore may include fewer independent directors than would be required if we were subject to Nasdaq Listing Rule 5605(b) (1). In addition, we are not subject to Nasdaq Listing Rule 5605(b)(2), which requires that independent directors must regularly have scheduled meetings at which only independent directors are present.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Quorum</w:t>
            </w:r>
            <w:r>
              <w:rPr>
                <w:rFonts w:ascii="Times New Roman;Times;Serif" w:hAnsi="Times New Roman;Times;Serif"/>
                <w:b w:val="false"/>
                <w:i w:val="false"/>
                <w:caps w:val="false"/>
                <w:smallCaps w:val="false"/>
                <w:sz w:val="20"/>
              </w:rPr>
              <w:t>. In accordance with Italian law quorum requirements generally applicable to general meetings of shareholders are set forth in the Italian Civil Code therefore our bylaws may not provide a specific regulation of them. Our practice thus varies from the requirement of Nasdaq Listing Rule 5620(c), which requires an issuer to provide in its bylaws for a generally applicable quorum, and that such quorum may not be less than one-third of the outstanding voting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Italian law, the management report and the annual financial statements shall be communicated to Company’s auditor and to the board of statutory auditors at least 30 days prior to the general meeting of shareholders convened for its approval. The board of statutory auditors must report to the shareholders’ meeting on the results of the financial year and on the activities carried out in the performance of its duties and make observations and proposals regarding the financial statements and their approval. The financial statements, together with the reports of the directors, statutory auditors, and Company’s auditors, must remain deposited at the Company’s registered office for the 15 days preceding the shareholders’ meeting called to approve them.</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Proxy Solicitations</w:t>
            </w:r>
            <w:r>
              <w:rPr>
                <w:rFonts w:ascii="Times New Roman;Times;Serif" w:hAnsi="Times New Roman;Times;Serif"/>
                <w:b w:val="false"/>
                <w:i w:val="false"/>
                <w:caps w:val="false"/>
                <w:smallCaps w:val="false"/>
                <w:sz w:val="20"/>
              </w:rPr>
              <w:t>. Under Italian law shareholders may appoint attorneys-in-fact by delivering in writing appropriate power of attorney to represent them in an ordinary or extraordinary shareholders’ meeting of the Company. Our directors, auditors, and employees may not be proxies. Italian law does not have a specific regulatory regime for the solicitation of proxies in private companies; thus, our practice varies from the requirement of Nasdaq Listing Rule 5620(b), which sets forth certain requirements regarding the solicitation of proxies.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Issuances</w:t>
            </w:r>
            <w:r>
              <w:rPr>
                <w:rFonts w:ascii="Times New Roman;Times;Serif" w:hAnsi="Times New Roman;Times;Serif"/>
                <w:b w:val="false"/>
                <w:i w:val="false"/>
                <w:caps w:val="false"/>
                <w:smallCaps w:val="false"/>
                <w:sz w:val="20"/>
              </w:rPr>
              <w:t>. Pursuant to Italian law, we have opted out of shareholder approval requirements by way of including authorized and conditional share capital for the issuance of securities in connection with certain events such as the acquisition of stock, assets or convertible notes, certain private placements and/or public offering. To this extent, our practice varies from the requirements of Nasdaq Listing Rule 5635, which generally requires an issuer to obtain shareholder approval for the issuance of securities in connection with such events.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U.S. companies listed on Nasdaq are required to have an audit committee that satisfies the requirements of Rule 10A-3 under the Exchange Act and certain additional requirements set by the Nasdaq. All members of this committee must be independent, and the committee must adopt a written charter. The committee’s prescribed responsibilities include: (i) the appointment, compensation, retention and oversight of the external auditors; (ii) establishing procedures for handling “whistle blower” complaints regarding accounting, internal accounting controls, or auditing matters; (iii) engaging independent counsel and other advisers, as it determines necessary to carry out its duties; and (iv) determine appropriate funding for payments to the external auditor, advisors employed by the audit committee and other necessary administrative expenses of the audit committee. A company must also have an internal audit function, which may be outsourced, except to the independent auditor. We follow the “traditional” model of corporate governance for Italian companies and accordingly have established a board of statutory auditors established in accordance with Italian law which performs substantially the same functions and is accordingly exempt from the audit committee requirements established by Rule 10A-3 and Nasdaq rules. The Company’s reliance on such exemption is based on the circumstance that the Company’s board of statutory auditors meets the following requirements set forth in Exchange Act Rule 10A-3(c)(3):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established and selected pursuant to Italian law expressly permitting such a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required under Italian law to be separate from the Company’s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not elected by management of the Company and no executive officer of the Company is a member of the board of statutory auditors;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provides for standards for the independence of the board of statutory auditors from the Company and its management;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caps w:val="false"/>
                <w:smallCaps w:val="false"/>
              </w:rPr>
            </w:pPr>
            <w:r>
              <w:rPr>
                <w:caps w:val="false"/>
                <w:smallCaps w:val="false"/>
              </w:rPr>
              <w:t> </w:t>
            </w:r>
          </w:p>
        </w:tc>
        <w:tc>
          <w:tcPr>
            <w:tcW w:w="98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in accordance with applicable Italian law and the Company’s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Rule 10A-3(c)(3) does not, in our opinion, materially adversely affect the ability of its board of statutory auditors to act independently and to satisfy the other requirements of Rule 10A-3.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Italian law does not require the appointment of a compensation committee composed of independent directors as required by the Nasdaq Listing Rules. As a matter of Italian law applicable to Italian stock corporations whose shares are not listed on a regulated market in the E.U. and under our bylaws, the compensation of executive directors, including the CEO, is determined by the board of directors, after consultation with the board of statutory auditors, while the Company’s shareholders, according to Italian law and our bylaws, may determine a total amount for the compensation of the directors, including managing directors. Compensation of the Company’s executive officers is determined by Board of Directors or by the CEO, if duly empowered. Nevertheless, although not required under Italian law, the Company has established a Compensation, Nomination and Governance Committee.</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Code of Conduct</w:t>
            </w:r>
            <w:r>
              <w:rPr>
                <w:rFonts w:ascii="Times New Roman;Times;Serif" w:hAnsi="Times New Roman;Times;Serif"/>
                <w:b w:val="false"/>
                <w:i w:val="false"/>
                <w:caps w:val="false"/>
                <w:smallCaps w:val="false"/>
                <w:sz w:val="20"/>
              </w:rPr>
              <w:t>. Pursuant to Italian law, we have adopted an “Organization and Operational Model” as required by Italian Legislative Decree of June 8, 2001, No. 231 (relating to administrative responsibility) that consists of: (i) a Code of Ethics; and (ii) operating procedures and reporting systems applicable to all of our directors, officers and employees, which may not comply with the requirements for a code of conduct meeting the criteria under Nasdaq Listing Rule 5610.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Loyalty Share Program</w:t>
            </w:r>
            <w:r>
              <w:rPr>
                <w:rFonts w:ascii="Times New Roman;Times;Serif" w:hAnsi="Times New Roman;Times;Serif"/>
                <w:b w:val="false"/>
                <w:i w:val="false"/>
                <w:caps w:val="false"/>
                <w:smallCaps w:val="false"/>
                <w:sz w:val="20"/>
              </w:rPr>
              <w:t>. As described in more detail in “Item 10. Additional Information. B. Memorandum and Articles of Association” we have established a loyalty share program. Under our loyalty share program, each ordinary share held in registered form entitles the shareholder to a double vote (i.e. two votes for each ordinary share) if the ordinary share has been held by the same shareholder for a continuous period of not less than twenty-four months from the date of its registration in the special list maintained by us, and an additional vote is also granted upon the expiration of each 12-month period, following the expiration of the period referred to above, in which such ordinary share has been held by the shareholder, up to a total maximum of ten votes per ordinary share. Pursuant to the home country exemption set forth under Nasdaq Stock Market Rule 5640, in establishing the loyalty share program, we elected to be exempt from the requirement under Nasdaq Stock Market Rule 5640, which provides that the voting rights of existing shareholders of publicly traded common stock registered under Section 12 of the Exchange Act cannot be disparately reduced or restricted through any corporate action or issuance.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5" w:name="ms_003"/>
      <w:bookmarkEnd w:id="65"/>
      <w:r>
        <w:rPr>
          <w:rFonts w:ascii="Times New Roman;Times;Serif" w:hAnsi="Times New Roman;Times;Serif"/>
          <w:b/>
          <w:i w:val="false"/>
          <w:caps w:val="false"/>
          <w:smallCaps w:val="false"/>
          <w:sz w:val="20"/>
        </w:rPr>
        <w:t>D. Employees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2025, we had 13 full-time employees, 11 located in Milan, Italy, and two (2) located in the U.S. We also rely on consultants, and several collaborators at SR-TIGET and OSR. Our full-time employees and consultants are engaged in clinical, research and development, product development, quality assurance, finance, accounting, and administrative activities. We consider our relationship with our employees to be good.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6" w:name="ms_004"/>
      <w:bookmarkEnd w:id="66"/>
      <w:r>
        <w:rPr>
          <w:rFonts w:ascii="Times New Roman;Times;Serif" w:hAnsi="Times New Roman;Times;Serif"/>
          <w:b/>
          <w:i w:val="false"/>
          <w:caps w:val="false"/>
          <w:smallCaps w:val="false"/>
          <w:sz w:val="20"/>
        </w:rPr>
        <w:t>E. Share Ownership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7.A. – Major Shareholders”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7" w:name="ms_005"/>
      <w:bookmarkEnd w:id="67"/>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8" w:name="ms_006"/>
      <w:bookmarkEnd w:id="68"/>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 w:name="ms_007"/>
      <w:bookmarkEnd w:id="69"/>
      <w:r>
        <w:rPr>
          <w:rFonts w:ascii="Times New Roman;Times;Serif" w:hAnsi="Times New Roman;Times;Serif"/>
          <w:b/>
          <w:i w:val="false"/>
          <w:caps w:val="false"/>
          <w:smallCaps w:val="false"/>
          <w:sz w:val="20"/>
        </w:rPr>
        <w:t>A. Major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ordinary shares as of March 26, 2025 by: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to us to be the beneficial owner of more than 5% of our outstanding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ownership is based on 18,289,866 ordinary shares (including ordinary shares represented by ADSs) outstanding on March 26, 2025. Beneficial ownership is determined in accordance with the rules of the SEC, which generally provide that a person has beneficial ownership of a security if he, she or it possesses sole or shared voting or investment power over that security or has the right to acquire a security, such as through the exercise of stock options, within 60 days. Shares subject to options that are currently exercisable or exercisable within 60 days of the date above are considered outstanding and beneficially owned by the person holding such options for the purpose of computing the percentage ownership of that person but are not treated as outstanding for the purpose of computing the percentage ownership of any other person.</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in footnotes to this table, we believe that the shareholders named in this table have sole voting and investment power with respect to all shares shown to be beneficially owned by them, based on information provided to us by such shareholders. Our major shareholders do not have different voting rights than other holders of our ordinary shares. The information is not necessarily indicative of beneficial ownership for any other purpose. Unless otherwise noted below, each beneficial owner’s address is: c/o Genenta Science S.p.A., Via Olgettina no. 58, 20132 Milan, Italy.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44"/>
        <w:gridCol w:w="60"/>
        <w:gridCol w:w="74"/>
        <w:gridCol w:w="1048"/>
        <w:gridCol w:w="60"/>
        <w:gridCol w:w="60"/>
        <w:gridCol w:w="162"/>
        <w:gridCol w:w="1890"/>
        <w:gridCol w:w="60"/>
        <w:gridCol w:w="60"/>
        <w:gridCol w:w="78"/>
        <w:gridCol w:w="1121"/>
        <w:gridCol w:w="60"/>
        <w:gridCol w:w="60"/>
        <w:gridCol w:w="123"/>
        <w:gridCol w:w="1001"/>
        <w:gridCol w:w="215"/>
        <w:gridCol w:w="60"/>
        <w:gridCol w:w="60"/>
        <w:gridCol w:w="200"/>
        <w:gridCol w:w="60"/>
        <w:gridCol w:w="60"/>
        <w:gridCol w:w="159"/>
        <w:gridCol w:w="1294"/>
        <w:gridCol w:w="236"/>
      </w:tblGrid>
      <w:tr>
        <w:trPr/>
        <w:tc>
          <w:tcPr>
            <w:tcW w:w="194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Shares Owned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 Shares Exercisable within 60 Days of March 28,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of Shares </w:t>
              <w:br/>
              <w:t>Beneficially Owned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Owned</w:t>
            </w:r>
          </w:p>
        </w:tc>
        <w:tc>
          <w:tcPr>
            <w:tcW w:w="2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Total Voting Power</w:t>
            </w:r>
          </w:p>
        </w:tc>
        <w:tc>
          <w:tcPr>
            <w:tcW w:w="23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4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2,296,129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2,332,732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58.72</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Cantello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 Chung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Armon Sharei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Wider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167,532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Carlo Russo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602,417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632,919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Luigi Naldini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1,386,145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1,386,145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Bernhard Gentner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692,871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692,871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Stefania Mazzoleni</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84,047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 Regonini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944"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directors and executive officers as a group (117 persons)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5,030,030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416,638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5,446,668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29.78</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65.76</w:t>
            </w:r>
          </w:p>
        </w:tc>
        <w:tc>
          <w:tcPr>
            <w:tcW w:w="2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94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OSR - San Raffaele Hospital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1,896,730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2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2,296,129 shares (2,275,516 ordinary shares plus 20,613 ADSs) held by Mr. Paracchi and 36,603 shares underlying options to acquire ADSs of Genenta Science S.p.A. exercisable within 60 days of March 28, 2025. Mr. Paracchi is also enrolled in the Company’s loyalty share program and based on his ten-year investment in the Company, has the right to vote 10 votes per share with respect to his ordinary shares. Currently, Mr. Paracchi is the only person enrolled in the Company’s loyalty share program.</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20,163 shares underlying options to acquire ADSs of Genenta Science S.p.A. exercisable within 60 days of March 28, 2025.</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20,163 shares underlying options to acquire ADSs of Genenta Science S.p.A. exercisable within 60 days of March 28, 2025.</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20,163 shares underlying options to acquire ADSs of Genenta Science S.p.A. exercisable within 60 days of March 28, 2025.</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20,163 shares underlying options to acquire ADSs of Genenta Science S.p.A. exercisable within 60 days of March 28, 2025.</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22,147 shares (19,947 ordinary shares plus 2,200 ADSs acquired through a 10b5-1 plan in July &amp; August 2024) held directly by Mr. Slansky and 187,479 ordinary shares underlying options to acquire ordinary shares of Genenta Science S.p.A. exercisable within 60 days of March 28, 2025.</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602,417 shares (598,417 ordinary shares plus 4,000 ADSs acquired through a 10b5-1 plan in September &amp; October 2024) held by Dr. Russo and 30,502 shares underlying options to acquire ADSs of Genenta Science S.p.A. exercisable within 60 days of March 28, 2025.</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30,321 ordinary shares held by Ms. Mazzoleni and 53,726 shares underlying options to acquire ADSs of Genenta Science S.p.A. exercisable within 60 days of March 28, 2025.</w:t>
            </w:r>
          </w:p>
        </w:tc>
      </w:tr>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47,625 shares underlying options to acquire ADSs of Genenta Science S.p.A. exercisable within 60 days of March 28, 2025.</w:t>
            </w:r>
          </w:p>
        </w:tc>
      </w:tr>
    </w:tbl>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Changes in Percentage Ownership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significant changes in the percentage ownership held by our major shareholders since the IPO in December 2021.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in the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as of February 18, 2025, on the same basis of calculation as above, 45% of our total issued and outstanding ordinary shares were held by one record shareholder in the U.S., namely, The Bank of New York (formerly The Bank of New York Mellon), the depositary of our ADS program, which held 8,210,799 ordinary shares represented by 8,210,799 ADSs, or nine (9) brokers and institutional record holders. The actual number of holders is likely greater than these numbers of record holders and includes beneficial owners whose ordinary shares or ADSs are held in street name by brokers and other nominees. This number of holders of record also does not include holders whose shares may be held in trust by other entities.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 we are not aware of any arrangement that may, at a subsequent date, result in a change of control of our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0" w:name="ms_008"/>
      <w:bookmarkEnd w:id="70"/>
      <w:r>
        <w:rPr>
          <w:rFonts w:ascii="Times New Roman;Times;Serif" w:hAnsi="Times New Roman;Times;Serif"/>
          <w:b/>
          <w:i w:val="false"/>
          <w:caps w:val="false"/>
          <w:smallCaps w:val="false"/>
          <w:sz w:val="20"/>
        </w:rPr>
        <w:t>B. 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during the most recently completed financial year entered into transactions or loans with any (a) enterprises that are directly or indirectly controlled by or under common control with us; (b) our associates; (c) individuals directly or indirectly owning voting right which give them significant influence over us or close members of their respective families; (d) our directors, senior management or close members of their respective families; or (e) enterprises in which a substantial interest in the voting power is held or significantly influenced by any of the foregoing individuals (a “Related Party”), except as indicated below: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with OSR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longstanding relationship with OSR. Beginning January 1, 2020, we entered into a six-year lease agreement for the use of office space in the OSR building. We paid OSR annual rent of approximately €15,000 in 2024 with a security deposit of €3,350.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we entered into an amended and restated license agreement (the “ARLA”) with OSR.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ARLA was subject to Italy’s Law Decree No. 21 of March 15, 2012 (i.e., the Italian Golden Power regulations), as subsequently amended and supplemented, and would not become effective until the applicable Italian governmental authority consented to the ARLA. On April 20, 2023, such consent was received and the ARLA became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ARLA, OSR has granted us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based-hematopoietic stem and progenitor cells (“HSPC”) gene transfer with respect to: (a) any solid cancer indication (including glioblastoma and solid liver cancer) and/or (b) any lympho-hematopoietic indication for which we exercise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we entered into a Sponsored Research Agreement (“CP1 SRA”), which was contemplated under the ARLA, pursuant to which we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us and provide an estimate for completing the research.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2023, we entered into an amendment to the ARLA, whereby we and OSR agreed that we had fulfilled the obligations as set forth in the ARLA specific to Candidate Products 1 pursuant to the CP1 SRA. Furthermore, the amendment provides that we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sponsored research agreement with regards to Candidate Products 2, OSR granted us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our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the ALRA, CP1 SRA and the amendment to the ARLA, see “Item 4. Information on the Company—B. Business Overview—Collaboration / Licensing—Amended and Restated License Agreement with Ospedale San Raffaele” and “—Sponsored Research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with Senior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employment agreements with each of Mr. Paracchi, Dr. Russo, and Mr. Slansky effective upon the consummation of our IPO or, in the case of Mr. Slansky, November 1, 2021. Pursuant to such employment agreements, Mr. Paracchi, Dr. Russo and Mr. Slansky are entitled to gross annual base salaries of €420,000, $500,000 and $375,000, respectively. All these employment agreements are subject to annual review by and at the sole discretion of the Compensation, Nomination and Governance Committee of our board of directors. Mr. Paracchi is also eligible to receive an annual cash bonus of up to 40% of base salary, and Dr. Russo and Mr. Slansky are eligible to receive an annual cash bonus of up to 30% of base salary, provided that such individual achieves performance targets determined by the Compensation, Nomination and Governance Committee of the board of directors.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agreements of Dr. Russo and Mr. Slansky, are governed by U.S. law and include the following terms and conditions, among others: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employment agreement has a term commencing on the date of consummation of our IPO or, in the case of Mr. Slansky, November 1, 2021, and continuing until terminated: (i) upon death of the employee; (ii) upon disability; (iii) for cause or good reason; (iv) without cause; or (v) voluntarily. The employment agreement also contains, among other things, the following material provisions: (i) reimbursement for all reasonable travel and other out-of-pocket expenses incurred in connection with such individual’s employment; (ii) paid vacation leave; (iii) health benefits; and (iv) a severance payment equal to twelve (12) months of base salary and a prorated portion of the applicable cash bonus upon termination by such individual for just cause or by the Company without cause (each as defined in the relevant agreement), with restrictive covenants applicable for a corresponding period after termination.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such individual is terminated three months prior to, or one year after, a Change of Control (as defined in the agreement) by the Company for any reason other than cause, or by such individual for good reason, then the executive shall be entitled to receive a cash payment equal to a multiple of such individual’s then-current annual base salary determined by the time elapsed since the commencement of the agreement (in the case of Dr. Russo) or two times such salary (in the case of Mr. Slansky). Such payment shall be in lieu of the severance payment described above.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of Mr. Paracchi is governed by Italian law and includes the following terms and conditions, among others: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 </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duties of general manager (</w:t>
            </w:r>
            <w:r>
              <w:rPr>
                <w:rFonts w:ascii="Times New Roman;Times;Serif" w:hAnsi="Times New Roman;Times;Serif"/>
                <w:b w:val="false"/>
                <w:i/>
                <w:caps w:val="false"/>
                <w:smallCaps w:val="false"/>
                <w:sz w:val="20"/>
              </w:rPr>
              <w:t>direttore generale</w:t>
            </w:r>
            <w:r>
              <w:rPr>
                <w:rFonts w:ascii="Times New Roman;Times;Serif" w:hAnsi="Times New Roman;Times;Serif"/>
                <w:b w:val="false"/>
                <w:i w:val="false"/>
                <w:caps w:val="false"/>
                <w:smallCaps w:val="false"/>
                <w:sz w:val="20"/>
              </w:rPr>
              <w:t>) with direct report to the board of directors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 </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 of reasonable expenses incurred in the performance of work duties, health benefits and, subject to the approval of the board of directors, a grant of an equity award under an equity incentive plan to be adopted after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Change of Control (as defined in the relevant agreement), in the event of termination not for “cause” by the Company or of resignation for “cause” by the executive (such terms as understood in accordance with Article 2119 of the Italian Civil Code), the executive shall be entitled to receive a cash payment equal to three times such individual’s then-current annual base salary (such indemnity will replace any indemnity provided for by the applicable National Collective Labour Agreement in case of termination);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 </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non-competition and non-solicitation obligations of the executive for a 12 month period after the termination of the employment in consideration for compensation equal to 12 months after termination at the executive’s then-current monthly base salary for each obligation.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agreement has a term commencing on the date of consummation of our IPO and continuing until terminated, among other things: (a) upon death of the executive; (b) for just cause; (c) with objective or subjective reason; (d) by resignation of the executive; or (e) voluntarily by mutual agreement between the parties.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Consultancy Agreements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 Naldini and Dr. Gentner have entered into consulting agreements in connection with their service on our Executive Scientific Board. The agreements provide for gross annual fees of €100,000 and €45,000, respectively. These agreements automatically renew each year.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Gaurav Shah has entered into consultancy agreements for the activity of support the development and the growth of the Company in the U.S. market. The agreement has been in effect on a calendar quarter-to-quarter basis until December 31, 2024. For the year ended December 31, 2024, the consultant invoiced the Company for a total $7,500.</w:t>
            </w:r>
          </w:p>
        </w:tc>
      </w:tr>
    </w:tbl>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indemnification agreement with our directors and executive officers which requires us to indemnify our directors and executive officers to the fullest extent permitted by law, save for a limited number of instances, including when: (i) officers and directors’ acts or omissions constituted willful misconduct or gross negligence; (ii) officers and directors did not act in good faith, for a purpose which they reasonably believed to be in, or not opposed to, the best interests of the Company; and (iii) officers and directors are held liable towards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of liabilities arising under the Securities Act may be permitted to executive officers and board members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1" w:name="ms_009"/>
      <w:bookmarkEnd w:id="71"/>
      <w:r>
        <w:rPr>
          <w:rFonts w:ascii="Times New Roman;Times;Serif" w:hAnsi="Times New Roman;Times;Serif"/>
          <w:b/>
          <w:i w:val="false"/>
          <w:caps w:val="false"/>
          <w:smallCaps w:val="false"/>
          <w:sz w:val="20"/>
        </w:rPr>
        <w:t>C. Interests of Experts and Counsel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2" w:name="ms_010"/>
      <w:bookmarkEnd w:id="72"/>
      <w:r>
        <w:rPr>
          <w:rFonts w:ascii="Times New Roman;Times;Serif" w:hAnsi="Times New Roman;Times;Serif"/>
          <w:b/>
          <w:i w:val="false"/>
          <w:caps w:val="false"/>
          <w:smallCaps w:val="false"/>
          <w:sz w:val="20"/>
        </w:rPr>
        <w:t>ITEM 8. FINANCIAL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3" w:name="ms_011"/>
      <w:bookmarkEnd w:id="73"/>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financial statements are stated in EUROs and are prepared in accordance with US GAAP.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for the 2024, 2023 and 2022 fiscal years as required under Item 17 are included immediately following the text of this Annual Report. The audit reports of the Company are included herein immediately preceding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Policy on Dividend 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paid any dividends on its outstanding ordinary shares since its incorporation and does not anticipate that it will do so in the foreseeable future. The payment of dividends in the future, if any, is within the discretion of the Board of Directors and will depend upon our earnings, our capital requirements and financial condition and other relevant factors. We do not anticipate declaring or paying any dividends in the foreseeable future.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4" w:name="ms_012"/>
      <w:bookmarkEnd w:id="74"/>
      <w:r>
        <w:rPr>
          <w:rFonts w:ascii="Times New Roman;Times;Serif" w:hAnsi="Times New Roman;Times;Serif"/>
          <w:b/>
          <w:i w:val="false"/>
          <w:caps w:val="false"/>
          <w:smallCaps w:val="false"/>
          <w:sz w:val="20"/>
        </w:rPr>
        <w:t>B. Significant Changes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5" w:name="ms_013"/>
      <w:bookmarkEnd w:id="75"/>
      <w:r>
        <w:rPr>
          <w:rFonts w:ascii="Times New Roman;Times;Serif" w:hAnsi="Times New Roman;Times;Serif"/>
          <w:b/>
          <w:i w:val="false"/>
          <w:caps w:val="false"/>
          <w:smallCaps w:val="false"/>
          <w:sz w:val="20"/>
        </w:rPr>
        <w:t>ITEM 9. THE OFFER AND 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6" w:name="ms_014"/>
      <w:bookmarkEnd w:id="76"/>
      <w:r>
        <w:rPr>
          <w:rFonts w:ascii="Times New Roman;Times;Serif" w:hAnsi="Times New Roman;Times;Serif"/>
          <w:b/>
          <w:i w:val="false"/>
          <w:caps w:val="false"/>
          <w:smallCaps w:val="false"/>
          <w:sz w:val="20"/>
        </w:rPr>
        <w:t>A. Offer and Listing Details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in the form of ADSs under the symbol “GNTA.” Neither the Company’s ordinary shares nor its ADSs are listed on a securities exchange outside the U.S. Bank of New York Mellon is the Company’s depositary for purposes of issuing ADSs. Trading in the ADSs on The Nasdaq Capital Market commenced on December 15, 2021.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7" w:name="ms_015"/>
      <w:bookmarkEnd w:id="77"/>
      <w:r>
        <w:rPr>
          <w:rFonts w:ascii="Times New Roman;Times;Serif" w:hAnsi="Times New Roman;Times;Serif"/>
          <w:b/>
          <w:i w:val="false"/>
          <w:caps w:val="false"/>
          <w:smallCaps w:val="false"/>
          <w:sz w:val="20"/>
        </w:rPr>
        <w:t>B. Plan of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8" w:name="ms_016"/>
      <w:bookmarkEnd w:id="78"/>
      <w:r>
        <w:rPr>
          <w:rFonts w:ascii="Times New Roman;Times;Serif" w:hAnsi="Times New Roman;Times;Serif"/>
          <w:b/>
          <w:i w:val="false"/>
          <w:caps w:val="false"/>
          <w:smallCaps w:val="false"/>
          <w:sz w:val="20"/>
        </w:rPr>
        <w:t>C. Markets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9. The Offer and Listing—A. Offer and Listing Details.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9" w:name="ms_017"/>
      <w:bookmarkEnd w:id="79"/>
      <w:r>
        <w:rPr>
          <w:rFonts w:ascii="Times New Roman;Times;Serif" w:hAnsi="Times New Roman;Times;Serif"/>
          <w:b/>
          <w:i w:val="false"/>
          <w:caps w:val="false"/>
          <w:smallCaps w:val="false"/>
          <w:sz w:val="20"/>
        </w:rPr>
        <w:t>D. Selling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0" w:name="ms_018"/>
      <w:bookmarkEnd w:id="80"/>
      <w:r>
        <w:rPr>
          <w:rFonts w:ascii="Times New Roman;Times;Serif" w:hAnsi="Times New Roman;Times;Serif"/>
          <w:b/>
          <w:i w:val="false"/>
          <w:caps w:val="false"/>
          <w:smallCaps w:val="false"/>
          <w:sz w:val="20"/>
        </w:rPr>
        <w:t>E. Dilution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1" w:name="ms_019"/>
      <w:bookmarkEnd w:id="81"/>
      <w:r>
        <w:rPr>
          <w:rFonts w:ascii="Times New Roman;Times;Serif" w:hAnsi="Times New Roman;Times;Serif"/>
          <w:b/>
          <w:i w:val="false"/>
          <w:caps w:val="false"/>
          <w:smallCaps w:val="false"/>
          <w:sz w:val="20"/>
        </w:rPr>
        <w:t>F. Expenses of the Issue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2" w:name="ms_020"/>
      <w:bookmarkEnd w:id="82"/>
      <w:r>
        <w:rPr>
          <w:rFonts w:ascii="Times New Roman;Times;Serif" w:hAnsi="Times New Roman;Times;Serif"/>
          <w:b/>
          <w:i w:val="false"/>
          <w:caps w:val="false"/>
          <w:smallCaps w:val="false"/>
          <w:sz w:val="20"/>
        </w:rPr>
        <w:t>ITEM 10. ADDITIONAL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3" w:name="ms_021"/>
      <w:bookmarkEnd w:id="83"/>
      <w:r>
        <w:rPr>
          <w:rFonts w:ascii="Times New Roman;Times;Serif" w:hAnsi="Times New Roman;Times;Serif"/>
          <w:b/>
          <w:i w:val="false"/>
          <w:caps w:val="false"/>
          <w:smallCaps w:val="false"/>
          <w:sz w:val="20"/>
        </w:rPr>
        <w:t>A. Share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4" w:name="ms_022"/>
      <w:bookmarkEnd w:id="84"/>
      <w:r>
        <w:rPr>
          <w:rFonts w:ascii="Times New Roman;Times;Serif" w:hAnsi="Times New Roman;Times;Serif"/>
          <w:b/>
          <w:i w:val="false"/>
          <w:caps w:val="false"/>
          <w:smallCaps w:val="false"/>
          <w:sz w:val="20"/>
        </w:rPr>
        <w:t>B. Memorandum and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certain terms and provisions of our bylaws (our “Bylaws”) is incorporated by reference to our Registration Statement on Form F-1 (File No. 333-260923) filed with the SEC and as declared effective on December 14, 2021, and to our Form 6-K filed with the SEC on May 3,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2024 Ordinary and Extraordinary Shareholders’ Meeting, our shareholders approved an amendment to our Bylaws that established a loyalty share program. Under the loyalty share program, each ordinary share held in registered form entitles the shareholder to a double vote (i.e. two votes for each ordinary share) if the ordinary share has been held by the same shareholder for a continuous period of not less than twenty-four months from the date of its registration in the special list maintained by us, and an additional vote is also granted upon the expiration of each 12-month period, following the expiration of the period referred to above, in which such ordinary share has been held by the shareholder, up to a total maximum of ten votes per ordinary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the loyalty share program, a special list (the “Special List”) is maintained by us. To be added to the Special List, the registered shareholder would need to submit a specific application, enclosing a communication certifying the ordinary share ownership – which may also concern only part of the ordinary shares held by the registered shareholder – issued by the intermediary with whom the ordinary shares are deposited pursuant to the laws in force. In the case of entities other than individuals, the application would need to specify whether the entity is subject to direct or indirect control by third parties and the identification data of the controlling entity, if any. The Special List is updated by us. Cancellation from the Special List results from the following cases: renunciation of the interested party; communication of the interested party or of the intermediary proving the loss of the prerequisites for the increase of the voting right or the loss of the ownership of the right; ex officio, when we are informed of the occurrence of facts that entail the loss of the prerequisites for the increase of the voting right or the loss of the ownership of the right.</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5" w:name="ms_023"/>
      <w:bookmarkEnd w:id="85"/>
      <w:r>
        <w:rPr>
          <w:rFonts w:ascii="Times New Roman;Times;Serif" w:hAnsi="Times New Roman;Times;Serif"/>
          <w:b/>
          <w:i w:val="false"/>
          <w:caps w:val="false"/>
          <w:smallCaps w:val="false"/>
          <w:sz w:val="20"/>
        </w:rPr>
        <w:t>C. Material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6" w:name="ms_024"/>
      <w:bookmarkEnd w:id="86"/>
      <w:r>
        <w:rPr>
          <w:rFonts w:ascii="Times New Roman;Times;Serif" w:hAnsi="Times New Roman;Times;Serif"/>
          <w:b/>
          <w:i w:val="false"/>
          <w:caps w:val="false"/>
          <w:smallCaps w:val="false"/>
          <w:sz w:val="20"/>
        </w:rPr>
        <w:t>D. Exchange Controls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there are no exchange control restrictions on investments in, or payments on, the Genenta ordinary shares. There are no special restrictions in the Genenta Articles of Association or Italian law that limit the right of shareholders who are not citizens or residents of Italy to hold or vote the Genenta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7" w:name="ms_025"/>
      <w:bookmarkEnd w:id="87"/>
      <w:r>
        <w:rPr>
          <w:rFonts w:ascii="Times New Roman;Times;Serif" w:hAnsi="Times New Roman;Times;Serif"/>
          <w:b/>
          <w:i w:val="false"/>
          <w:caps w:val="false"/>
          <w:smallCaps w:val="false"/>
          <w:sz w:val="20"/>
        </w:rPr>
        <w:t>E. Taxation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Italian Tax Consequences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w:t>
      </w:r>
      <w:r>
        <w:rPr>
          <w:rFonts w:ascii="Times New Roman;Times;Serif" w:hAnsi="Times New Roman;Times;Serif"/>
          <w:b w:val="false"/>
          <w:i w:val="false"/>
          <w:caps w:val="false"/>
          <w:smallCaps w:val="false"/>
          <w:sz w:val="20"/>
        </w:rPr>
        <w:t>. Under Italian law, financial instruments issued by an Italian company are subject to the same tax regime as are shares, provided that their remuneration is entirely represented by participation in the economic results of the issuer. Pursuant to Article 10(3) of the Income Tax Convention, the tax regime of dividends applies to income from corporate rights of an Italian company, which is subject to the same taxation treatment as income from shares under the laws of Italy.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Income Tax Withholding on Dividends</w:t>
      </w:r>
      <w:r>
        <w:rPr>
          <w:rFonts w:ascii="Times New Roman;Times;Serif" w:hAnsi="Times New Roman;Times;Serif"/>
          <w:b w:val="false"/>
          <w:i w:val="false"/>
          <w:caps w:val="false"/>
          <w:smallCaps w:val="false"/>
          <w:sz w:val="20"/>
        </w:rPr>
        <w:t>. We do not anticipate making any distributions on our ordinary shares in the foreseeable future. However, if we were to make distributions on our ordinary shares, we would generally be required under Italian law, except as otherwise discussed below, to apply a definitive withholding tax on payments made to holders of our ordinary shares who are not residents of Italy for tax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Notably, dividends paid to beneficial owners who are not Italian residents and do not have a permanent establishment in Italy are generally subject to a 26 percent substitute tax rate. Therefore, the amount of the dividends that the holders of American Depository Receipts (“ADRs”)or holders of equity shares not residing in Italy will initially receive will be net of such Italian substitute tax.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non-Italian resident owners of equity shares or ADRs may benefit from reduced withholding tax settled in the relevant anti-double tax treaty undersigned between Italy and the country of residence for tax purposes of the owners of equity shares or ADRs. The reduced withholding tax rate under the relevant anti-double tax treaty will be applicable provided that the non-resident owners of the equity shares or ADRs are able to produce the documentation attesting the requirements to be eligible for the application of the relevant anti-double tax treaty.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Italian law, U.S. owners can claim, in accordance with Presidential Decree No. 600 of October 16, 1973, Article 27(3), a refund of up to eleven-twenty-sixths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xml:space="preserve"> 11/26) of the Italian withholding tax withheld on dividends upon presenting evidence to the Italian tax authorities that income taxes have been fully paid on the dividends in the country of residence of the U.S. owners in an amount at least equal to the total refund claimed. U.S. holders should consult an independent tax advisor concerning the availability of this refund, which has traditionally become payable only after extensive delays.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double tax treaty in force between Italy and the U.S. (“U.S./Italy Income Tax Treaty”), if the payee is the beneficial owner of the payment, dividends paid to U.S. owners will be subject to Italian withholding tax at a reduced rate of: 1) 5%, if the beneficiary is a company owning at least 25% of the payer’s voting shares (for at least 12 months preceding the dividend distribution); or 2) 15% in any other case. The aforementioned regime (both 1 and 2) is applicable only if the payee does not carry out an entrepreneurial activity in Italy through a permanent establishment or performs independent personal services through a fixed place situated therein.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or entities subject to corporation tax and resident in States that are E.U. Member States or participants in the EEA (included in the list provided for by Italian Ministerial Decree, September 4, 1996, amended and supplemented by Ministerial Decree March 23, 2017) may be entitled to a reduced tax rate of 1.2% on dividends distributed. The pensions funds established in an E.U. Member State or EEA country may be entitled to a reduced tax rate of 11% or, under certain conditions, to exemption from Italian taxation on dividends.</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on Capital Gains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gains from shares in Italian companies, under custody in Italy, could give rise to a taxable income for the non-resident transferor.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 gains exempt from taxation in Italy </w:t>
      </w:r>
      <w:r>
        <w:rPr>
          <w:rFonts w:ascii="Times New Roman;Times;Serif" w:hAnsi="Times New Roman;Times;Serif"/>
          <w:b w:val="false"/>
          <w:i w:val="false"/>
          <w:caps w:val="false"/>
          <w:smallCaps w:val="false"/>
          <w:sz w:val="20"/>
        </w:rPr>
        <w:t>- “Non-qualified shareholdings” are those which are below 2% of the voting rights and 5% of the capital of an exchange-listed company. Gains from the disposal of non-qualified share investments in Italian listed companies by non-Italian residents are not subject to Italian income tax under domestic rule.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Capital gains subject to tax in Italy </w:t>
      </w:r>
      <w:r>
        <w:rPr>
          <w:rFonts w:ascii="Times New Roman;Times;Serif" w:hAnsi="Times New Roman;Times;Serif"/>
          <w:b w:val="false"/>
          <w:i w:val="false"/>
          <w:caps w:val="false"/>
          <w:smallCaps w:val="false"/>
          <w:sz w:val="20"/>
        </w:rPr>
        <w:t>- “Qualified shareholdings” in a listed company are those representing more than the 2% of the voting rights or more than the 5% of the capital of an exchange-listed company. Capital gains from the disposal of a qualified shareholding in a listed company are subject to a withholding tax of 26% under the domestic rule.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shareholding” thresholds must be verified over a 12-month monitoring period, starting from the day on which the investor has held at least a qualifying stake, either actual or potential (this rule aimed at preventing that a buy/sale kind of trading resulting in an overall disposition of over 2% in 12 months may result in a qualifying gain having to be declared even when the investor has never owned an actual or potential qualifying stake). Consequently, all trades cumulatively carried out in a 12-month period should be considered. More in details: (i) until the investor holds a qualifying shareholding at any point in time, trades are not relevant for capital gain purposes, even if the overall amount disposed in a 12-month period exceeds the relevant thresholds; and (ii) starting from the day when the taxpayer holds a qualifying shareholding, all the trades carried out in any consecutive 12 months give rise to qualified capital gains if the overall amount disposed of exceeds one of the relevant thresholds.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please be informed that in accordance with rules stated in the anti-double tax treaty, in force between Italy and the country of residence for tax purposes of the transferor, is possible to claim the benefit of exemption of the 26% taxation on capital gains. In principle, and more in details, the art. 13 of the OECD model convention basically states that the capital gain is only taxed in the transferor’s country of tax residence. The Italy – U.S. anti-double treaty tax convention states a taxation criterion in line with the above. In the light of the above and upon conditions that all the requirements relevant for the application of the Italy – U.S. anti-double treaty tax convention are met, an U.S. investor may benefit from the fully exemption of taxation in Italy.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save for any applicable anti-avoidance provision, pursuant to the Income Tax Convention, a U.S. owner will not be subject to Italian capital gain tax or to Italian individual or corporate income tax unless such U.S. owner has a permanent establishment or fixed base in Italy to which the owner’s ordinary shares is effectively connected. To this end, U.S. owners selling ordinary shares and claiming benefits under the Income Tax Convention may be required to produce appropriate documentation establishing that the above-mentioned conditions have been met.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Estate and Gift Tax</w:t>
      </w:r>
      <w:r>
        <w:rPr>
          <w:rFonts w:ascii="Times New Roman;Times;Serif" w:hAnsi="Times New Roman;Times;Serif"/>
          <w:b w:val="false"/>
          <w:i w:val="false"/>
          <w:caps w:val="false"/>
          <w:smallCaps w:val="false"/>
          <w:sz w:val="20"/>
        </w:rPr>
        <w:t>. Inheritance and gift taxes, which were abolished in 2001, have been re-introduced in the Italian system by Law Decree No. 262 of October 3, 2006 (converted into law, with amendments, by Law Decree No. 286 of November 24, 2006), as amended. Such taxes will apply to the overall net value of the relevant assets, at the following rates, depending on the relationship between the testate (or donor) and the beneficiary (or donee): (a) 4%, if the beneficiary (or donee) is the spouse or a direct ascendant or descendant (such rate only applying on the net asset value exceeding, for each person, €1.0 million); (b) 6%, if the beneficiary (or donee) is a brother or sister (such rate only applying on the net asset value exceeding, for each person, €0.1 million); (c) 6% if the beneficiary (or donee) is another relative within the fourth degree or a direct relative-in-law as well as an indirect relative-in-law within the third degree; and (d) 8% if the beneficiary is a person other than those mentioned under (a), (b) and (c), above. If the beneficiary has a serious disability recognized under applicable law, inheritance and gift taxes will apply to its portion of the net asset value exceeding €1.5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tax</w:t>
      </w:r>
      <w:r>
        <w:rPr>
          <w:rFonts w:ascii="Times New Roman;Times;Serif" w:hAnsi="Times New Roman;Times;Serif"/>
          <w:b w:val="false"/>
          <w:i w:val="false"/>
          <w:caps w:val="false"/>
          <w:smallCaps w:val="false"/>
          <w:sz w:val="20"/>
        </w:rPr>
        <w:t>. In connection with the Italian stamp duty tax on the transfer of shares, according to article 37 of Law No. 248 of December 31, 2007, converted with amendments into Law No. 31 of February 28, 2008, the stamp duty has been abolished regarding contracts having as their object the transfer of shares. In certain cases, the relevant transfer acts would be subject to the registration tax at a flat amount equal to €200.</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Communications Stamp Duty</w:t>
      </w:r>
      <w:r>
        <w:rPr>
          <w:rFonts w:ascii="Times New Roman;Times;Serif" w:hAnsi="Times New Roman;Times;Serif"/>
          <w:b w:val="false"/>
          <w:i w:val="false"/>
          <w:caps w:val="false"/>
          <w:smallCaps w:val="false"/>
          <w:sz w:val="20"/>
        </w:rPr>
        <w:t xml:space="preserve">. A stamp duty has been introduced under article 19 of Law Decree No. 201 of December 6, 2011, converted into Law No. 214 of December 22, 2011, to be imposed on communications (issued by banks and financial intermediaries) to clients relating to securities, even where the deposit of such securities is not mandatory (although certain entities are excluded). The amount of the stamp duty is based on the market value of the securities or, in the absence of a market value, on the nominal amount or the amount payable on redemption. As a general comment, the stamp duty rate is 0.2% on a yearly </w:t>
      </w:r>
      <w:r>
        <w:rPr>
          <w:rFonts w:ascii="Times New Roman;Times;Serif" w:hAnsi="Times New Roman;Times;Serif"/>
          <w:b w:val="false"/>
          <w:i/>
          <w:caps w:val="false"/>
          <w:smallCaps w:val="false"/>
          <w:sz w:val="20"/>
        </w:rPr>
        <w:t>pro-rata temporis</w:t>
      </w:r>
      <w:r>
        <w:rPr>
          <w:rFonts w:ascii="Times New Roman;Times;Serif" w:hAnsi="Times New Roman;Times;Serif"/>
          <w:b w:val="false"/>
          <w:i w:val="false"/>
          <w:caps w:val="false"/>
          <w:smallCaps w:val="false"/>
          <w:sz w:val="20"/>
        </w:rPr>
        <w:t xml:space="preserve"> basis (from January 1 up to December 31). The minimum amount is fixed of €34.20 up to a maximum amount of €14,000 for persons other than individuals. The communication is deemed to be sent to clients at least once a year, even where there is no obligation to issue any such communication.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Financial Transaction Tax</w:t>
      </w:r>
      <w:r>
        <w:rPr>
          <w:rFonts w:ascii="Times New Roman;Times;Serif" w:hAnsi="Times New Roman;Times;Serif"/>
          <w:b w:val="false"/>
          <w:i w:val="false"/>
          <w:caps w:val="false"/>
          <w:smallCaps w:val="false"/>
          <w:sz w:val="20"/>
        </w:rPr>
        <w:t>. Law 228 of December 24, 2012, Article 1(491 – 500) introduced the Italian Financial Transaction Tax applicable: (i) to the transfer of shares and other participative financial instruments issued by companies resident in Italy (“Italian Equity”) and securities representing Italian Equity, regardless of the country where the issuer has its residence (together with Italian Equity are referred to as “Qualifying Equity”); (ii) on the basis of the “value of the transaction”; (iii) regardless of the place where the transaction is concluded and of the State where the parties have their residence; (iv) to transactions on “regulated markets and on multilateral trading facilities” with a reduced rate; and (v) to over-the-counter transactions with a full 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taxable event, triggering Italian Financial Transaction Tax, is the transfer of ownership of Qualifying Equity. Securities representing Italian Equity are in scope of the Italian Financial Transaction Tax, regardless of the State where the issuer has its residence. This provision is aimed at including in the scope of the Italian Financial Transaction Tax, ADRs, Global Depository Receipts and any other certificate of deposit, where the underlying securities are Italian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transaction is determined based on the net balance of the transactions settled daily, calculated for each taxpayer with reference to the number of securities traded under the transactions settled in the same day and relating to the same financial instrument.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is made by the financial intermediary responsible for the payment of the tax, i.e., the one receiving the order to execute the transaction directly from the purchaser or final counterparty.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Italian Financial Transaction Tax is due by the person in whose favor the transfer of ownership of the Qualifying Equities occurs.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rate applicable is 0.20% while the reduced rate for transactions on “regulated markets and on multilateral trading facilities” is 0.10%.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shall be paid by the 16th day of the month following the one in which the relevant triggering event occurs.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Italian Financial Transaction Tax does not apply to the transfer of ownership of Italian Equity where the issuing companies are listed in regulated markets and have a market capitalization below 500 million Euros. Such exclusion also applies to the transfer of ownership of securities representing Italian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INCLUDED HEREIN FOR GENERAL INFORMATION AND IS NOT INTENDED TO BE, AND SHOULD NOT BE CONSIDERED TO BE LEGAL OR TAX ADVICE. EACH U.S. HOLDER SHOULD CONSULT WITH HIS OR HER OWN TAX ADVISOR AS TO THE PARTICULAR U.S. FEDERAL INCOME TAX CONSEQUENCES OF THE PURCHASE, OWNERSHIP AND SALE OF ADS’S, INCLUDING THE EFFECTS OF APPLICABLE STATE, LOCAL, FOREIGN OR OTHER TAX LAWS AND POSSIBLE CHANGES IN THE TAX LAWS.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described in the next paragraph, the following discussion summarizes the material U.S. federal income tax consequences to a “U.S. Holder” arising from the purchase, ownership, and sale of the ADSs. For this purpose, a “U.S. Holder” is a holder of ADSs that is: (1) an individual citizen or resident of the U.S., including an alien individual who is a lawful permanent resident of the U.S. or meets the substantial presence residency test under U.S. federal income tax laws; (2) a corporation (or entity treated as a corporation for U.S. federal income tax purposes) or a partnership (other than a partnership that is not treated as a U.S. person under any applicable U.S. Treasury regulations) created or organized under the laws of the U.S. or the District of Columbia or any political subdivision thereof; (3) an estate, the income of which is includable in gross income for U.S. federal income tax purposes regardless of source; (4) a trust if a court within the U.S. is able to exercise primary supervision over the administration of the trust and one or more U.S. persons have authority to control all substantial decisions of the trust; or (5) a trust that has a valid election in effect to be treated as a U.S. person to the extent provided in U.S. Treasury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purposes only and does not purport to be a comprehensive description of all the U.S. federal income tax considerations that may be relevant to a decision to invest in or dispose of the ADSs. This summary generally considers only U.S. Holders that will own the ADSs as capital assets and who will not hold the ADSs as part of a permanent establishment in Italy. This summary does not consider the U.S. federal tax consequences to a person that is not a U.S. Holder, nor does it describe the rules applicable to determine a taxpayer’s status as a U.S. Holder. This summary is based on the provisions of the Internal Revenue Code of 1986, as amended, or the Code, final, temporary and proposed U.S. Treasury regulations promulgated thereunder, administrative and judicial interpretations thereof, and the U.S./Italy Income Tax Treaty, all as in effect as of the date hereof and all of which are subject to change, possibly on a retroactive basis, and all of which are open to differing interpretations. We will not seek a ruling from the IRS regarding the U.S. federal income tax treatment of an investment in the ADSs by U.S. Holders and, therefore, can provide no assurances that the IRS will agree with the conclusions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the aspects of U.S. federal income taxation that may be relevant to a particular U.S. holder based on such holder’s particular circumstances and does not discuss any estate, gift, generation-skipping, transfer, state, local, excise or foreign tax considerations. In addition, this discussion does not address the U.S. federal income tax treatment of a U.S. Holder who is: (1) a bank, life insurance company, regulated investment company, or other financial institution or “financial services entity;” (2) a broker or dealer in securities or foreign currency; (3) a person who acquired our securities in connection with employment or other performance of services; (4) a U.S. Holder that is subject to the U.S. alternative minimum tax; (5) a U.S. Holder that holds our securities as a hedge or as part of a hedging, straddle, conversion or constructive sale transaction or other risk-reduction transaction for U.S. federal income tax purposes; (6) a tax-exempt entity; (7) real estate investment trusts or grantor trusts; (8) an expatriate or a former long-term resident of the U.S.; or, (9) a U.S. Holder having a functional currency other than the U.S. dollar. This discussion does not address the U.S. federal income tax treatment of a U.S. Holder that owns, directly or constructively, at any time, securities representing 10% or more of the voting power or value of our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U.S. federal income tax treatment of partnerships (or other pass-through entities) or persons who hold securities through a partnership or other pass-through entity are not addressed. If a partnership (including any entity treated as a partnership for U.S. federal income tax purposes) holds ADSs, the U.S. federal income tax consequences to the partners of such partnership will depend on the activities of the partnership and the status of the partners.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investor is advised to consult his or her own tax adviser for the specific tax consequences to that investor of purchasing, holding, or disposing of our securities, including the effects of applicable state, local, foreign or other tax laws and possible changes in the tax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Dividends Paid on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pay dividends in the foreseeable future. In the event that we do pay dividends, and subject to the discussion under the heading “Passive Foreign Investment Companies” below and the discussion of “qualified dividend income” below, a U.S. Holder, other than certain U.S. Holders that are U.S. corporations, will be required to include in gross income as ordinary income the U.S. dollar amount of any distribution paid on ordinary shares (including the amount of any Italy tax withheld on the date of the distribution), to the extent that such distribution does not exceed our current and accumulated earnings and profits, as determined for U.S. federal income tax purposes. The amount of a distribution which exceeds our earnings and profits will be treated first as a non-taxable return of capital, reducing the U.S. Holder’s tax basis for the ordinary shares to the extent thereof, and then as capital gain. We do not expect to maintain calculations of our earnings and profits under U.S. federal income tax principles and, therefore, U.S. Holders should expect that the entire amount of any distribution generally will be reported as dividend income. Any dividends we pay with respect to the ADSs, or ordinary shares are expected to constitute foreign source income for foreign tax credit purposes.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preferential tax rates for “qualified dividend income” and long-term capital gains are applicable for U.S. Holders that are individuals, estates, or trusts. For this purpose, “qualified dividend income” means, inter alia, dividends received from a “qualified foreign corporation.” A “qualified foreign corporation” is a corporation that is entitled to the benefits of a comprehensive tax treaty with the U.S. which includes an exchange of information program. The IRS has stated that the Italy/U.S. Tax Treaty satisfies this requirement and we believe we are eligible for the benefits of that treaty.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dividends will be qualified dividend income if our ordinary shares are readily tradable on Nasdaq or another established securities market in the U.S. Dividends will not qualify for the preferential rates if we are treated, in the year the dividend is paid or in the prior year, as a PFIC, as described below under “Passive Foreign Investment Companies.” A U.S. Holder will not be entitled to the preferential rate: (1) if the U.S. Holder has not held our ordinary shares for at least 61 days of the 121 day period beginning on the date which is 60 days before the ex-dividend date; or (2) to the extent the U.S. Holder is under an obligation to make related payments on substantially similar property. Any days during which the U.S. Holder has diminished its risk of loss on our ordinary shares are not counted towards meeting the 61-day holding period. Finally, U.S. Holders who elect to treat the dividend income as “investment income” pursuant to Code section 163(d)(4) will not be eligible for the preferential rate of taxation.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 distribution with respect to our ordinary shares will be measured by the amount of the fair market value of any property distributed, and for U.S. federal income tax purposes, the amount of any Italian taxes withheld therefrom. Cash distributions paid by us in Euros will be included in the income of U.S. Holders at a U.S. dollar amount based upon the spot rate of exchange in effect on the date the dividend is includible in the income of the U.S. Holder, and U.S. Holders will have a tax basis in such Euros for U.S. federal income tax purposes equal to such U.S. dollar value. If the U.S. Holder subsequently converts the Euros into U.S. dollars or otherwise disposes of it, any subsequent gain or loss in respect of such Euros arising from exchange rate fluctuations will be U.S. source ordinary exchange gain or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Italian withholding tax, if any, paid in connection with any distribution with respect to ADSs may be claimed as a credit against a U.S. Holder’s U.S. federal income tax liability if the U.S. Holder elects not to take a deduction for any non-U.S. income taxes for that taxable year; otherwise, such Italian withholding tax may be taken as a deduction. If a U.S. Holder is eligible for benefits under the Treaty or is otherwise entitled to a refund for the taxes withheld, the U.S. Holder will not be entitled to a foreign tax credit or deduction for the amount of any Italian taxes withheld in excess of the maximum rate under the Treaty or for the taxes with respect to which the U.S. Holder can obtain a refund from the Italian taxing authorities. As the relevant rules are very complex, U.S. Holders should consult their own tax advisors concerning the availability and utilization of the foreign tax credit or deductions for non-U.S. taxes in their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the Disposition of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under the PFIC rules described below under “Passive Foreign Investment Companies,” upon the sale, exchange or other disposition of our ordinary shares, a U.S. Holder will recognize capital gain or loss in an amount equal to the difference between such U.S. Holder’s tax basis for the ordinary shares in U.S. dollars and the amount realized on the disposition in U.S. dollar (or its U.S. dollar equivalent determined by reference to the spot rate of exchange on the date of disposition, if the amount realized is denominated in a foreign currency). The gain or loss realized on the sale, exchange or other disposition of ordinary shares will be long-term capital gain or loss if the U.S. Holder has a holding period of more than one year at the time of the disposition. Individuals who recognize long-term capital gains may be taxed on such gains at reduced rates of tax. The deduction of capital losses is subject to various limitations.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U.S. federal income tax laws apply to U.S. taxpayers who own shares of a corporation that is a PFIC. We will be treated as a PFIC for U.S. federal income tax purposes for any taxable year that either:</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or more of our gross income (including our pro rata share of gross income for any company, in which we are considered to own 25% or more of the shares by value), in a taxable year is passive;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50% of our assets, averaged over the year and generally determined based upon fair market value (including our pro rata share of the assets of any company in which we are considered to own 25% or more of the shares by value) are held for the production of, or produce, passive income.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this purpose, passive income generally consists of dividends, interest, rents, royalties, annuities, and income from certain commodities transactions and from notional principal contracts. Cash is treated as generating passive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 PFIC will depend on the nature and composition of our income and the nature, composition and value of our assets. Our status may also depend, in part, on how quickly we utilize cash proceeds received from previous offerings of our ADSs or ordinary shares in our business. Based on preliminary analysis, we believe that we were likely classified as a PFIC in 2024, and we may be classified as a PFIC for 2025 and future years. In particular, so long as we do not generate revenue from operations for any taxable year and do not receive any research and development grants, or even if we receive a research and development grant, if such grant does not constitute gross income for United States federal income tax purposes, we likely will be classified as a PFIC in any taxable year due to the gross income from investment of cash reserves and other passive sources that we derive.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currently are or become a PFIC during the holding period of a U.S. Holder, the U.S. Holder would be subject to potentially materially greater amounts of tax and subject to additional U.S. tax form filing requirements. In addition, a non-corporate U.S. Holder will not be eligible for qualified dividend income treatment on dividends received from us if we are treated as a PFIC for the taxable year in which the dividends are received or for the preceding taxable year. Specifically, each U.S. Holder who has not elected to mark the shares to market (as discussed below), would, upon receipt of certain distributions by us and upon disposition of our ordinary shares at a gain: (1) have such distribution or gain allocated ratably over the U.S. Holder’s holding period for the ordinary shares, as the case may be; (2) the amount allocated to the current taxable year and any period prior to the first day of the first taxable year in which we were a PFIC would be taxed as ordinary income; and (3) 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 In addition, when shares of a PFIC are acquired by reason of death from a decedent that was a U.S. Holder, the tax basis of such shares would not receive a step-up to fair market value as of the date of the decedent’s death, but instead would be equal to the decedent’s basis if lower, unless all gain were recognized by the decedent. Indirect investments in a PFIC may also be subject to these special U.S. federal income tax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PFIC rules described above would not apply to a U.S. Holder who makes a QEF election for all taxable years that such U.S. Holder has held the ordinary shares while we are a PFIC, provided that we comply with specified reporting requirements. Instead, each U.S. Holder who has made such a QEF election is required for each taxable year that we are a PFIC to include in income such U.S. Holder’s pro rata share of our ordinary earnings as ordinary income and such U.S. Holder’s pro rata share of our net capital gains as long-term capital gain, regardless of whether we make any distributions of such earnings or gain. In general, a QEF election is effective only if we make available certain required information. However, we provide no assurance as to whether we will calculate our “ordinary earnings” or “net capital gain” under U.S. tax principles or supply U.S. Holders with the required “PFIC Annual Information Statement.” If we do not provide this information for any reason, it generally will not be possible for a U.S. Holder to make a QEF election if we are, or if we become, a PFIC.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PFIC rules described above would not apply if we were a PFIC and a U.S. Holder made a mark-to-market election. A U.S. Holder of our ordinary shares which are regularly traded on a qualifying exchange, including the Nasdaq Capital Market, can elect to mark the ordinary shares to market annually, recognizing as ordinary income or loss each year an amount equal to the difference as of the close of the taxable year between the fair market value of the ordinary shares and the U.S. Holder’s adjusted tax basis in the ordinary shares. Losses are allowed only to the extent of net mark-to-market gain previously included income by the U.S. Holder under the election for prior taxable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hold our ordinary shares during a period when we are a PFIC will be subject to the foregoing rules, even if we cease to be a PFIC. U.S. Holders are strongly urged to consult their tax advisors about the PFIC rules.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on Net Investment Income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 are individuals, estates, or trusts will generally be required to pay a 3.8% Medicare tax on their net investment income (including dividends on and gains from the sale or other disposition of our ordinary shares), or in the case of estates and trusts on their net investment income that is not distributed. In each case, the 3.8% Medicare tax applies only to the extent the U.S. Holder’s total adjusted income exceeds applicable thresholds.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Withholding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may be subject to backup withholding at a rate of 24% with respect to cash dividends and proceeds from a disposition of ordinary shares. In general, backup withholding will apply only if a U.S. Holder fails to comply with specified identification procedures. Backup withholding will not apply with respect to payments made to designated exempt recipients, such as corporations and tax-exempt organizations. Backup withholding is not an additional tax and may be claimed as a credit against the U.S. federal income tax liability of a U.S. Holder, provided that the required information is timely furnished to the 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federal income tax law requires certain U.S. investors to disclose information relating to investments in securities of a non-U.S. issuer. Failure to comply with applicable disclosure requirements could result in the imposition of substantial penalties. U.S. Holders should consult their own tax advisors regarding any disclosure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8" w:name="ms_026"/>
      <w:bookmarkEnd w:id="88"/>
      <w:r>
        <w:rPr>
          <w:rFonts w:ascii="Times New Roman;Times;Serif" w:hAnsi="Times New Roman;Times;Serif"/>
          <w:b/>
          <w:i w:val="false"/>
          <w:caps w:val="false"/>
          <w:smallCaps w:val="false"/>
          <w:sz w:val="20"/>
        </w:rPr>
        <w:t>F. Dividends and Paying Agents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9" w:name="ms_027"/>
      <w:bookmarkEnd w:id="89"/>
      <w:r>
        <w:rPr>
          <w:rFonts w:ascii="Times New Roman;Times;Serif" w:hAnsi="Times New Roman;Times;Serif"/>
          <w:b/>
          <w:i w:val="false"/>
          <w:caps w:val="false"/>
          <w:smallCaps w:val="false"/>
          <w:sz w:val="20"/>
        </w:rPr>
        <w:t>G. Statement by Experts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0" w:name="ms_028"/>
      <w:bookmarkEnd w:id="90"/>
      <w:r>
        <w:rPr>
          <w:rFonts w:ascii="Times New Roman;Times;Serif" w:hAnsi="Times New Roman;Times;Serif"/>
          <w:b/>
          <w:i w:val="false"/>
          <w:caps w:val="false"/>
          <w:smallCaps w:val="false"/>
          <w:sz w:val="20"/>
        </w:rPr>
        <w:t>H. Documents on Display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concerning us that are referred to in this document may be inspected at our office at Via Olgettina No. 58, 20132 Milan, Italy.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The Commission maintains a web site that contains reports and other information regarding registrants (including us) that file electronically with the Commission which can be assessed at http://www.sec.gov.</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1" w:name="ms_029"/>
      <w:bookmarkEnd w:id="91"/>
      <w:r>
        <w:rPr>
          <w:rFonts w:ascii="Times New Roman;Times;Serif" w:hAnsi="Times New Roman;Times;Serif"/>
          <w:b/>
          <w:i w:val="false"/>
          <w:caps w:val="false"/>
          <w:smallCaps w:val="false"/>
          <w:sz w:val="20"/>
        </w:rPr>
        <w:t>I. Subsidiary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2" w:name="ms_030"/>
      <w:bookmarkEnd w:id="92"/>
      <w:r>
        <w:rPr>
          <w:rFonts w:ascii="Times New Roman;Times;Serif" w:hAnsi="Times New Roman;Times;Serif"/>
          <w:b/>
          <w:i w:val="false"/>
          <w:caps w:val="false"/>
          <w:smallCaps w:val="false"/>
          <w:sz w:val="20"/>
        </w:rPr>
        <w:t>J. Annual Report to Security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3" w:name="ms_031"/>
      <w:bookmarkEnd w:id="93"/>
      <w:r>
        <w:rPr>
          <w:rFonts w:ascii="Times New Roman;Times;Serif" w:hAnsi="Times New Roman;Times;Serif"/>
          <w:b/>
          <w:i w:val="false"/>
          <w:caps w:val="false"/>
          <w:smallCaps w:val="false"/>
          <w:sz w:val="20"/>
        </w:rPr>
        <w:t>ITEM 11. QUANTITATIVE AND QUALITATIVE DISCLOSURE ABOUT MARKET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Genenta’s activities expose it to a variety of financial risks: market risk (including foreign currency risk and interest rate risk), credit risk, and liquidity risk. The overall risk management strategy focuses on the unpredictability of the finance markets and seeks to minimize the potential adverse effects on the financial performance. Genenta uses different methods to measure different types of risk to which it is exposed. These methods include sensitivity analysis in the case of interest rate, foreign exchange, and other price risks, aging analysis for credit risk and beta analysis in respect of investment portfolios to determine market risk. Risk management is carried out under the direction of the Board. Please see Note 1 – Nature of business and history - to our audited consolidated financial statements for further information with respect to certain of these risks.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4" w:name="ms_032"/>
      <w:bookmarkEnd w:id="94"/>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5" w:name="ms_033"/>
      <w:bookmarkEnd w:id="95"/>
      <w:r>
        <w:rPr>
          <w:rFonts w:ascii="Times New Roman;Times;Serif" w:hAnsi="Times New Roman;Times;Serif"/>
          <w:b/>
          <w:i w:val="false"/>
          <w:caps w:val="false"/>
          <w:smallCaps w:val="false"/>
          <w:sz w:val="20"/>
        </w:rPr>
        <w:t>A. Debt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6" w:name="ms_034"/>
      <w:bookmarkEnd w:id="96"/>
      <w:r>
        <w:rPr>
          <w:rFonts w:ascii="Times New Roman;Times;Serif" w:hAnsi="Times New Roman;Times;Serif"/>
          <w:b/>
          <w:i w:val="false"/>
          <w:caps w:val="false"/>
          <w:smallCaps w:val="false"/>
          <w:sz w:val="20"/>
        </w:rPr>
        <w:t>B. Warrants and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7" w:name="ms_035"/>
      <w:bookmarkEnd w:id="97"/>
      <w:r>
        <w:rPr>
          <w:rFonts w:ascii="Times New Roman;Times;Serif" w:hAnsi="Times New Roman;Times;Serif"/>
          <w:b/>
          <w:i w:val="false"/>
          <w:caps w:val="false"/>
          <w:smallCaps w:val="false"/>
          <w:sz w:val="20"/>
        </w:rPr>
        <w:t>C. Other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98" w:name="ms_036"/>
      <w:bookmarkEnd w:id="98"/>
      <w:r>
        <w:rPr>
          <w:rFonts w:ascii="Times New Roman;Times;Serif" w:hAnsi="Times New Roman;Times;Serif"/>
          <w:b/>
          <w:i w:val="false"/>
          <w:caps w:val="false"/>
          <w:smallCaps w:val="false"/>
          <w:sz w:val="20"/>
        </w:rPr>
        <w:t>D. American Depositary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as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10"/>
        <w:gridCol w:w="60"/>
        <w:gridCol w:w="4435"/>
      </w:tblGrid>
      <w:tr>
        <w:trPr/>
        <w:tc>
          <w:tcPr>
            <w:tcW w:w="5710"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Persons depositing or withdrawing shares or ADS holders must pay: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35" w:type="dxa"/>
            <w:tcBorders>
              <w:bottom w:val="single" w:sz="8" w:space="0" w:color="000000"/>
            </w:tcBorders>
            <w:vAlign w:val="center"/>
          </w:tcPr>
          <w:p>
            <w:pPr>
              <w:pStyle w:val="TableContents"/>
              <w:bidi w:val="0"/>
              <w:spacing w:before="0" w:after="283"/>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t>
            </w:r>
          </w:p>
        </w:tc>
      </w:tr>
      <w:tr>
        <w:trPr/>
        <w:tc>
          <w:tcPr>
            <w:tcW w:w="57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4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7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(or less) per 100 ADSs (or portion of 100 ADSs).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4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ADSs, including issuances resulting from a distribution of shares or rights or other property. Cancellation of ADSs for the purpose of withdrawal, including if the deposit agreement terminates.</w:t>
            </w:r>
          </w:p>
        </w:tc>
      </w:tr>
      <w:tr>
        <w:trPr/>
        <w:tc>
          <w:tcPr>
            <w:tcW w:w="57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4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710" w:type="dxa"/>
            <w:tcBorders/>
            <w:tcMar>
              <w:bottom w:w="0" w:type="dxa"/>
            </w:tcM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 (or less) per ADS.</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equivalent to the fee that would be payable if securities distributed to you had been shares and the shares had been deposited for issuance of ADSs.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4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cash distribution to ADS holders distribution of securities distributed to holders of deposited securities (including rights) that are distributed by the depositary to ADS holders depositary services.</w:t>
            </w:r>
          </w:p>
        </w:tc>
      </w:tr>
      <w:tr>
        <w:trPr/>
        <w:tc>
          <w:tcPr>
            <w:tcW w:w="57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4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710" w:type="dxa"/>
            <w:tcBorders/>
            <w:tcMar>
              <w:bottom w:w="0" w:type="dxa"/>
            </w:tcM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 (or less) per ADS per calendar year.</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or transfer fees.</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of the depositary.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435" w:type="dxa"/>
            <w:tcBorders/>
            <w:tcMar>
              <w:bottom w:w="0" w:type="dxa"/>
            </w:tcMar>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and registration of shares on our share register to or from the name of the depositary or its agent when you deposit or withdraw shares.</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Cable (including SWIFT) and facsimile transmissions (when expressly provided in the deposit agreement) Converting foreign currency to U.S. dollars, as necessary.</w:t>
            </w:r>
          </w:p>
        </w:tc>
      </w:tr>
      <w:tr>
        <w:trPr/>
        <w:tc>
          <w:tcPr>
            <w:tcW w:w="57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43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57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other governmental charges the depositary or the custodian has to pay on any ADSs or shares underlying ADSs, such as stock transfer taxes, stamp duty or withholding taxes. Any charges incurred by the depositary or its agents for servicing the deposited securities.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443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necessary.</w:t>
            </w:r>
          </w:p>
        </w:tc>
      </w:tr>
    </w:tbl>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9" w:name="ms_037"/>
      <w:bookmarkEnd w:id="99"/>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0" w:name="ms_038"/>
      <w:bookmarkEnd w:id="100"/>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1" w:name="ms_039"/>
      <w:bookmarkEnd w:id="101"/>
      <w:r>
        <w:rPr>
          <w:rFonts w:ascii="Times New Roman;Times;Serif" w:hAnsi="Times New Roman;Times;Serif"/>
          <w:b/>
          <w:i w:val="false"/>
          <w:caps w:val="false"/>
          <w:smallCaps w:val="false"/>
          <w:sz w:val="20"/>
        </w:rPr>
        <w:t>ITEM 14. MATERIAL MODIFICATIONS TO THE RIGHTS OF SECURITY HOLDERS AND USE OF PROCEEDS Material Modifications to the Rights of Security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securities holders, which remain unchanged.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2" w:name="ms_040"/>
      <w:bookmarkEnd w:id="102"/>
      <w:r>
        <w:rPr>
          <w:rFonts w:ascii="Times New Roman;Times;Serif" w:hAnsi="Times New Roman;Times;Serif"/>
          <w:b/>
          <w:i w:val="false"/>
          <w:caps w:val="false"/>
          <w:smallCaps w:val="false"/>
          <w:sz w:val="20"/>
        </w:rPr>
        <w:t>ITEM 15.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designed to ensure that information required to be disclosed by us in reports filed or submitted under the Securities Exchange Act of 1934, as amended (the “Exchange Act”), is recorded, processed, summarized and reported within the time periods specified in the SEC’s rules and forms. Disclosure controls include, without limitation, controls and procedures designed to ensure that information required to be disclosed under the Exchange Act is accumulated and communicated to management, including principal executive and financial officers,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carried out an evaluation, under the supervision of our chief executive officer and chief financial officer, of the effectiveness of our disclosure controls and procedures as such term is defined under Rule 13a-15(e) promulgated under the Exchange Act as of December 31, 2022. Based on that evaluation, our management, including our chief executive officer and chief financial officer, has concluded that the Company’s disclosure controls and procedures were effective as of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internal control over financial reporting is a process designed under the supervision of the chief executive officer and chief financial officer to provide reasonable assurance as to the reliability of the Company’s financial reporting and the preparation of its consolidated financial statements for external purposes in accordance with generally accepted accounting principles. Our management is responsible for establishing and maintaining adequate internal control over financial reporting, as such term is defined in Rule 13a-15(f) under the Securities Exchange Act of 1934, as amended.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 over financial reporting is a process designed to provide reasonable assurance regarding the reliability of financial reporting and the preparation of consolidated financial statements in accordance with U.S. GAAP and includes those policies and procedures that (1) pertain to the maintenance of records that, in reasonable detail, accurately and fairly reflect the transactions and dispositions of a company’s assets; (2) provide reasonable assurance that transactions are recorded as necessary to permit preparation of consolidated financial statements in accordance with generally accepted accounting principles, and that a company’s receipts and expenditures are being made only in accordance with authorizations of a company’s management and directors; and (3) provide reasonable assurance regarding prevention or timely detection of unauthorized acquisition, use, or disposition of a company’s assets that could have a material effect on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a system of internal control over financial reporting can provide only reasonable assurance with respect to consolidated financial statements preparation and presentation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evaluated the effectiveness of our internal control over financial reporting as of December 31, 2024 and concluded our internal control over financial reporting was effective as of December 31, 2024. In making this evaluation, management used the framework established in Internal Control — Integrated Framework (2013) issued by the Committee of Sponsoring Organizations of the Treadway Commission (“COSO”). The COSO framework summarizes each of the components of a company’s internal control system, including the control environment, risk assessment, control activities, information and communication, and monitoring activities.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Remediation of Previously Disclosed Material Weaknesses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Item 15 “Controls and Procedures” of our prior Annual Reports on Form 20-F, management previously identified and disclosed material weaknesses in internal control over financial reporting, including but not limited to our lack of adequate staff to: (i) process financial information in a timely manner; (ii) analyze and account for complex, non-routine transactions - including those subject to the Company’s critical accounting policies; and (iii) maintain adequate segregation of duties; and the lack of documentation related to the Company’s internal control over financial reporting including its policy over related party relationships and transactions. During the quarter ended December 31, 2023, we remediated our previously reported material weaknesses related to these matters.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our management, with oversight from our board of statutory auditors, executed a remediation plan, in order to fully remediate the historical causes of the material weaknesses. As of December 31, 2024, the Company had taken the following steps to address the internal control deficiencies that contributed to the material weaknesses in prior periods, including, but not limited to,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new hires of additional finance and accounting personnel with high professional skills, prior experience working for finance departments, and technical accounting experience, supplemented by third-party resources, maintain the overall control over the relevant operating activities, having in place incremental and compensating controls;</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implementation of a new accounting and reporting system - cloud-based ERP system - with controlled access, approval workflow and segregation of duties to avoid to rely on third party service provider for the accounting and financial reporting closing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improvement of the documentation and formally assessed our accounting and financial reporting policies and procedures;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increase in the use of third-party consultants in assessing significant accounting transactions and other technical accounting and financial reporting issues, preparing accounting memoranda addressing these issues and maintaining these memoranda in our corporate records.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Independent Registered Public Accounting Firm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Controls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under “—Management’s Annual Report on Internal Control over Financial Reporting—Remediation of Previously Disclosed Material Weaknesses,” there were no changes in our internal control over financial reporting (as defined in Rule 13a-15(f) of the Exchange Act, as amended) that occurred during the year ended December 31, 2024 that have materially affected, or are reasonably likely to materially affect, our 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3" w:name="ms_041"/>
      <w:bookmarkEnd w:id="103"/>
      <w:r>
        <w:rPr>
          <w:rFonts w:ascii="Times New Roman;Times;Serif" w:hAnsi="Times New Roman;Times;Serif"/>
          <w:b/>
          <w:i w:val="false"/>
          <w:caps w:val="false"/>
          <w:smallCaps w:val="false"/>
          <w:sz w:val="20"/>
        </w:rPr>
        <w:t>ITEM 16. [RESERVED]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4" w:name="ms_042"/>
      <w:bookmarkEnd w:id="104"/>
      <w:r>
        <w:rPr>
          <w:rFonts w:ascii="Times New Roman;Times;Serif" w:hAnsi="Times New Roman;Times;Serif"/>
          <w:b/>
          <w:i w:val="false"/>
          <w:caps w:val="false"/>
          <w:smallCaps w:val="false"/>
          <w:sz w:val="20"/>
        </w:rPr>
        <w:t>ITEM 16A. AUDIT COMMITTEE FINANCIAL EXPERT.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because of the existence and nature of its board of statutory auditors, it qualifies for an exemption provided by Rule 10A-3(c)(3) of the Exchange Act from many of the Rule 10A-3 audit committee requirements. The board of statutory auditors has determined that each of its members is an “audit committee financial expert” as defined in Item 16A of Form 20-F. For the names of the members of the board of statutory auditors, see “Item 6. Directors, Senior Management and Employees—Statutory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audit committee financial experts is independent under the Nasdaq Independence Standards that would apply to audit committee members in the absence of our reliance on the exemption in Rule 10A-3(c)(3).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5" w:name="ms_043"/>
      <w:bookmarkEnd w:id="105"/>
      <w:r>
        <w:rPr>
          <w:rFonts w:ascii="Times New Roman;Times;Serif" w:hAnsi="Times New Roman;Times;Serif"/>
          <w:b/>
          <w:i w:val="false"/>
          <w:caps w:val="false"/>
          <w:smallCaps w:val="false"/>
          <w:sz w:val="20"/>
        </w:rPr>
        <w:t>ITEM 16B. CODE OF ETHICS.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Conduct that applies to its Chief Executive Officer and all of its directors, officers and employees, or persons performing similar functions. A copy of our Code of Conduct is available at its website. Any future changes to the Code of Conduct will be posted on the Company’s website or filed as an exhibit to a report filed with the SEC within five business days of the change being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6" w:name="ms_044"/>
      <w:bookmarkEnd w:id="106"/>
      <w:r>
        <w:rPr>
          <w:rFonts w:ascii="Times New Roman;Times;Serif" w:hAnsi="Times New Roman;Times;Serif"/>
          <w:b/>
          <w:i w:val="false"/>
          <w:caps w:val="false"/>
          <w:smallCaps w:val="false"/>
          <w:sz w:val="20"/>
        </w:rPr>
        <w:t>ITEM 16C. PRINCIPAL ACCOUNTANT FEES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the Company for fiscal years ended December 31, 2024 and 2023 by Dannible &amp; McKee, LLP (“Dannible &amp; McKee” or “DM”), the Company’s principal accounting firm, and Mayer, Hoffman McCann P.C. (“MHM”), the Company’s former principal accounting firm.</w:t>
      </w:r>
    </w:p>
    <w:p>
      <w:pPr>
        <w:pStyle w:val="TextBody"/>
        <w:bidi w:val="0"/>
        <w:spacing w:before="0" w:after="0"/>
        <w:jc w:val="both"/>
        <w:rPr>
          <w:caps w:val="false"/>
          <w:smallCaps w:val="false"/>
        </w:rPr>
      </w:pPr>
      <w:r>
        <w:rPr>
          <w:caps w:val="false"/>
          <w:smallCaps w:val="false"/>
        </w:rPr>
        <w:t>  </w:t>
      </w:r>
    </w:p>
    <w:tbl>
      <w:tblPr>
        <w:tblW w:w="6280" w:type="dxa"/>
        <w:jc w:val="left"/>
        <w:tblInd w:w="0" w:type="dxa"/>
        <w:tblLayout w:type="fixed"/>
        <w:tblCellMar>
          <w:top w:w="0" w:type="dxa"/>
          <w:left w:w="0" w:type="dxa"/>
          <w:bottom w:w="28" w:type="dxa"/>
          <w:right w:w="0" w:type="dxa"/>
        </w:tblCellMar>
      </w:tblPr>
      <w:tblGrid>
        <w:gridCol w:w="4145"/>
        <w:gridCol w:w="60"/>
        <w:gridCol w:w="140"/>
        <w:gridCol w:w="800"/>
        <w:gridCol w:w="60"/>
        <w:gridCol w:w="60"/>
        <w:gridCol w:w="140"/>
        <w:gridCol w:w="800"/>
        <w:gridCol w:w="75"/>
      </w:tblGrid>
      <w:tr>
        <w:trPr/>
        <w:tc>
          <w:tcPr>
            <w:tcW w:w="414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Accountant Fees and Services (in Euros)</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2023</w:t>
            </w:r>
          </w:p>
        </w:tc>
        <w:tc>
          <w:tcPr>
            <w:tcW w:w="75" w:type="dxa"/>
            <w:tcBorders/>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282,006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282,006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433,884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2024, Dannible &amp; McKee billed €270,006.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2023, Dannible &amp; McKee billed €312,629, MHM billed €121,255.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fees for the years ended December 31, 2024 and 2023 respectively, were paid for professional services rendered for the audits of our consolidated financial statements, half year reviews, consents, and assistance with review of documents filed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Pre-Approval Policies and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engaging , Dannible &amp; McKee to perform audit services, our Board obtains an estimate for the service to be performed. All of the services described above were approved by the members of the board of statutory auditors in accordance with its procedures.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07" w:name="ms_045"/>
      <w:bookmarkEnd w:id="107"/>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is relying on the exemption from listing standards for audit committees provided by Exchange Act Rule 10A-3(c)(3). The basis for this reliance is that Genenta’s board of statutory auditors meets the following requirements set forth in Exchange Act Rule 10A-3(c)(3):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established and selected pursuant to Italian law expressly permitting such a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required under Italian law to be separate from Genenta’s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is not elected by management of Genenta and no executive officer of Genenta is a member of the board of statutory auditors;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Italian law provides for standards for the independence of the board of statutory auditors from Genenta and its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statutory auditors, in accordance with applicable Italian law and Genenta’s governing documents, is responsible, to the extent permitted by Italian law, for the appointment, retention and oversight of the work (including, to the extent permitted by law, the resolution of disagreements between management and the auditor regarding financial reporting) of any registered public accounting firm engaged for the purpose of preparing or issuing an audit report or performing other audit, review or attest services for Genenta,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Italian law, the audit committee requirements of paragraphs (b)(3), (b)(4) and (b)(5) of Rule 10A-3 apply to the board of statutory auditors.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reliance on Rule 10A-3(c)(3) does not, in its opinion, materially adversely affect the ability of its board of statutory auditors to act independently and to satisfy the other requirements of Rule 10A-3.</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8" w:name="ms_046"/>
      <w:bookmarkEnd w:id="108"/>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9" w:name="ms_047"/>
      <w:bookmarkEnd w:id="109"/>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0" w:name="ms_048"/>
      <w:bookmarkEnd w:id="110"/>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 – C. Board Practices – Differences between Italian Laws and Nasdaq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1" w:name="ms_049"/>
      <w:bookmarkEnd w:id="111"/>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2" w:name="ms_050"/>
      <w:bookmarkEnd w:id="112"/>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i w:val="false"/>
          <w:caps w:val="false"/>
          <w:smallCaps w:val="false"/>
          <w:sz w:val="20"/>
        </w:rPr>
      </w:pPr>
      <w:bookmarkStart w:id="113" w:name="jj_001"/>
      <w:bookmarkEnd w:id="113"/>
      <w:r>
        <w:rPr>
          <w:rFonts w:ascii="Times New Roman;Times;Serif" w:hAnsi="Times New Roman;Times;Serif"/>
          <w:b/>
          <w:i w:val="false"/>
          <w:caps w:val="false"/>
          <w:smallCaps w:val="false"/>
          <w:sz w:val="20"/>
        </w:rPr>
        <w:t>ITEM 16J. INSIDER TRADING POLICIES</w:t>
      </w:r>
    </w:p>
    <w:p>
      <w:pPr>
        <w:pStyle w:val="TextBody"/>
        <w:bidi w:val="0"/>
        <w:spacing w:lineRule="auto" w:line="276"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114" w:name="xdx_90E_eecd--InsiderTrdPoliciesProcAdop"/>
      <w:bookmarkEnd w:id="114"/>
      <w:r>
        <w:rPr>
          <w:rFonts w:ascii="Times New Roman;Times;Serif" w:hAnsi="Times New Roman;Times;Serif"/>
          <w:b w:val="false"/>
          <w:i w:val="false"/>
          <w:caps w:val="false"/>
          <w:smallCaps w:val="false"/>
          <w:sz w:val="20"/>
        </w:rPr>
        <w:t>adopted an insider trading policy and related procedures that govern the purchase, sale, and other disposition of our securities by directors, officers, and employees, as well as consultants and contractors who have access to material nonpublic information. We believe our insider trading policy and procedures are reasonably designed to promote compliance with insider trading laws, rules and regulations, and applicable Nasdaq listing standards. Our insider trading policy and procedures prohibit our directors, officers and employees, and consultants and contractors who have access to material nonpublic information, from trading in our securities while in possession of material, non-public information, among other things.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our insider trading policy and procedures does not purport to be complete and is qualified in its entirety by the terms and conditions of our insider trading policy, a copy of which is attached hereto as Exhibit 11.1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5" w:name="ms_051"/>
      <w:bookmarkEnd w:id="115"/>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 w:name="xdx_986_ecyd--CybersecurityRiskManagemen"/>
      <w:bookmarkEnd w:id="116"/>
      <w:r>
        <w:rPr>
          <w:rFonts w:ascii="Times New Roman;Times;Serif" w:hAnsi="Times New Roman;Times;Serif"/>
          <w:b w:val="false"/>
          <w:i w:val="false"/>
          <w:caps w:val="false"/>
          <w:smallCaps w:val="false"/>
          <w:sz w:val="20"/>
        </w:rPr>
        <w:t xml:space="preserve">We recognize the critical importance of maintaining the trust and confidence of our patients, business partners, employees and other stakeholders. As a result, cybersecurity risk management is an </w:t>
      </w:r>
      <w:bookmarkStart w:id="117" w:name="xdx_905_ecyd--CybersecurityRiskManagemen"/>
      <w:bookmarkEnd w:id="117"/>
      <w:r>
        <w:rPr>
          <w:rFonts w:ascii="Times New Roman;Times;Serif" w:hAnsi="Times New Roman;Times;Serif"/>
          <w:b w:val="false"/>
          <w:i w:val="false"/>
          <w:caps w:val="false"/>
          <w:smallCaps w:val="false"/>
          <w:sz w:val="20"/>
        </w:rPr>
        <w:t>integral part of our overall risk management and compliance program and our current cybersecurity risk management processes are modeled after industry best practices, such as the National Institute of Standards and Technology Cybersecurity Framework, for handling cybersecurity threats and incidents, including threats and incidents associated with the use of applications developed by third-party service providers, and facilitate coordination across different departments of our Company.</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overall oversight responsibility for our cybersecurity risk management; however, it delegates cybersecurity risk management oversight to our management and board of statutory auditors. </w:t>
      </w:r>
      <w:bookmarkStart w:id="118" w:name="xdx_90C_ecyd--CybersecurityRiskManagemen"/>
      <w:bookmarkEnd w:id="118"/>
      <w:r>
        <w:rPr>
          <w:rFonts w:ascii="Times New Roman;Times;Serif" w:hAnsi="Times New Roman;Times;Serif"/>
          <w:b w:val="false"/>
          <w:i w:val="false"/>
          <w:caps w:val="false"/>
          <w:smallCaps w:val="false"/>
          <w:sz w:val="20"/>
        </w:rPr>
        <w:t>Our management and board of statutory auditors is responsible for ensuring that we have processes in place designed to identify and evaluate cybersecurity risks to which we are exposed and implement processes and programs to manage cybersecurity risks and mitigate cybersecurity incidents.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processes include steps for assessing the severity of a cybersecurity threat, identifying the source of a cybersecurity threat, including whether the cybersecurity threat is associated with a </w:t>
      </w:r>
      <w:bookmarkStart w:id="119" w:name="xdx_906_ecyd--CybersecurityRiskManagemen"/>
      <w:bookmarkEnd w:id="119"/>
      <w:r>
        <w:rPr>
          <w:rFonts w:ascii="Times New Roman;Times;Serif" w:hAnsi="Times New Roman;Times;Serif"/>
          <w:b w:val="false"/>
          <w:i w:val="false"/>
          <w:caps w:val="false"/>
          <w:smallCaps w:val="false"/>
          <w:sz w:val="20"/>
        </w:rPr>
        <w:t>third-party service provider, implementing cybersecurity countermeasures and mitigation strategies, and informing management and our board of directors of material cybersecurity threats and incidents. Our information technology consultant is responsible for assessing our cybersecurity risk management program, and we currently do not engage other third parties for such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program is under the direction of our Chief Financial Officer and Finance Director, who receive reports from our information technology consultant and monitors the prevention, detection, mitigation, and remediation of cybersecurity incidents. Our Chief Financial Officer and Finance Director together have over 50 years of information technology experience in various roles of increasing importance. Their experience includes overseeing and supervising information technology risk management processes. Among their other duties as Chief Financial Officer and Finance Director, respectively, they manage our cybersecurity consultant, who is a certified and experienced information security professional, and he has been instrumental in the implementation and monitoring of our various cybersecurity systems and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bookmarkStart w:id="120" w:name="xdx_C05_gBFCRMPFAIAMT-EQE_zprW4wJ1IA81"/>
      <w:bookmarkEnd w:id="120"/>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150</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deploying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and maintaining comprehensive incident response and recovery plans that fully address our response to a cybersecurity incident, and such plans are tested and evaluated on a regular basis;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regular, mandatory training for personnel regarding cybersecurity threats as a means to equip our personnel with effective tools to address cybersecurity threats, and to communicate our evolving information security policies, standards, processes and practices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1" w:name="xdx_900_ecyd--CybersecurityRiskBoardOfDi"/>
      <w:bookmarkEnd w:id="121"/>
      <w:r>
        <w:rPr>
          <w:rFonts w:ascii="Times New Roman;Times;Serif" w:hAnsi="Times New Roman;Times;Serif"/>
          <w:b w:val="false"/>
          <w:i w:val="false"/>
          <w:caps w:val="false"/>
          <w:smallCaps w:val="false"/>
          <w:sz w:val="20"/>
        </w:rPr>
        <w:t>Management, including our Chief Financial Officer and Finance Director, regularly update our board of statutory auditors on our cybersecurity processes, material cybersecurity risks and mitigation strategies. Our board of statutory auditors reports all material cybersecurity risks to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we augmented our cybersecurity program to be a more comprehensive cybersecurity risk management program. Our roadmap for the future is centered on improving cybersecurity risk awareness for our employees and collaborators to strengthen our defenses, enhance our threat detection capabilities, and ensure the confidentiality, integrity, and availability of our critical systems and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2" w:name="xdx_98B_ecyd--CybersecurityRiskMateriall"/>
      <w:bookmarkEnd w:id="122"/>
      <w:r>
        <w:rPr>
          <w:rFonts w:ascii="Times New Roman;Times;Serif" w:hAnsi="Times New Roman;Times;Serif"/>
          <w:b w:val="false"/>
          <w:i w:val="false"/>
          <w:caps w:val="false"/>
          <w:smallCaps w:val="false"/>
          <w:sz w:val="20"/>
        </w:rPr>
        <w:t xml:space="preserve">Although we are subject to ongoing and evolving cybersecurity threats, we are </w:t>
      </w:r>
      <w:bookmarkStart w:id="123" w:name="xdx_901_ecyd--CybersecurityRiskMateriall"/>
      <w:bookmarkEnd w:id="123"/>
      <w:r>
        <w:rPr>
          <w:rFonts w:ascii="Times New Roman;Times;Serif" w:hAnsi="Times New Roman;Times;Serif"/>
          <w:b w:val="false"/>
          <w:i w:val="false"/>
          <w:caps w:val="false"/>
          <w:smallCaps w:val="false"/>
          <w:sz w:val="20"/>
        </w:rPr>
        <w:t>not aware of any material risks from cybersecurity threats in 2024 that have materially affected or are reasonably likely to materially affect us, including our business strategy, results of operations or financial condition. For more information on our cybersecurity risks, see “Risk Factors — Our internal information technology systems, or those of our third party vendors, collaborators, or other contractors or consultants, may fail or suffer cyber security breaches or other unauthorized or improper access, which could result in a significant disruption of our product development programs, give rise to significant liability, subject us to costly and protracted litigation, cause significant reputational harm, and impact our ability to operate our business effectively.”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caps w:val="false"/>
          <w:smallCaps w:val="false"/>
        </w:rPr>
      </w:pPr>
      <w:bookmarkStart w:id="124" w:name="xdx_C03_gBFCRMPFAIAMT-EQE_zLFx6ggJ41Q2"/>
      <w:bookmarkEnd w:id="124"/>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5" w:name="ms_052"/>
      <w:bookmarkEnd w:id="125"/>
      <w:r>
        <w:rPr>
          <w:rFonts w:ascii="Times New Roman;Times;Serif" w:hAnsi="Times New Roman;Times;Serif"/>
          <w:b/>
          <w:i w:val="false"/>
          <w:caps w:val="false"/>
          <w:smallCaps w:val="false"/>
          <w:sz w:val="20"/>
        </w:rPr>
        <w:t>PART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26" w:name="ms_053"/>
      <w:bookmarkEnd w:id="126"/>
      <w:r>
        <w:rPr>
          <w:rFonts w:ascii="Times New Roman;Times;Serif" w:hAnsi="Times New Roman;Times;Serif"/>
          <w:b/>
          <w:i w:val="false"/>
          <w:caps w:val="false"/>
          <w:smallCaps w:val="false"/>
          <w:sz w:val="20"/>
        </w:rPr>
        <w:t>ITEM 17.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Consolidated Financial Statements are included as the “F” pages attached to this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consolidated financial statements in this Annual Report, unless otherwise stated, are presented in accordance with US GAAP.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27" w:name="ms_054"/>
      <w:bookmarkEnd w:id="127"/>
      <w:r>
        <w:rPr>
          <w:rFonts w:ascii="Times New Roman;Times;Serif" w:hAnsi="Times New Roman;Times;Serif"/>
          <w:b/>
          <w:i w:val="false"/>
          <w:caps w:val="false"/>
          <w:smallCaps w:val="false"/>
          <w:sz w:val="20"/>
        </w:rPr>
        <w:t>ITEM 18.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provide consolidated financial statements pursuant to ITEM 17.</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128" w:name="ms_055"/>
      <w:bookmarkEnd w:id="128"/>
      <w:r>
        <w:rPr>
          <w:rFonts w:ascii="Times New Roman;Times;Serif" w:hAnsi="Times New Roman;Times;Serif"/>
          <w:b/>
          <w:i w:val="false"/>
          <w:caps w:val="false"/>
          <w:smallCaps w:val="false"/>
          <w:sz w:val="20"/>
        </w:rPr>
        <w:t>ITEM 19.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60"/>
        <w:gridCol w:w="60"/>
        <w:gridCol w:w="8985"/>
      </w:tblGrid>
      <w:tr>
        <w:trPr/>
        <w:tc>
          <w:tcPr>
            <w:tcW w:w="116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w:anchor="ex2-4.htm">
              <w:r>
                <w:rPr>
                  <w:rStyle w:val="InternetLink"/>
                  <w:rFonts w:ascii="Times New Roman;Times;Serif" w:hAnsi="Times New Roman;Times;Serif"/>
                  <w:b w:val="false"/>
                  <w:i w:val="false"/>
                  <w:caps w:val="false"/>
                  <w:smallCaps w:val="false"/>
                  <w:sz w:val="20"/>
                </w:rPr>
                <w:t>Description of Securities</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Deed of Incorporation of Genenta Science S.p.A.</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r>
              <w:rPr>
                <w:caps w:val="false"/>
                <w:smallCaps w:val="false"/>
              </w:rPr>
              <w:t>‌</w:t>
            </w:r>
            <w:hyperlink r:id="rId14">
              <w:r>
                <w:rPr>
                  <w:rStyle w:val="InternetLink"/>
                  <w:rFonts w:ascii="Times New Roman;Times;Serif" w:hAnsi="Times New Roman;Times;Serif"/>
                  <w:b w:val="false"/>
                  <w:i w:val="false"/>
                  <w:caps w:val="false"/>
                  <w:smallCaps w:val="false"/>
                  <w:sz w:val="20"/>
                </w:rPr>
                <w:t>Amended and Restated Bylaws of Genenta Science S.p.A.</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Amendment to the Amended and Restated Bylaws of Genenta Science S.p.A.</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Deposit Agreement dated December 17, 2021 between the Company and The Bank of New York Mellon, as depositary.</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American Depositary Receipt (included in exhibit 4.1)</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Underwriter Warrants dated December 17, 2021</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w:anchor="ex8-1.htm">
              <w:r>
                <w:rPr>
                  <w:rStyle w:val="InternetLink"/>
                  <w:rFonts w:ascii="Times New Roman;Times;Serif" w:hAnsi="Times New Roman;Times;Serif"/>
                  <w:b w:val="false"/>
                  <w:i w:val="false"/>
                  <w:caps w:val="false"/>
                  <w:smallCaps w:val="false"/>
                  <w:sz w:val="20"/>
                </w:rPr>
                <w:t>List of subsidiaries of the registrant</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Amended and Restated License Agreement between Genenta Science S.p.A. and Ospedale San Raffaele S.r.l. (“OSR”) dated March 23, 2023 (the “ARLA”)</w:t>
              </w:r>
            </w:hyperlink>
          </w:p>
        </w:tc>
      </w:tr>
      <w:tr>
        <w:trPr/>
        <w:tc>
          <w:tcPr>
            <w:tcW w:w="116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10.2</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Amendment to ARLA dated September 28, 2023</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Sponsored Research Agreement with OSR dated August 1, 2023</w:t>
              </w:r>
            </w:hyperlink>
          </w:p>
        </w:tc>
      </w:tr>
      <w:tr>
        <w:trPr/>
        <w:tc>
          <w:tcPr>
            <w:tcW w:w="116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10.4</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Sponsored Research Agreement with OSR dated February 12, 2021</w:t>
              </w:r>
            </w:hyperlink>
          </w:p>
        </w:tc>
      </w:tr>
      <w:tr>
        <w:trPr/>
        <w:tc>
          <w:tcPr>
            <w:tcW w:w="116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10.5</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Know-How License Agreement with Fondazione Telethon dated February 2, 2016</w:t>
              </w:r>
            </w:hyperlink>
          </w:p>
        </w:tc>
      </w:tr>
      <w:tr>
        <w:trPr/>
        <w:tc>
          <w:tcPr>
            <w:tcW w:w="116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10.6</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Master Service Agreement dated March 6, 2019, between Molecular Medicine S.p.A. and Genenta Science S.p.A.</w:t>
              </w:r>
            </w:hyperlink>
          </w:p>
        </w:tc>
      </w:tr>
      <w:tr>
        <w:trPr/>
        <w:tc>
          <w:tcPr>
            <w:tcW w:w="116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10.7</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2021-2025 Genenta Science Employee Share Option Plan with Chairman Sub-Plan</w:t>
              </w:r>
            </w:hyperlink>
          </w:p>
        </w:tc>
      </w:tr>
      <w:tr>
        <w:trPr/>
        <w:tc>
          <w:tcPr>
            <w:tcW w:w="116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10.8</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Employment Agreement of Pierluigi Paracchi</w:t>
              </w:r>
            </w:hyperlink>
          </w:p>
        </w:tc>
      </w:tr>
      <w:tr>
        <w:trPr/>
        <w:tc>
          <w:tcPr>
            <w:tcW w:w="116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10.9</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Employment Agreement of Carlo Russo</w:t>
              </w:r>
            </w:hyperlink>
          </w:p>
        </w:tc>
      </w:tr>
      <w:tr>
        <w:trPr/>
        <w:tc>
          <w:tcPr>
            <w:tcW w:w="116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10.11</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Employment Agreement of Richard B. Slansky</w:t>
              </w:r>
            </w:hyperlink>
          </w:p>
        </w:tc>
      </w:tr>
      <w:tr>
        <w:trPr/>
        <w:tc>
          <w:tcPr>
            <w:tcW w:w="1160" w:type="dxa"/>
            <w:tcBorders/>
            <w:tcMar>
              <w:bottom w:w="0" w:type="dxa"/>
            </w:tcM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10.12</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Development and Manufacturing Services Agreement dated January 20, 2023 between AGC Biologics S.p.A. and Genenta Science S.p.A.</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Amendment to the AGC Master Service Agreement dated September 19, 2024.</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Agreement for the Conduct of Clinical Trials on Medicinal Products with OSR dated October 14, 2024.</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ATM Sales Agreement, dated April 26, 2024, among the Company and the Sales Agents</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Amendment No. 1 to ATM Sales Agreement, dated December 20, 2024, among the Company and the Sales Agents</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Second Amendment to Development and Master Services Agreement, by and between the Company and AGC Biologics S.p.A., effective as of December 24, 2024.</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Subscription Agreement</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Mandatory Convertible Bond Regulation</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r>
              <w:rPr>
                <w:rFonts w:ascii="Times New Roman;Times;Serif" w:hAnsi="Times New Roman;Times;Serif"/>
                <w:b w:val="false"/>
                <w:i w:val="false"/>
                <w:caps w:val="false"/>
                <w:smallCaps w:val="false"/>
                <w:position w:val="7"/>
                <w:sz w:val="16"/>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Code of Business Conduct and Ethics of the Registrant</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w:anchor="ex11-2.htm">
              <w:r>
                <w:rPr>
                  <w:rStyle w:val="InternetLink"/>
                  <w:rFonts w:ascii="Times New Roman;Times;Serif" w:hAnsi="Times New Roman;Times;Serif"/>
                  <w:b w:val="false"/>
                  <w:i w:val="false"/>
                  <w:caps w:val="false"/>
                  <w:smallCaps w:val="false"/>
                  <w:sz w:val="20"/>
                </w:rPr>
                <w:t>Insider Trading Policy</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of the Chief Executive Officer (Principal Executive Officer) pursuant to Rule 13a-14(a) of the Securities Exchange Act, as amended</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of the Chief Financial Officer (Principal Financial Officer) pursuant to Rule 13a-14(a) of the Securities Exchange Act, as amended</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of the Chief Executive Officer and Chief Financial Officer pursuant to 18 U.S.C. 1350, as adopted pursuant to Section 906 of the Sarbanes-Oxley Act of 2002</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Dannible &amp; McKee, LLP</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Compensation Recovery Policy of Registrant</w:t>
              </w:r>
            </w:hyperlink>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11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89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registration statement on Form F-1 of the Registrant (File No. 333-260923).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Annual Report on Form 20-F of the Registrant filed on March 29,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October 3,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Annual Report on Form 20-F of the Registrant filed on April 21,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May 3,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December 22, 2022.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February 1,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October 20,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October 29,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April 26,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December 20,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December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the Form 6-K of the Registrant filed on March 19,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Portions of these exhibits (indicated with markouts) have been redacted in accordance with Item 601(b)(10)(iv).</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9" w:name="ms_056"/>
      <w:bookmarkEnd w:id="129"/>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0"/>
        <w:gridCol w:w="3931"/>
        <w:gridCol w:w="60"/>
        <w:gridCol w:w="565"/>
        <w:gridCol w:w="5069"/>
      </w:tblGrid>
      <w:tr>
        <w:trPr/>
        <w:tc>
          <w:tcPr>
            <w:tcW w:w="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393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Pierluigi Paracchi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w:t>
            </w:r>
          </w:p>
        </w:tc>
        <w:tc>
          <w:tcPr>
            <w:tcW w:w="506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Richard B. Slansky</w:t>
            </w:r>
          </w:p>
        </w:tc>
      </w:tr>
      <w:tr>
        <w:trPr/>
        <w:tc>
          <w:tcPr>
            <w:tcW w:w="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39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Pierluigi Paracchi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50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B. Slansky</w:t>
            </w:r>
          </w:p>
        </w:tc>
      </w:tr>
      <w:tr>
        <w:trPr/>
        <w:tc>
          <w:tcPr>
            <w:tcW w:w="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39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(Principal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50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(Principal Financial and Accounting Officer)</w:t>
            </w:r>
          </w:p>
        </w:tc>
      </w:tr>
      <w:tr>
        <w:trPr/>
        <w:tc>
          <w:tcPr>
            <w:tcW w:w="5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393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5069"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28, 2025</w:t>
            </w:r>
          </w:p>
        </w:tc>
      </w:tr>
    </w:tbl>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153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245"/>
        <w:gridCol w:w="87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w:t>
            </w:r>
            <w:bookmarkStart w:id="130" w:name="xdx_907_edei--AuditorFirmId_c20240101__2"/>
            <w:bookmarkEnd w:id="130"/>
            <w:r>
              <w:rPr>
                <w:rFonts w:ascii="Times New Roman;Times;Serif" w:hAnsi="Times New Roman;Times;Serif"/>
                <w:b w:val="false"/>
                <w:i w:val="false"/>
                <w:caps w:val="false"/>
                <w:smallCaps w:val="false"/>
                <w:sz w:val="20"/>
              </w:rPr>
              <w:t>528)</w:t>
            </w:r>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624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Consolidated Statements of Operations and Comprehensive Loss</w:t>
              </w:r>
            </w:hyperlink>
            <w:r>
              <w:rPr>
                <w:rFonts w:ascii="Times New Roman;Times;Serif" w:hAnsi="Times New Roman;Times;Serif"/>
                <w:b w:val="false"/>
                <w:i w:val="false"/>
                <w:caps w:val="false"/>
                <w:smallCaps w:val="false"/>
                <w:sz w:val="20"/>
              </w:rPr>
              <w:t xml:space="preserve"> </w:t>
            </w:r>
          </w:p>
        </w:tc>
        <w:tc>
          <w:tcPr>
            <w:tcW w:w="8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624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Consolidated Balance Sheets</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624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Consolidated Statements of Changes in Shareholders’ Equity</w:t>
              </w:r>
            </w:hyperlink>
          </w:p>
        </w:tc>
        <w:tc>
          <w:tcPr>
            <w:tcW w:w="8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624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Consolidated Statements of Cash Flows</w:t>
              </w:r>
            </w:hyperlink>
          </w:p>
        </w:tc>
        <w:tc>
          <w:tcPr>
            <w:tcW w:w="8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624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Notes to the Consolidated Financial Statements</w:t>
              </w:r>
            </w:hyperlink>
          </w:p>
        </w:tc>
        <w:tc>
          <w:tcPr>
            <w:tcW w:w="8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 – F-39</w:t>
            </w:r>
          </w:p>
        </w:tc>
      </w:tr>
    </w:tbl>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1" w:name="a_001"/>
      <w:bookmarkEnd w:id="13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Shareholders of Genenta Science S.p.A.: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132" w:name="xdx_903_edei--AuditorOpinionTextBlock_c2"/>
      <w:bookmarkEnd w:id="132"/>
      <w:r>
        <w:rPr>
          <w:rFonts w:ascii="Times New Roman;Times;Serif" w:hAnsi="Times New Roman;Times;Serif"/>
          <w:b w:val="false"/>
          <w:i w:val="false"/>
          <w:caps w:val="false"/>
          <w:smallCaps w:val="false"/>
          <w:sz w:val="20"/>
        </w:rPr>
        <w:t>We have audited the accompanying consolidated Balance Sheets of Genenta Science S.p.A. (“the Company”) as of December 31, 2024, 2023, and 2022 and the related consolidated statements of operations and comprehensive loss, changes in shareholders’ equity, and cash flows for each of the years in the three-year period ended December 31, 2024, and the related notes to the consolidated financial statements (collectively referred to as the “consolidated financial statements”). In our opinion, the consolidated financial statements present fairly, in all material respects, the financial position of the Company as of December 31, 2024, 2023 and 2022 and the results of its operations and its cash flows for each of the years in the three-year period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133" w:name="xdx_903_edei--AuditorName_c20240101__202"/>
      <w:bookmarkEnd w:id="133"/>
      <w:r>
        <w:rPr>
          <w:rFonts w:ascii="Times New Roman;Times;Serif" w:hAnsi="Times New Roman;Times;Serif"/>
          <w:b w:val="false"/>
          <w:i w:val="false"/>
          <w:caps w:val="false"/>
          <w:smallCaps w:val="false"/>
          <w:sz w:val="20"/>
        </w:rPr>
        <w:t>Dannible &amp; McKee,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 w:name="xdx_903_edei--AuditorLocation_c20240101_"/>
      <w:bookmarkEnd w:id="134"/>
      <w:r>
        <w:rPr>
          <w:rFonts w:ascii="Times New Roman;Times;Serif" w:hAnsi="Times New Roman;Times;Serif"/>
          <w:b w:val="false"/>
          <w:i w:val="false"/>
          <w:caps w:val="false"/>
          <w:smallCaps w:val="false"/>
          <w:sz w:val="20"/>
        </w:rPr>
        <w:t>Syracuse, New York</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2025</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5" w:name="a_002"/>
      <w:bookmarkEnd w:id="135"/>
      <w:r>
        <w:rPr>
          <w:rFonts w:ascii="Times New Roman;Times;Serif" w:hAnsi="Times New Roman;Times;Serif"/>
          <w:b/>
          <w:i w:val="false"/>
          <w:caps w:val="false"/>
          <w:smallCaps w:val="false"/>
          <w:sz w:val="20"/>
        </w:rPr>
        <w:t>Genenta Science S.p.A.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6" w:name="xdx_30A_113_zvXX8UMeNImg"/>
      <w:bookmarkStart w:id="137" w:name="xdx_30A_113_zvXX8UMeNImg"/>
      <w:bookmarkEnd w:id="137"/>
    </w:p>
    <w:tbl>
      <w:tblPr>
        <w:tblW w:w="9305" w:type="dxa"/>
        <w:jc w:val="left"/>
        <w:tblInd w:w="0" w:type="dxa"/>
        <w:tblLayout w:type="fixed"/>
        <w:tblCellMar>
          <w:top w:w="0" w:type="dxa"/>
          <w:left w:w="0" w:type="dxa"/>
          <w:bottom w:w="0" w:type="dxa"/>
          <w:right w:w="0" w:type="dxa"/>
        </w:tblCellMar>
      </w:tblPr>
      <w:tblGrid>
        <w:gridCol w:w="5480"/>
        <w:gridCol w:w="60"/>
        <w:gridCol w:w="140"/>
        <w:gridCol w:w="950"/>
        <w:gridCol w:w="80"/>
        <w:gridCol w:w="60"/>
        <w:gridCol w:w="140"/>
        <w:gridCol w:w="1010"/>
        <w:gridCol w:w="80"/>
        <w:gridCol w:w="60"/>
        <w:gridCol w:w="140"/>
        <w:gridCol w:w="1010"/>
        <w:gridCol w:w="95"/>
      </w:tblGrid>
      <w:tr>
        <w:trPr/>
        <w:tc>
          <w:tcPr>
            <w:tcW w:w="54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38" w:name="xdx_495_20240101__20241231_zhkSuPyXvyz7"/>
            <w:bookmarkEnd w:id="138"/>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39" w:name="xdx_492_20230101__20231231_zIhCtRxpFP7d"/>
            <w:bookmarkEnd w:id="139"/>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40" w:name="xdx_490_20220101__20221231_zKcoEt5grKGd"/>
            <w:bookmarkEnd w:id="140"/>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Euros)</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141" w:name="xdx_404_eus-gaap--OperatingExpensesAbstr"/>
            <w:bookmarkEnd w:id="141"/>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2" w:name="xdx_402_eus-gaap--ResearchAndDevelopment"/>
            <w:bookmarkEnd w:id="142"/>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4,812,854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6,474,441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5,338,962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3" w:name="xdx_40F_eus-gaap--GeneralAndAdministrati"/>
            <w:bookmarkEnd w:id="143"/>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4,951,456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5,258,501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5,705,030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4" w:name="xdx_405_eus-gaap--OperatingExpenses_i01T"/>
            <w:bookmarkEnd w:id="144"/>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9,764,310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11,732,942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11,043,992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5" w:name="xdx_40E_eus-gaap--OperatingIncomeLoss_iT"/>
            <w:bookmarkEnd w:id="145"/>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(9,764,310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(11,732,942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(11,043,992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6" w:name="xdx_402_eus-gaap--NonoperatingIncomeExpe"/>
            <w:bookmarkEnd w:id="146"/>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7" w:name="xdx_404_eus-gaap--OtherNonoperatingIncom"/>
            <w:bookmarkEnd w:id="147"/>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income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529,683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242,554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48" w:name="xdx_409_ecustom--FinanceIncomeExpenses_i"/>
            <w:bookmarkEnd w:id="148"/>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309,253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49" w:name="xdx_408_eus-gaap--ForeignCurrencyTransac"/>
            <w:bookmarkEnd w:id="149"/>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exchange rate gain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(216,891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2,286,690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0" w:name="xdx_403_eus-gaap--NonoperatingIncomeExpe"/>
            <w:bookmarkEnd w:id="150"/>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851,815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2,566,229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1" w:name="xdx_402_eus-gaap--IncomeLossFromContinui"/>
            <w:bookmarkEnd w:id="151"/>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(8,912,495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(11,645,455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(8,477,763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52" w:name="xdx_40B_eus-gaap--IncomeTaxExpenseBenefi"/>
            <w:bookmarkEnd w:id="152"/>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53" w:name="xdx_402_eus-gaap--NetIncomeLoss_iT_pp0p0"/>
            <w:bookmarkEnd w:id="153"/>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(8,912,495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(11,645,455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(8,477,763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 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4" w:name="xdx_901_eus-gaap--EarningsPerShareDilute"/>
            <w:bookmarkEnd w:id="154"/>
            <w:r>
              <w:rPr>
                <w:rFonts w:ascii="Times New Roman;Times;Serif" w:hAnsi="Times New Roman;Times;Serif"/>
                <w:b w:val="false"/>
                <w:i w:val="false"/>
                <w:caps w:val="false"/>
                <w:smallCaps w:val="false"/>
                <w:sz w:val="20"/>
              </w:rPr>
              <w:t>(0.49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5" w:name="xdx_909_eus-gaap--EarningsPerShareDilute"/>
            <w:bookmarkEnd w:id="155"/>
            <w:r>
              <w:rPr>
                <w:rFonts w:ascii="Times New Roman;Times;Serif" w:hAnsi="Times New Roman;Times;Serif"/>
                <w:b w:val="false"/>
                <w:i w:val="false"/>
                <w:caps w:val="false"/>
                <w:smallCaps w:val="false"/>
                <w:sz w:val="20"/>
              </w:rPr>
              <w:t>(0.64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6" w:name="xdx_901_eus-gaap--EarningsPerShareDilute"/>
            <w:bookmarkEnd w:id="156"/>
            <w:r>
              <w:rPr>
                <w:rFonts w:ascii="Times New Roman;Times;Serif" w:hAnsi="Times New Roman;Times;Serif"/>
                <w:b w:val="false"/>
                <w:i w:val="false"/>
                <w:caps w:val="false"/>
                <w:smallCaps w:val="false"/>
                <w:sz w:val="20"/>
              </w:rPr>
              <w:t>(0.47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shares outstanding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7" w:name="xdx_908_eus-gaap--WeightedAverageNumberO"/>
            <w:bookmarkEnd w:id="157"/>
            <w:r>
              <w:rPr>
                <w:rFonts w:ascii="Times New Roman;Times;Serif" w:hAnsi="Times New Roman;Times;Serif"/>
                <w:b w:val="false"/>
                <w:i w:val="false"/>
                <w:caps w:val="false"/>
                <w:smallCaps w:val="false"/>
                <w:sz w:val="20"/>
              </w:rPr>
              <w:t>18,273,490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8" w:name="xdx_900_eus-gaap--WeightedAverageNumberO"/>
            <w:bookmarkEnd w:id="158"/>
            <w:r>
              <w:rPr>
                <w:rFonts w:ascii="Times New Roman;Times;Serif" w:hAnsi="Times New Roman;Times;Serif"/>
                <w:b w:val="false"/>
                <w:i w:val="false"/>
                <w:caps w:val="false"/>
                <w:smallCaps w:val="false"/>
                <w:sz w:val="20"/>
              </w:rPr>
              <w:t>18,216,907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bookmarkStart w:id="159" w:name="xdx_90F_eus-gaap--WeightedAverageNumberO"/>
            <w:bookmarkEnd w:id="159"/>
            <w:r>
              <w:rPr>
                <w:rFonts w:ascii="Times New Roman;Times;Serif" w:hAnsi="Times New Roman;Times;Serif"/>
                <w:b w:val="false"/>
                <w:i w:val="false"/>
                <w:caps w:val="false"/>
                <w:smallCaps w:val="false"/>
                <w:sz w:val="20"/>
              </w:rPr>
              <w:t>18,216,858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0" w:name="xdx_402_eus-gaap--OtherComprehensiveInco"/>
            <w:bookmarkEnd w:id="160"/>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1" w:name="xdx_40B_ecustom--ChangeOfMarketableDebtS"/>
            <w:bookmarkEnd w:id="161"/>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change of marketable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(118,750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2" w:name="xdx_40E_eus-gaap--OtherComprehensiveInco"/>
            <w:bookmarkEnd w:id="162"/>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foreign currency translation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63" w:name="xdx_400_eus-gaap--OtherComprehensiveInco"/>
            <w:bookmarkEnd w:id="163"/>
          </w:p>
        </w:tc>
      </w:tr>
      <w:tr>
        <w:trPr/>
        <w:tc>
          <w:tcPr>
            <w:tcW w:w="5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comprehensive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4" w:name="xdx_40C_eus-gaap--ComprehensiveIncomeNet"/>
            <w:bookmarkEnd w:id="164"/>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(9,054,691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(11,446,324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(8,477,763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5" w:name="a_003"/>
      <w:bookmarkEnd w:id="165"/>
      <w:r>
        <w:rPr>
          <w:rFonts w:ascii="Times New Roman;Times;Serif" w:hAnsi="Times New Roman;Times;Serif"/>
          <w:b/>
          <w:i w:val="false"/>
          <w:caps w:val="false"/>
          <w:smallCaps w:val="false"/>
          <w:sz w:val="20"/>
        </w:rPr>
        <w:t>Genenta Science S.p.A.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6" w:name="xdx_30D_111_zVuUrRXmxfuc"/>
      <w:bookmarkStart w:id="167" w:name="xdx_30D_111_zVuUrRXmxfuc"/>
      <w:bookmarkEnd w:id="167"/>
    </w:p>
    <w:tbl>
      <w:tblPr>
        <w:tblW w:w="10205" w:type="dxa"/>
        <w:jc w:val="left"/>
        <w:tblInd w:w="0" w:type="dxa"/>
        <w:tblLayout w:type="fixed"/>
        <w:tblCellMar>
          <w:top w:w="0" w:type="dxa"/>
          <w:left w:w="0" w:type="dxa"/>
          <w:bottom w:w="0" w:type="dxa"/>
          <w:right w:w="0" w:type="dxa"/>
        </w:tblCellMar>
      </w:tblPr>
      <w:tblGrid>
        <w:gridCol w:w="5939"/>
        <w:gridCol w:w="60"/>
        <w:gridCol w:w="155"/>
        <w:gridCol w:w="1121"/>
        <w:gridCol w:w="80"/>
        <w:gridCol w:w="60"/>
        <w:gridCol w:w="155"/>
        <w:gridCol w:w="1121"/>
        <w:gridCol w:w="80"/>
        <w:gridCol w:w="60"/>
        <w:gridCol w:w="155"/>
        <w:gridCol w:w="1121"/>
        <w:gridCol w:w="98"/>
      </w:tblGrid>
      <w:tr>
        <w:trPr/>
        <w:tc>
          <w:tcPr>
            <w:tcW w:w="5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68" w:name="xdx_490_20241231_zAH00wEOI9be"/>
            <w:bookmarkEnd w:id="168"/>
          </w:p>
        </w:tc>
        <w:tc>
          <w:tcPr>
            <w:tcW w:w="127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69" w:name="xdx_495_20231231_zWsjgqfvFZbl"/>
            <w:bookmarkEnd w:id="169"/>
          </w:p>
        </w:tc>
        <w:tc>
          <w:tcPr>
            <w:tcW w:w="127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170" w:name="xdx_49B_20221231_ziapV1E21PJi"/>
            <w:bookmarkEnd w:id="170"/>
          </w:p>
        </w:tc>
        <w:tc>
          <w:tcPr>
            <w:tcW w:w="127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December 31,</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39" w:type="dxa"/>
            <w:tcBorders/>
            <w:vAlign w:val="center"/>
          </w:tcPr>
          <w:p>
            <w:pPr>
              <w:pStyle w:val="TableContents"/>
              <w:bidi w:val="0"/>
              <w:spacing w:before="0" w:after="283"/>
              <w:jc w:val="left"/>
              <w:rPr>
                <w:caps w:val="false"/>
                <w:smallCaps w:val="false"/>
              </w:rPr>
            </w:pPr>
            <w:r>
              <w:rPr>
                <w:caps w:val="false"/>
                <w:smallCaps w:val="false"/>
              </w:rPr>
              <w:t> </w:t>
            </w:r>
          </w:p>
        </w:tc>
        <w:tc>
          <w:tcPr>
            <w:tcW w:w="3047"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Euros)</w:t>
            </w:r>
          </w:p>
        </w:tc>
        <w:tc>
          <w:tcPr>
            <w:tcW w:w="1121" w:type="dxa"/>
            <w:tcBorders/>
            <w:vAlign w:val="center"/>
          </w:tcPr>
          <w:p>
            <w:pPr>
              <w:pStyle w:val="TableContents"/>
              <w:bidi w:val="0"/>
              <w:spacing w:before="0" w:after="283"/>
              <w:jc w:val="left"/>
              <w:rPr>
                <w:caps w:val="false"/>
                <w:smallCaps w:val="false"/>
              </w:rPr>
            </w:pPr>
            <w:r>
              <w:rPr>
                <w:caps w:val="false"/>
                <w:smallCaps w:val="false"/>
              </w:rPr>
              <w:t> </w:t>
            </w:r>
            <w:bookmarkStart w:id="171" w:name="xdx_40B_eus-gaap--AssetsAbstract_iB_z0cF"/>
            <w:bookmarkEnd w:id="171"/>
          </w:p>
        </w:tc>
        <w:tc>
          <w:tcPr>
            <w:tcW w:w="98" w:type="dxa"/>
            <w:tcBorders/>
          </w:tcPr>
          <w:p>
            <w:pPr>
              <w:pStyle w:val="TableContents"/>
              <w:bidi w:val="0"/>
              <w:spacing w:before="0" w:after="283"/>
              <w:jc w:val="left"/>
              <w:rPr>
                <w:sz w:val="4"/>
                <w:szCs w:val="4"/>
              </w:rPr>
            </w:pPr>
            <w:r>
              <w:rPr>
                <w:sz w:val="4"/>
                <w:szCs w:val="4"/>
              </w:rPr>
            </w:r>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2" w:name="xdx_404_eus-gaap--AssetsCurrentAbstract_"/>
            <w:bookmarkEnd w:id="172"/>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3" w:name="xdx_402_eus-gaap--CashAndCashEquivalents"/>
            <w:bookmarkEnd w:id="173"/>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4,581,749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3,691,420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29,794,856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4" w:name="xdx_40F_eus-gaap--MarketableSecuritiesCu"/>
            <w:bookmarkEnd w:id="174"/>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8,078,002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15,084,284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5" w:name="xdx_40E_eus-gaap--PrepaidExpenseAndOther"/>
            <w:bookmarkEnd w:id="175"/>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2,480,554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1,926,512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6" w:name="xdx_40C_eus-gaap--AssetsCurrent_i02TI_pp"/>
            <w:bookmarkEnd w:id="176"/>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14,472,977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21,256,258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31,721,368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7" w:name="xdx_401_eus-gaap--AssetsNoncurrentAbstra"/>
            <w:bookmarkEnd w:id="177"/>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78" w:name="xdx_40A_eus-gaap--PropertyPlantAndEquipm"/>
            <w:bookmarkEnd w:id="178"/>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111,639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79" w:name="xdx_401_eus-gaap--OtherAssetsNoncurrent_"/>
            <w:bookmarkEnd w:id="179"/>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1,004,560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1,601,503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0" w:name="xdx_40B_eus-gaap--OtherAssetsNoncurrent_"/>
            <w:bookmarkEnd w:id="180"/>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1" w:name="xdx_408_eus-gaap--OtherAssetsNoncurrent_"/>
            <w:bookmarkEnd w:id="181"/>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2" w:name="xdx_40D_eus-gaap--AssetsNoncurrent_i02TI"/>
            <w:bookmarkEnd w:id="182"/>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351,016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1,090,887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1,716,492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3" w:name="xdx_409_eus-gaap--Assets_i01TI_pp0p0_mtA"/>
            <w:bookmarkEnd w:id="183"/>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14,823,993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22,347,145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33,437,860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4" w:name="xdx_40F_eus-gaap--LiabilitiesAndStockhol"/>
            <w:bookmarkEnd w:id="184"/>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5" w:name="xdx_409_eus-gaap--LiabilitiesCurrentAbst"/>
            <w:bookmarkEnd w:id="185"/>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6" w:name="xdx_40C_eus-gaap--AccountsPayableCurrent"/>
            <w:bookmarkEnd w:id="186"/>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317,830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294,975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1,042,054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87" w:name="xdx_404_eus-gaap--AccountsPayableCurrent"/>
            <w:bookmarkEnd w:id="187"/>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151,988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8" w:name="xdx_409_eus-gaap--AccountsPayableCurrent"/>
            <w:bookmarkEnd w:id="188"/>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payable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180,116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151,988</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89" w:name="xdx_408_eus-gaap--AccruedLiabilitiesCurr"/>
            <w:bookmarkEnd w:id="189"/>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202,389</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0" w:name="xdx_400_eus-gaap--AccruedLiabilitiesCurr"/>
            <w:bookmarkEnd w:id="190"/>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1,031,345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489,207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1" w:name="xdx_40E_eus-gaap--AccruedLiabilitiesCurr"/>
            <w:bookmarkEnd w:id="191"/>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1,031,345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489,207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2" w:name="xdx_402_eus-gaap--OtherLiabilitiesCurren"/>
            <w:bookmarkEnd w:id="192"/>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337,764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297,875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3" w:name="xdx_40E_eus-gaap--LiabilitiesCurrent_i02"/>
            <w:bookmarkEnd w:id="193"/>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2,099,362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1,735,639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2,183,513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9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4" w:name="xdx_406_eus-gaap--LiabilitiesNoncurrentA"/>
            <w:bookmarkEnd w:id="194"/>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5" w:name="xdx_40E_eus-gaap--OtherLiabilitiesNoncur"/>
            <w:bookmarkEnd w:id="195"/>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96" w:name="xdx_408_eus-gaap--PensionAndOtherPostret"/>
            <w:bookmarkEnd w:id="196"/>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 obligation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227,767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88,963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7" w:name="xdx_405_eus-gaap--LiabilitiesNoncurrent_"/>
            <w:bookmarkEnd w:id="197"/>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long-term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179,249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116,181</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8" w:name="xdx_404_eus-gaap--CommitmentsAndContinge"/>
            <w:bookmarkEnd w:id="198"/>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9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99" w:name="xdx_40F_eus-gaap--StockholdersEquityAbst"/>
            <w:bookmarkEnd w:id="199"/>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0" w:name="xdx_40F_eus-gaap--CommonStockValue_i02I_"/>
            <w:bookmarkEnd w:id="200"/>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shares, </w:t>
            </w:r>
            <w:bookmarkStart w:id="201" w:name="xdx_907_eus-gaap--CommonStockParOrStated"/>
            <w:bookmarkEnd w:id="201"/>
            <w:r>
              <w:rPr>
                <w:rFonts w:ascii="Times New Roman;Times;Serif" w:hAnsi="Times New Roman;Times;Serif"/>
                <w:b w:val="false"/>
                <w:i w:val="false"/>
                <w:caps w:val="false"/>
                <w:smallCaps w:val="false"/>
                <w:sz w:val="20"/>
              </w:rPr>
              <w:t xml:space="preserve">no par value, </w:t>
            </w:r>
            <w:bookmarkStart w:id="202" w:name="xdx_90C_eus-gaap--CommonStockSharesAutho"/>
            <w:bookmarkEnd w:id="202"/>
            <w:r>
              <w:rPr>
                <w:rFonts w:ascii="Times New Roman;Times;Serif" w:hAnsi="Times New Roman;Times;Serif"/>
                <w:b w:val="false"/>
                <w:i w:val="false"/>
                <w:caps w:val="false"/>
                <w:smallCaps w:val="false"/>
                <w:sz w:val="20"/>
              </w:rPr>
              <w:t xml:space="preserve">59,700,000 shares authorized and </w:t>
            </w:r>
            <w:bookmarkStart w:id="203" w:name="xdx_908_eus-gaap--CommonStockSharesOutst"/>
            <w:bookmarkEnd w:id="203"/>
            <w:r>
              <w:rPr>
                <w:rFonts w:ascii="Times New Roman;Times;Serif" w:hAnsi="Times New Roman;Times;Serif"/>
                <w:b w:val="false"/>
                <w:i w:val="false"/>
                <w:caps w:val="false"/>
                <w:smallCaps w:val="false"/>
                <w:sz w:val="20"/>
              </w:rPr>
              <w:t xml:space="preserve">18,289,866 and </w:t>
            </w:r>
            <w:bookmarkStart w:id="204" w:name="xdx_907_eus-gaap--CommonStockSharesOutst"/>
            <w:bookmarkEnd w:id="204"/>
            <w:r>
              <w:rPr>
                <w:rFonts w:ascii="Times New Roman;Times;Serif" w:hAnsi="Times New Roman;Times;Serif"/>
                <w:b w:val="false"/>
                <w:i w:val="false"/>
                <w:caps w:val="false"/>
                <w:smallCaps w:val="false"/>
                <w:sz w:val="20"/>
              </w:rPr>
              <w:t>18,216,958 shares issued and outstanding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68,462,280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67,344,140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66,603,725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5" w:name="xdx_402_eus-gaap--RetainedEarningsAccumu"/>
            <w:bookmarkEnd w:id="205"/>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(56,055,520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(47,143,025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(35,465,559</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06" w:name="xdx_407_eus-gaap--AccumulatedOtherCompre"/>
            <w:bookmarkEnd w:id="206"/>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07" w:name="xdx_400_eus-gaap--StockholdersEquity_i02"/>
            <w:bookmarkEnd w:id="207"/>
          </w:p>
        </w:tc>
      </w:tr>
      <w:tr>
        <w:trPr/>
        <w:tc>
          <w:tcPr>
            <w:tcW w:w="59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12,495,706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20,432,257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31,138,166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08" w:name="xdx_40A_eus-gaap--LiabilitiesAndStockhol"/>
            <w:bookmarkEnd w:id="208"/>
          </w:p>
        </w:tc>
      </w:tr>
      <w:tr>
        <w:trPr/>
        <w:tc>
          <w:tcPr>
            <w:tcW w:w="593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14,823,993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22,347,145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33,437,860</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9" w:name="a_004"/>
      <w:bookmarkEnd w:id="209"/>
      <w:r>
        <w:rPr>
          <w:rFonts w:ascii="Times New Roman;Times;Serif" w:hAnsi="Times New Roman;Times;Serif"/>
          <w:b/>
          <w:i w:val="false"/>
          <w:caps w:val="false"/>
          <w:smallCaps w:val="false"/>
          <w:sz w:val="20"/>
        </w:rPr>
        <w:t>Genenta Science S.p.A.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Changes in Shareholders’ Equity</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10" w:name="xdx_30C_114_zzomBF8Kqg7e"/>
      <w:bookmarkStart w:id="211" w:name="xdx_30C_114_zzomBF8Kqg7e"/>
      <w:bookmarkEnd w:id="211"/>
    </w:p>
    <w:tbl>
      <w:tblPr>
        <w:tblW w:w="10205" w:type="dxa"/>
        <w:jc w:val="left"/>
        <w:tblInd w:w="0" w:type="dxa"/>
        <w:tblLayout w:type="fixed"/>
        <w:tblCellMar>
          <w:top w:w="0" w:type="dxa"/>
          <w:left w:w="0" w:type="dxa"/>
          <w:bottom w:w="0" w:type="dxa"/>
          <w:right w:w="0" w:type="dxa"/>
        </w:tblCellMar>
      </w:tblPr>
      <w:tblGrid>
        <w:gridCol w:w="1896"/>
        <w:gridCol w:w="60"/>
        <w:gridCol w:w="89"/>
        <w:gridCol w:w="1412"/>
        <w:gridCol w:w="60"/>
        <w:gridCol w:w="60"/>
        <w:gridCol w:w="199"/>
        <w:gridCol w:w="1357"/>
        <w:gridCol w:w="60"/>
        <w:gridCol w:w="60"/>
        <w:gridCol w:w="163"/>
        <w:gridCol w:w="1179"/>
        <w:gridCol w:w="80"/>
        <w:gridCol w:w="60"/>
        <w:gridCol w:w="324"/>
        <w:gridCol w:w="1757"/>
        <w:gridCol w:w="80"/>
        <w:gridCol w:w="60"/>
        <w:gridCol w:w="140"/>
        <w:gridCol w:w="1010"/>
        <w:gridCol w:w="99"/>
      </w:tblGrid>
      <w:tr>
        <w:trPr/>
        <w:tc>
          <w:tcPr>
            <w:tcW w:w="189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outstanding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2" w:name="xdx_4B6_us-gaap--StatementEquityComponen"/>
            <w:bookmarkEnd w:id="212"/>
          </w:p>
        </w:tc>
        <w:tc>
          <w:tcPr>
            <w:tcW w:w="15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no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3" w:name="xdx_4BC_us-gaap--StatementEquityComponen"/>
            <w:bookmarkEnd w:id="213"/>
          </w:p>
        </w:tc>
        <w:tc>
          <w:tcPr>
            <w:tcW w:w="13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4" w:name="xdx_4B5_us-gaap--StatementEquityComponen"/>
            <w:bookmarkEnd w:id="214"/>
          </w:p>
        </w:tc>
        <w:tc>
          <w:tcPr>
            <w:tcW w:w="208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15" w:name="xdx_4B5_zH0ebMLoBgUl"/>
            <w:bookmarkEnd w:id="215"/>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9" w:type="dxa"/>
            <w:tcBorders/>
            <w:vAlign w:val="center"/>
          </w:tcPr>
          <w:p>
            <w:pPr>
              <w:pStyle w:val="TableContents"/>
              <w:bidi w:val="0"/>
              <w:spacing w:before="0" w:after="283"/>
              <w:jc w:val="left"/>
              <w:rPr>
                <w:caps w:val="false"/>
                <w:smallCaps w:val="false"/>
              </w:rPr>
            </w:pPr>
            <w:r>
              <w:rPr>
                <w:caps w:val="false"/>
                <w:smallCaps w:val="false"/>
              </w:rPr>
              <w:t> </w:t>
            </w:r>
            <w:bookmarkStart w:id="216" w:name="xdx_43C_c20220101__20221231_eus-gaap--St"/>
            <w:bookmarkEnd w:id="216"/>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17" w:name="xdx_98D_eus-gaap--SharesOutstanding_iS_c"/>
            <w:bookmarkEnd w:id="217"/>
          </w:p>
        </w:tc>
        <w:tc>
          <w:tcPr>
            <w:tcW w:w="14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18,216,858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65,880,990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(27,019,807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38,861,183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18" w:name="xdx_404_eus-gaap--StockIssuedDuringPerio"/>
            <w:bookmarkEnd w:id="218"/>
          </w:p>
        </w:tc>
      </w:tr>
      <w:tr>
        <w:trPr/>
        <w:tc>
          <w:tcPr>
            <w:tcW w:w="1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722,735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722,735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19" w:name="xdx_405_ecustom--CumulativeTranslationAd"/>
            <w:bookmarkEnd w:id="219"/>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0" w:name="xdx_40D_eus-gaap--NetIncomeLoss_zhCZpJIw"/>
            <w:bookmarkEnd w:id="220"/>
          </w:p>
        </w:tc>
      </w:tr>
      <w:tr>
        <w:trPr/>
        <w:tc>
          <w:tcPr>
            <w:tcW w:w="1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(8,477,763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(8,477,763</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1" w:name="xdx_431_c20230101__20231231_eus-gaap--St"/>
            <w:bookmarkEnd w:id="221"/>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2" w:name="xdx_98C_eus-gaap--SharesOutstanding_iS_c"/>
            <w:bookmarkEnd w:id="222"/>
          </w:p>
        </w:tc>
        <w:tc>
          <w:tcPr>
            <w:tcW w:w="14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18,216,858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66,603,725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(35,465,559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31,138,166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3" w:name="xdx_406_eus-gaap--StockIssuedDuringPerio"/>
            <w:bookmarkEnd w:id="223"/>
          </w:p>
        </w:tc>
      </w:tr>
      <w:tr>
        <w:trPr/>
        <w:tc>
          <w:tcPr>
            <w:tcW w:w="1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739,884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739,884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4" w:name="xdx_401_eus-gaap--StockIssuedDuringPerio"/>
            <w:bookmarkEnd w:id="224"/>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increase ATM program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5" w:name="xdx_982_eus-gaap--StockIssuedDuringPerio"/>
            <w:bookmarkEnd w:id="225"/>
          </w:p>
        </w:tc>
        <w:tc>
          <w:tcPr>
            <w:tcW w:w="14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26" w:name="xdx_403_eus-gaap--OtherComprehensiveInco"/>
            <w:bookmarkEnd w:id="226"/>
          </w:p>
        </w:tc>
      </w:tr>
      <w:tr>
        <w:trPr/>
        <w:tc>
          <w:tcPr>
            <w:tcW w:w="1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199,131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27" w:name="xdx_40D_eus-gaap--NetIncomeLoss_zpPHn1sO"/>
            <w:bookmarkEnd w:id="227"/>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(11,645,455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(11,645,455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28" w:name="xdx_43C_c20240101__20241231_eus-gaap--St"/>
            <w:bookmarkEnd w:id="228"/>
          </w:p>
        </w:tc>
      </w:tr>
      <w:tr>
        <w:trPr/>
        <w:tc>
          <w:tcPr>
            <w:tcW w:w="1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29" w:name="xdx_983_eus-gaap--SharesOutstanding_iS_c"/>
            <w:bookmarkEnd w:id="229"/>
          </w:p>
        </w:tc>
        <w:tc>
          <w:tcPr>
            <w:tcW w:w="14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18,216,958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67,344,140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(47,143,025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7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20,432,257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0" w:name="xdx_434_c20240101__20241231_eus-gaap--St"/>
            <w:bookmarkEnd w:id="230"/>
          </w:p>
        </w:tc>
      </w:tr>
      <w:tr>
        <w:trPr/>
        <w:tc>
          <w:tcPr>
            <w:tcW w:w="1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31" w:name="xdx_988_eus-gaap--SharesOutstanding_iS_c"/>
            <w:bookmarkEnd w:id="231"/>
          </w:p>
        </w:tc>
        <w:tc>
          <w:tcPr>
            <w:tcW w:w="14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18,216,958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67,344,140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(47,143,025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7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20,432,257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2" w:name="xdx_400_eus-gaap--StockIssuedDuringPerio"/>
            <w:bookmarkEnd w:id="232"/>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847,255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847,255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33" w:name="xdx_40D_eus-gaap--StockIssuedDuringPerio"/>
            <w:bookmarkEnd w:id="233"/>
          </w:p>
        </w:tc>
      </w:tr>
      <w:tr>
        <w:trPr/>
        <w:tc>
          <w:tcPr>
            <w:tcW w:w="1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increase ATM program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4" w:name="xdx_989_eus-gaap--StockIssuedDuringPerio"/>
            <w:bookmarkEnd w:id="234"/>
          </w:p>
        </w:tc>
        <w:tc>
          <w:tcPr>
            <w:tcW w:w="14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270,885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35" w:name="xdx_400_eus-gaap--OtherComprehensiveInco"/>
            <w:bookmarkEnd w:id="235"/>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(142,196</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6" w:name="xdx_40E_eus-gaap--OtherComprehensiveInco"/>
            <w:bookmarkEnd w:id="236"/>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(142,196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(142,196</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7" w:name="xdx_40D_eus-gaap--NetIncomeLoss_zYcZxMTo"/>
            <w:bookmarkEnd w:id="237"/>
          </w:p>
        </w:tc>
      </w:tr>
      <w:tr>
        <w:trPr/>
        <w:tc>
          <w:tcPr>
            <w:tcW w:w="18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(8,912,495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5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(8,912,495</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38" w:name="xdx_438_c20240101__20241231_eus-gaap--St"/>
            <w:bookmarkEnd w:id="238"/>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39" w:name="xdx_98F_eus-gaap--SharesOutstanding_iE_c"/>
            <w:bookmarkEnd w:id="239"/>
          </w:p>
        </w:tc>
        <w:tc>
          <w:tcPr>
            <w:tcW w:w="14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18,289,866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68,462,280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(56,055,520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12,495,706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0" w:name="xdx_435_c20240101__20241231_eus-gaap--St"/>
            <w:bookmarkEnd w:id="240"/>
          </w:p>
        </w:tc>
      </w:tr>
      <w:tr>
        <w:trPr/>
        <w:tc>
          <w:tcPr>
            <w:tcW w:w="18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Balance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bookmarkStart w:id="241" w:name="xdx_98C_eus-gaap--SharesOutstanding_iE_c"/>
            <w:bookmarkEnd w:id="241"/>
          </w:p>
        </w:tc>
        <w:tc>
          <w:tcPr>
            <w:tcW w:w="14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18,289,866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3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68,462,280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(56,055,520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75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12,495,706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a_005"/>
      <w:bookmarkEnd w:id="242"/>
      <w:r>
        <w:rPr>
          <w:rFonts w:ascii="Times New Roman;Times;Serif" w:hAnsi="Times New Roman;Times;Serif"/>
          <w:b/>
          <w:i w:val="false"/>
          <w:caps w:val="false"/>
          <w:smallCaps w:val="false"/>
          <w:sz w:val="20"/>
        </w:rPr>
        <w:t>Genenta Science S.p.A.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3" w:name="xdx_300_112_znqyLOuqC5xh"/>
      <w:bookmarkStart w:id="244" w:name="xdx_300_112_znqyLOuqC5xh"/>
      <w:bookmarkEnd w:id="244"/>
    </w:p>
    <w:tbl>
      <w:tblPr>
        <w:tblW w:w="9770" w:type="dxa"/>
        <w:jc w:val="left"/>
        <w:tblInd w:w="0" w:type="dxa"/>
        <w:tblLayout w:type="fixed"/>
        <w:tblCellMar>
          <w:top w:w="0" w:type="dxa"/>
          <w:left w:w="0" w:type="dxa"/>
          <w:bottom w:w="0" w:type="dxa"/>
          <w:right w:w="0" w:type="dxa"/>
        </w:tblCellMar>
      </w:tblPr>
      <w:tblGrid>
        <w:gridCol w:w="5945"/>
        <w:gridCol w:w="60"/>
        <w:gridCol w:w="140"/>
        <w:gridCol w:w="1010"/>
        <w:gridCol w:w="80"/>
        <w:gridCol w:w="60"/>
        <w:gridCol w:w="140"/>
        <w:gridCol w:w="1010"/>
        <w:gridCol w:w="80"/>
        <w:gridCol w:w="60"/>
        <w:gridCol w:w="140"/>
        <w:gridCol w:w="950"/>
        <w:gridCol w:w="95"/>
      </w:tblGrid>
      <w:tr>
        <w:trPr/>
        <w:tc>
          <w:tcPr>
            <w:tcW w:w="59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5" w:name="xdx_49A_20240101__20241231_zxO3IDY1KfG8"/>
            <w:bookmarkEnd w:id="245"/>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6" w:name="xdx_49F_20230101__20231231_zQQN1EhKfRXl"/>
            <w:bookmarkEnd w:id="246"/>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247" w:name="xdx_497_20220101__20221231_zLB4l7giRju9"/>
            <w:bookmarkEnd w:id="247"/>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December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70"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Euros)</w:t>
            </w:r>
          </w:p>
        </w:tc>
        <w:tc>
          <w:tcPr>
            <w:tcW w:w="95" w:type="dxa"/>
            <w:tcBorders/>
            <w:vAlign w:val="center"/>
          </w:tcPr>
          <w:p>
            <w:pPr>
              <w:pStyle w:val="TableContents"/>
              <w:bidi w:val="0"/>
              <w:spacing w:before="0" w:after="283"/>
              <w:jc w:val="left"/>
              <w:rPr>
                <w:caps w:val="false"/>
                <w:smallCaps w:val="false"/>
              </w:rPr>
            </w:pPr>
            <w:r>
              <w:rPr>
                <w:caps w:val="false"/>
                <w:smallCaps w:val="false"/>
              </w:rPr>
              <w:t> </w:t>
            </w:r>
            <w:bookmarkStart w:id="248" w:name="xdx_409_eus-gaap--NetCashProvidedByUsedI"/>
            <w:bookmarkEnd w:id="248"/>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49" w:name="xdx_404_eus-gaap--NetIncomeLoss_i01_pp0p"/>
            <w:bookmarkEnd w:id="249"/>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(8,912,495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(11,645,455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(8,477,763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0" w:name="xdx_40D_eus-gaap--AdjustmentsToReconcile"/>
            <w:bookmarkEnd w:id="250"/>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1" w:name="xdx_40F_eus-gaap--ForeignCurrencyTransac"/>
            <w:bookmarkEnd w:id="251"/>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2" w:name="xdx_409_eus-gaap--DepreciationDepletionA"/>
            <w:bookmarkEnd w:id="252"/>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3" w:name="xdx_40A_eus-gaap--PensionAndOtherPostret"/>
            <w:bookmarkEnd w:id="253"/>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benefit obligation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4" w:name="xdx_40B_eus-gaap--ShareBasedCompensation"/>
            <w:bookmarkEnd w:id="254"/>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847,255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739,884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722,735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5" w:name="xdx_408_eus-gaap--IncreaseDecreaseInOper"/>
            <w:bookmarkEnd w:id="255"/>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56" w:name="xdx_403_eus-gaap--IncreaseDecreaseInPrep"/>
            <w:bookmarkEnd w:id="256"/>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667,328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(554,042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(407,489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7" w:name="xdx_402_eus-gaap--IncreaseDecreaseInOthe"/>
            <w:bookmarkEnd w:id="257"/>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699,816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596,943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(427,906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58" w:name="xdx_40D_eus-gaap--IncreaseDecreaseInAcco"/>
            <w:bookmarkEnd w:id="258"/>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(747,079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877,235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59" w:name="xdx_405_ecustom--IncreaseDecreaseInAccou"/>
            <w:bookmarkEnd w:id="259"/>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0" w:name="xdx_404_eus-gaap--IncreaseDecreaseInAccr"/>
            <w:bookmarkEnd w:id="260"/>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(509,924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1" w:name="xdx_40F_ecustom--IncreaseDecreaseInAccru"/>
            <w:bookmarkEnd w:id="261"/>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372,371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2" w:name="xdx_40D_eus-gaap--IncreaseDecreaseInOthe"/>
            <w:bookmarkEnd w:id="262"/>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197,156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3" w:name="xdx_408_eus-gaap--IncreaseDecreaseInOthe"/>
            <w:bookmarkEnd w:id="263"/>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4" w:name="xdx_40D_eus-gaap--NetCashProvidedByUsedI"/>
            <w:bookmarkEnd w:id="264"/>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(6,240,174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(11,205,023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(7,418,236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5" w:name="xdx_403_eus-gaap--NetCashProvidedByUsedI"/>
            <w:bookmarkEnd w:id="265"/>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6" w:name="xdx_40D_eus-gaap--PaymentsToAcquireMarke"/>
            <w:bookmarkEnd w:id="266"/>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marketable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(16,380,363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(14,878,875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67" w:name="xdx_40F_eus-gaap--ProceedsFromSaleAndMat"/>
            <w:bookmarkEnd w:id="267"/>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maturities of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23,267,895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68" w:name="xdx_403_eus-gaap--PaymentsToAcquirePrope"/>
            <w:bookmarkEnd w:id="268"/>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fixed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69" w:name="xdx_405_eus-gaap--NetCashProvidedByUsedI"/>
            <w:bookmarkEnd w:id="269"/>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in)/produced by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6,883,064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(14,892,666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0" w:name="xdx_400_eus-gaap--NetCashProvidedByUsedI"/>
            <w:bookmarkEnd w:id="270"/>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1" w:name="xdx_401_eus-gaap--ProceedsFromIssuanceOr"/>
            <w:bookmarkEnd w:id="271"/>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ATM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2" w:name="xdx_400_eus-gaap--NetCashProvidedByUsedI"/>
            <w:bookmarkEnd w:id="272"/>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273" w:name="xdx_40D_eus-gaap--EffectOfExchangeRateOn"/>
            <w:bookmarkEnd w:id="273"/>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4" w:name="xdx_407_eus-gaap--CashCashEquivalentsRes"/>
            <w:bookmarkEnd w:id="274"/>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890,329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(26,103,436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(7,445,306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275" w:name="xdx_401_eus-gaap--CashCashEquivalentsRes"/>
            <w:bookmarkEnd w:id="275"/>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3,691,420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29,794,856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37,240,162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276" w:name="xdx_40B_eus-gaap--CashCashEquivalentsRes"/>
            <w:bookmarkEnd w:id="276"/>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4,581,749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3,691,420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29,794,856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277" w:name="a_006"/>
      <w:bookmarkEnd w:id="277"/>
      <w:r>
        <w:rPr>
          <w:rFonts w:ascii="Times New Roman;Times;Serif" w:hAnsi="Times New Roman;Times;Serif"/>
          <w:b/>
          <w:i/>
          <w:caps w:val="false"/>
          <w:smallCaps w:val="false"/>
          <w:sz w:val="20"/>
        </w:rPr>
        <w:t>Genenta Science S.p.A.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0" w:right="0" w:hanging="172"/>
        <w:jc w:val="both"/>
        <w:rPr>
          <w:rFonts w:ascii="Times New Roman;Times;Serif" w:hAnsi="Times New Roman;Times;Serif"/>
          <w:b w:val="false"/>
          <w:i w:val="false"/>
          <w:caps w:val="false"/>
          <w:smallCaps w:val="false"/>
          <w:sz w:val="20"/>
        </w:rPr>
      </w:pPr>
      <w:bookmarkStart w:id="278" w:name="xdx_80D_eus-gaap--NatureOfOperations_zmx"/>
      <w:bookmarkEnd w:id="278"/>
      <w:r>
        <w:rPr>
          <w:rFonts w:ascii="Times New Roman;Times;Serif" w:hAnsi="Times New Roman;Times;Serif"/>
          <w:b w:val="false"/>
          <w:i w:val="false"/>
          <w:caps w:val="false"/>
          <w:smallCaps w:val="false"/>
          <w:sz w:val="20"/>
        </w:rPr>
        <w:t xml:space="preserve">1. </w:t>
      </w:r>
      <w:bookmarkStart w:id="279" w:name="xdx_82C_zhfX3ByApMcf"/>
      <w:bookmarkEnd w:id="279"/>
      <w:r>
        <w:rPr>
          <w:rFonts w:ascii="Times New Roman;Times;Serif" w:hAnsi="Times New Roman;Times;Serif"/>
          <w:b/>
          <w:i w:val="false"/>
          <w:caps w:val="false"/>
          <w:smallCaps w:val="false"/>
          <w:sz w:val="20"/>
        </w:rPr>
        <w:t>Nature of business and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S.p.A. (the “Company” or “Genenta”) was founded in Milan, Italy by San Raffaele Hospital (“OSR”), Pierluigi Paracchi, Luigi Naldini, and Bernhard Gentner, and was incorporated in July 2014. The registered office (or headquarters) is located in Milan, Italy. The Company’s reporting currency is Euros (“EUR” or “€”). The Company formed a wholly owned, Delaware incorporated subsidiary, Genenta Science, Inc., intended for future operations in the U.S. (“U.S. Subsidiary”). The U.S. Subsidiary operates in U.S. Dollars (“USD” 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stock has been publicly traded on The NASDAQ Capital Market since December 15,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is an early-stage company developing first-in-class cell and gene therapies to address unmet medical needs in cancerous solid tumors. The Company is initially developing its clinical leading product, Temferon™, to treat glioblastoma multiforme (“GBM”), a solid tumor affecting the brain. The Company intends to continue its clinical trials in Italy and eventually start a clinical trial in Europe and the U.S. to study Temferon™ in other cancers. In June 2023, the Company’s Board of Directors selected metastatic Renal Cell Cancer (“mRCC”) as the second solid tumor indication for Temferon. The Company is currently enrolling patients for a Phase 1 trial in mRCC. The Company has recently completed its Phase 1 trial in GBM and its Phase 2a trial in GBM is ongoing.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before commercialization. These efforts require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Company’s stockholders reduced the number of directors from seven (7) to five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losses since its inception, including a net loss of €</w:t>
      </w:r>
      <w:bookmarkStart w:id="280" w:name="xdx_908_eus-gaap--NetIncomeLoss_iN_pn5n6"/>
      <w:bookmarkEnd w:id="280"/>
      <w:r>
        <w:rPr>
          <w:rFonts w:ascii="Times New Roman;Times;Serif" w:hAnsi="Times New Roman;Times;Serif"/>
          <w:b w:val="false"/>
          <w:i w:val="false"/>
          <w:caps w:val="false"/>
          <w:smallCaps w:val="false"/>
          <w:sz w:val="20"/>
        </w:rPr>
        <w:t>8.9 million, €</w:t>
      </w:r>
      <w:bookmarkStart w:id="281" w:name="xdx_90D_eus-gaap--NetIncomeLoss_iN_pn5n6"/>
      <w:bookmarkEnd w:id="281"/>
      <w:r>
        <w:rPr>
          <w:rFonts w:ascii="Times New Roman;Times;Serif" w:hAnsi="Times New Roman;Times;Serif"/>
          <w:b w:val="false"/>
          <w:i w:val="false"/>
          <w:caps w:val="false"/>
          <w:smallCaps w:val="false"/>
          <w:sz w:val="20"/>
        </w:rPr>
        <w:t>11.6 million, and €</w:t>
      </w:r>
      <w:bookmarkStart w:id="282" w:name="xdx_90C_eus-gaap--NetIncomeLoss_iN_pn5n6"/>
      <w:bookmarkEnd w:id="282"/>
      <w:r>
        <w:rPr>
          <w:rFonts w:ascii="Times New Roman;Times;Serif" w:hAnsi="Times New Roman;Times;Serif"/>
          <w:b w:val="false"/>
          <w:i w:val="false"/>
          <w:caps w:val="false"/>
          <w:smallCaps w:val="false"/>
          <w:sz w:val="20"/>
        </w:rPr>
        <w:t>8.5 million for the years ended December 31, 2024, December 31, 2023, and December 31, 2022, respectively. In addition, as of December 31, 2024, the Company had an accumulated deficit of €</w:t>
      </w:r>
      <w:bookmarkStart w:id="283" w:name="xdx_90A_eus-gaap--RetainedEarningsAccumu"/>
      <w:bookmarkEnd w:id="283"/>
      <w:r>
        <w:rPr>
          <w:rFonts w:ascii="Times New Roman;Times;Serif" w:hAnsi="Times New Roman;Times;Serif"/>
          <w:b w:val="false"/>
          <w:i w:val="false"/>
          <w:caps w:val="false"/>
          <w:smallCaps w:val="false"/>
          <w:sz w:val="20"/>
        </w:rPr>
        <w:t>56.1 million. The Company has primarily funded these losses through the proceeds from sales of convertible debt and equity. Although the Company has incurred recurring losses and expects to continue to incur losses for the foreseeable future, the Company expects that its existing cash and cash equivalents and marketable securities on hand as of December 31, 2024 of €</w:t>
      </w:r>
      <w:bookmarkStart w:id="284" w:name="xdx_902_eus-gaap--CashCashEquivalentsAnd"/>
      <w:bookmarkEnd w:id="284"/>
      <w:r>
        <w:rPr>
          <w:rFonts w:ascii="Times New Roman;Times;Serif" w:hAnsi="Times New Roman;Times;Serif"/>
          <w:b w:val="false"/>
          <w:i w:val="false"/>
          <w:caps w:val="false"/>
          <w:smallCaps w:val="false"/>
          <w:sz w:val="20"/>
        </w:rPr>
        <w:t>12.7 million, will be sufficient to fund current planned operations and capital expenditure requirements for at least the next twelve months from the filing date of these consolidated financial statements. However,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whether there are conditions and events considered in the aggregate that raise substantial doubt about the Company’s ability to continue as a going concern. The Company’s business model, typical of biotechnology companies developing new therapeutic products that have not reached a balanced income and financial position, features negative cash flows. This is because,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require additional capital to meet its long-term operating requirements. It expects to raise additional capital through, among other things, the sale of equity or debt securities, which may include sales of ADSs pursuant to the Sales Agreement (as defined below).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patrimonial and /or financial situation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raise additional capital may be adversely impacted by the potential worsening of global economic and political conditions and volatility in the credit and financial markets in the U.S. and worldwide. This could be exacerbated by, among other factors, inflation, fluctuating interest rates, tariffs and geopolitical conflicts. The Company’s failure to raise capital as and when needed or on acceptable terms could have a negative impact on the Company’s financial condition and its ability to pursue its business strategy and the Company may have to delay, reduce the scope of, suspend or eliminate one or more of its research-stage programs, clinical trials, or future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Shelf Registration Statement and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2023, the Company filed with the Securities and Exchange Commission (the “SEC”) a shelf registration statement on Form F-3 that was subsequently declared effective on May 24, 2023 (the “Shelf Registration Statement”). The Shelf Registration Statement permits the Company to sell from time-to-time ordinary shares, including ordinary shares represented by ADSs, or rights to subscribe for ordinary shares or ordinary shares represented by ADSs in one or more offerings in amounts, at prices, and on the terms that the Company will determine at the time of offering for aggregate gross sale proceeds of up to $</w:t>
      </w:r>
      <w:bookmarkStart w:id="285" w:name="xdx_90D_eus-gaap--ProceedsFromIssuanceOr"/>
      <w:bookmarkEnd w:id="285"/>
      <w:r>
        <w:rPr>
          <w:rFonts w:ascii="Times New Roman;Times;Serif" w:hAnsi="Times New Roman;Times;Serif"/>
          <w:b w:val="false"/>
          <w:i w:val="false"/>
          <w:caps w:val="false"/>
          <w:smallCaps w:val="false"/>
          <w:sz w:val="20"/>
        </w:rPr>
        <w:t>100.0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the Company issued </w:t>
      </w:r>
      <w:bookmarkStart w:id="286" w:name="xdx_900_eus-gaap--SharesIssued_iI_c20230"/>
      <w:bookmarkEnd w:id="286"/>
      <w:r>
        <w:rPr>
          <w:rFonts w:ascii="Times New Roman;Times;Serif" w:hAnsi="Times New Roman;Times;Serif"/>
          <w:b w:val="false"/>
          <w:i w:val="false"/>
          <w:caps w:val="false"/>
          <w:smallCaps w:val="false"/>
          <w:sz w:val="20"/>
        </w:rPr>
        <w:t>100 ADSs for gross proceeds of €</w:t>
      </w:r>
      <w:bookmarkStart w:id="287" w:name="xdx_90F_eus-gaap--ProceedsFromIssuanceOr"/>
      <w:bookmarkEnd w:id="287"/>
      <w:r>
        <w:rPr>
          <w:rFonts w:ascii="Times New Roman;Times;Serif" w:hAnsi="Times New Roman;Times;Serif"/>
          <w:b w:val="false"/>
          <w:i w:val="false"/>
          <w:caps w:val="false"/>
          <w:smallCaps w:val="false"/>
          <w:sz w:val="20"/>
        </w:rPr>
        <w:t>531 (or $</w:t>
      </w:r>
      <w:bookmarkStart w:id="288" w:name="xdx_90F_eus-gaap--ProceedsFromIssuanceOr"/>
      <w:bookmarkEnd w:id="288"/>
      <w:r>
        <w:rPr>
          <w:rFonts w:ascii="Times New Roman;Times;Serif" w:hAnsi="Times New Roman;Times;Serif"/>
          <w:b w:val="false"/>
          <w:i w:val="false"/>
          <w:caps w:val="false"/>
          <w:smallCaps w:val="false"/>
          <w:sz w:val="20"/>
        </w:rPr>
        <w:t xml:space="preserve">582), increasing the total number of shares outstanding to </w:t>
      </w:r>
      <w:bookmarkStart w:id="289" w:name="xdx_904_eus-gaap--SharesOutstanding_iI_c"/>
      <w:bookmarkEnd w:id="289"/>
      <w:r>
        <w:rPr>
          <w:rFonts w:ascii="Times New Roman;Times;Serif" w:hAnsi="Times New Roman;Times;Serif"/>
          <w:b w:val="false"/>
          <w:i w:val="false"/>
          <w:caps w:val="false"/>
          <w:smallCaps w:val="false"/>
          <w:sz w:val="20"/>
        </w:rPr>
        <w:t>18,216,958, pursuant to a Controlled Equity Offering Sales Agreement, dated May 12, 2023 (the “Sales Agreement”), between the Company and Cantor Fitzgerald &amp; Co. (“Cantor”), as agent, subject to the terms and conditions described in the Sales Agreement and SEC rules and regulations (the “ATM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Company issued </w:t>
      </w:r>
      <w:bookmarkStart w:id="290" w:name="xdx_903_eus-gaap--SharesIssued_iI_c20240"/>
      <w:bookmarkEnd w:id="290"/>
      <w:r>
        <w:rPr>
          <w:rFonts w:ascii="Times New Roman;Times;Serif" w:hAnsi="Times New Roman;Times;Serif"/>
          <w:b w:val="false"/>
          <w:i w:val="false"/>
          <w:caps w:val="false"/>
          <w:smallCaps w:val="false"/>
          <w:sz w:val="20"/>
        </w:rPr>
        <w:t>72,908 ADSs for net proceeds of approximately €</w:t>
      </w:r>
      <w:bookmarkStart w:id="291" w:name="xdx_901_eus-gaap--ProceedsFromIssuanceOr"/>
      <w:bookmarkEnd w:id="291"/>
      <w:r>
        <w:rPr>
          <w:rFonts w:ascii="Times New Roman;Times;Serif" w:hAnsi="Times New Roman;Times;Serif"/>
          <w:b w:val="false"/>
          <w:i w:val="false"/>
          <w:caps w:val="false"/>
          <w:smallCaps w:val="false"/>
          <w:sz w:val="20"/>
        </w:rPr>
        <w:t>271,000 (or approximately $</w:t>
      </w:r>
      <w:bookmarkStart w:id="292" w:name="xdx_90D_eus-gaap--ProceedsFromIssuanceOr"/>
      <w:bookmarkEnd w:id="292"/>
      <w:r>
        <w:rPr>
          <w:rFonts w:ascii="Times New Roman;Times;Serif" w:hAnsi="Times New Roman;Times;Serif"/>
          <w:b w:val="false"/>
          <w:i w:val="false"/>
          <w:caps w:val="false"/>
          <w:smallCaps w:val="false"/>
          <w:sz w:val="20"/>
        </w:rPr>
        <w:t xml:space="preserve">293,000), bringing the total number of ordinary shares outstanding to </w:t>
      </w:r>
      <w:bookmarkStart w:id="293" w:name="xdx_90C_eus-gaap--SharesOutstanding_iI_c"/>
      <w:bookmarkEnd w:id="293"/>
      <w:r>
        <w:rPr>
          <w:rFonts w:ascii="Times New Roman;Times;Serif" w:hAnsi="Times New Roman;Times;Serif"/>
          <w:b w:val="false"/>
          <w:i w:val="false"/>
          <w:caps w:val="false"/>
          <w:smallCaps w:val="false"/>
          <w:sz w:val="20"/>
        </w:rPr>
        <w:t>18,289,866, pursuant to the Sales Agreement. On March 28, 2024, the Company and Cantor mutually agreed to terminate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2024, the Company entered into an ATM Sales Agreement (the “Original Sales Agreement”) with Capital One Securities, Inc. and Virtu Americas LLC (the “Sales Agents”), pursuant to which the Company may offer and sell ADSs, for an aggregate offering price of up to $</w:t>
      </w:r>
      <w:bookmarkStart w:id="294" w:name="xdx_909_eus-gaap--StockIssuedDuringPerio"/>
      <w:bookmarkEnd w:id="294"/>
      <w:r>
        <w:rPr>
          <w:rFonts w:ascii="Times New Roman;Times;Serif" w:hAnsi="Times New Roman;Times;Serif"/>
          <w:b w:val="false"/>
          <w:i w:val="false"/>
          <w:caps w:val="false"/>
          <w:smallCaps w:val="false"/>
          <w:sz w:val="20"/>
        </w:rPr>
        <w:t>16,362,816 from time to time through or to the Sales Agents, acting as sales agents or principals, subject to the terms and conditions described in the Original Sales Agreement and SEC rules and regulations (the “Original 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Company’s shareholders approved an amendment of article 9 of the Company’s Bylaws, increasing voting rights to certain stockholders by introducing a mechanism whereby each ordinary share owned by either an entity or an individual for a continuous period of not less than twenty-four months entitles the holder to a double vote and therefore to an increase from one to two votes per share. In addition, a further vote is attributed at the end of each twelve-months, following the first vesting period of twenty-four months, in which the ordinary share belonged to the same entity or individual, up to a total maximum of 10 votes per ordinary share. The amendment applies to only ordinary shares, not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the Company entered into an amendment to the Original Sales Agreement (the “Sales Agreement Amendment” and the Original Sales Agreement, as amended by the Sales Agreement Amendment, the “Sales Agreement”) to replace Capital One Securities with Rodman &amp; Renshaw LLC (“Rodman &amp; Renshaw” and, together with Virtu, each a “Sales Agent” and, collectively, the “Sales Agents”) as a Sales Agent and party to the Original Sales Agreement. The Sales Agreement provides to: (i) increase the aggregate dollar amount of ADSs that the Company may sell pursuant to the Sales Agreement; and, (ii) replace Capital One Securities with Rodman &amp; Renshaw as a Sales Agent under the Sales Agreement.</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Original Sales Agreement authorized the Company to offer and sell ADSs having an aggregate offering price of up to </w:t>
      </w:r>
      <w:bookmarkStart w:id="295" w:name="xdx_90C_ecustom--SaleOfStockAggregateOff"/>
      <w:bookmarkEnd w:id="295"/>
      <w:r>
        <w:rPr>
          <w:rFonts w:ascii="Times New Roman;Times;Serif" w:hAnsi="Times New Roman;Times;Serif"/>
          <w:b w:val="false"/>
          <w:i w:val="false"/>
          <w:caps w:val="false"/>
          <w:smallCaps w:val="false"/>
          <w:sz w:val="20"/>
        </w:rPr>
        <w:t>$16,362,816. As of December 20, 2024, the Company sold ADSs pursuant to the Sales Agreement for gross proceeds of €</w:t>
      </w:r>
      <w:bookmarkStart w:id="296" w:name="xdx_90E_eus-gaap--ProceedsFromIssuanceOr"/>
      <w:bookmarkEnd w:id="296"/>
      <w:r>
        <w:rPr>
          <w:rFonts w:ascii="Times New Roman;Times;Serif" w:hAnsi="Times New Roman;Times;Serif"/>
          <w:b w:val="false"/>
          <w:i w:val="false"/>
          <w:caps w:val="false"/>
          <w:smallCaps w:val="false"/>
          <w:sz w:val="20"/>
        </w:rPr>
        <w:t>271,416 (or $</w:t>
      </w:r>
      <w:bookmarkStart w:id="297" w:name="xdx_90A_eus-gaap--ProceedsFromIssuanceOr"/>
      <w:bookmarkEnd w:id="297"/>
      <w:r>
        <w:rPr>
          <w:rFonts w:ascii="Times New Roman;Times;Serif" w:hAnsi="Times New Roman;Times;Serif"/>
          <w:b w:val="false"/>
          <w:i w:val="false"/>
          <w:caps w:val="false"/>
          <w:smallCaps w:val="false"/>
          <w:sz w:val="20"/>
        </w:rPr>
        <w:t>303,001). The Sales Agreement Amendment increased the dollar amount of ADSs available to be sold from time-to-time under the Sales Agreement to $</w:t>
      </w:r>
      <w:bookmarkStart w:id="298" w:name="xdx_907_ecustom--SaleOfStockValueOfShare"/>
      <w:bookmarkEnd w:id="298"/>
      <w:r>
        <w:rPr>
          <w:rFonts w:ascii="Times New Roman;Times;Serif" w:hAnsi="Times New Roman;Times;Serif"/>
          <w:b w:val="false"/>
          <w:i w:val="false"/>
          <w:caps w:val="false"/>
          <w:smallCaps w:val="false"/>
          <w:sz w:val="20"/>
        </w:rPr>
        <w:t>29,696,999, which consists of $</w:t>
      </w:r>
      <w:bookmarkStart w:id="299" w:name="xdx_905_ecustom--SaleOfStockRemainingVal"/>
      <w:bookmarkEnd w:id="299"/>
      <w:r>
        <w:rPr>
          <w:rFonts w:ascii="Times New Roman;Times;Serif" w:hAnsi="Times New Roman;Times;Serif"/>
          <w:b w:val="false"/>
          <w:i w:val="false"/>
          <w:caps w:val="false"/>
          <w:smallCaps w:val="false"/>
          <w:sz w:val="20"/>
        </w:rPr>
        <w:t>16,059,815 remaining as originally authorized under the Original Sales Agreement and an additional $</w:t>
      </w:r>
      <w:bookmarkStart w:id="300" w:name="xdx_90E_ecustom--SaleOfStockAdditionalVa"/>
      <w:bookmarkEnd w:id="300"/>
      <w:r>
        <w:rPr>
          <w:rFonts w:ascii="Times New Roman;Times;Serif" w:hAnsi="Times New Roman;Times;Serif"/>
          <w:b w:val="false"/>
          <w:i w:val="false"/>
          <w:caps w:val="false"/>
          <w:smallCaps w:val="false"/>
          <w:sz w:val="20"/>
        </w:rPr>
        <w:t>13,637,184, from December 20,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ADSs, under the Sales Agreement, may be made by any method that is deemed to be an “at the market offering” as defined in Rule 415(a)(4) under the Securities Act of 1933, as amended (the “Securities Act”). The Sales Agents are not required to sell any specific number or dollar amount of ADSs but will act as our sales agents and use commercially reasonable efforts consistent with their normal trading and sales practices, on mutually agreed terms between the Sales Agents and the Company.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Sales Agents will receive from the Company a commission of up to </w:t>
      </w:r>
      <w:bookmarkStart w:id="301" w:name="xdx_908_ecustom--SaleOfStockCommissionPe"/>
      <w:bookmarkEnd w:id="301"/>
      <w:r>
        <w:rPr>
          <w:rFonts w:ascii="Times New Roman;Times;Serif" w:hAnsi="Times New Roman;Times;Serif"/>
          <w:b w:val="false"/>
          <w:i w:val="false"/>
          <w:caps w:val="false"/>
          <w:smallCaps w:val="false"/>
          <w:sz w:val="20"/>
        </w:rPr>
        <w:t>3.0% of the gross proceeds of any ADSs sold through them under the Sales Agreement. In connection with the sale of ADSs on behalf of the Company, each of the Sales Agents will be deemed to be an “underwriter” within the meaning of the Securities Act and the compensation of the Sales Agents may be deemed to be underwriting commissions or discounts. The Company has also agreed to provide indemnification and contribution to the Sales Agents with respect to certain liabilities, including liabilities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market risks in the ordinary course of its business. Market risk represents the risk of loss that may impact the Company’s financial position due to adverse changes in financial market prices and rates. The Company’s current investment policy is conservative due to the need to support operations. The Company maintains bank accounts with reputable banks and financial institutions and invests available cash in Italian and U.S. government bonds and treasury notes with short-term maturities and a minimum credit rating of “BBB”. A minority of the Company’s cash and cash equivalents and marketable securities are held in deposits that bear a small amount of interest. The Company’s market risk exposure is primarily a result of foreign currency exchange rates, which is discussed in detail in the following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early-stage cell and gene therapy company commercializing technology licensed from OSR. The Company intends to continue to conduct its operations so that neither it nor its subsidiary is required to register as an investment company under the Investment Company Act of 1940, as amended, and the rules and regulations promulgated thereunder (the “40 Act”). To ensure that the Company does not become subject to regulation under the ‘40 Act, the Company may be limited in the type of assets that it may own or acquire. If the Company were to become inadvertently subject to the ‘40 Act, any violation of the ‘40 Act could subject the Company to material adverse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results of operations and cash flow may be subject to fluctuations due to changes in foreign currency exchange rates. The Company’s liquid assets and expenses are denominated in EUR and USD. At December 31, 2024, the Company maintained €</w:t>
      </w:r>
      <w:bookmarkStart w:id="302" w:name="xdx_907_eus-gaap--CashAndCashEquivalents"/>
      <w:bookmarkEnd w:id="302"/>
      <w:r>
        <w:rPr>
          <w:rFonts w:ascii="Times New Roman;Times;Serif" w:hAnsi="Times New Roman;Times;Serif"/>
          <w:b w:val="false"/>
          <w:i w:val="false"/>
          <w:caps w:val="false"/>
          <w:smallCaps w:val="false"/>
          <w:sz w:val="20"/>
        </w:rPr>
        <w:t>4.6 million in cash and cash equivalents and €</w:t>
      </w:r>
      <w:bookmarkStart w:id="303" w:name="xdx_90B_eus-gaap--MarketableSecurities_i"/>
      <w:bookmarkEnd w:id="303"/>
      <w:r>
        <w:rPr>
          <w:rFonts w:ascii="Times New Roman;Times;Serif" w:hAnsi="Times New Roman;Times;Serif"/>
          <w:b w:val="false"/>
          <w:i w:val="false"/>
          <w:caps w:val="false"/>
          <w:smallCaps w:val="false"/>
          <w:sz w:val="20"/>
        </w:rPr>
        <w:t>8.1 million in marketable securities. Changes in the USD/EUR exchange rate could increase/decrease the Company’s operating expenses, especially as more costs are incurred in the U.S. or, as USD are exchanged for EUR to cover European operating costs. As the Company continues to grow its business, the Company’s results of operations and cash flows might be subject to significant fluctuations due to changes in foreign currency exchange rates, which could adversely impact the Company’s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Company has recorded an unrealized net gain from exchange rates of approximately €</w:t>
      </w:r>
      <w:bookmarkStart w:id="304" w:name="xdx_90A_eus-gaap--ForeignCurrencyTransac"/>
      <w:bookmarkEnd w:id="304"/>
      <w:r>
        <w:rPr>
          <w:rFonts w:ascii="Times New Roman;Times;Serif" w:hAnsi="Times New Roman;Times;Serif"/>
          <w:b w:val="false"/>
          <w:i w:val="false"/>
          <w:caps w:val="false"/>
          <w:smallCaps w:val="false"/>
          <w:sz w:val="20"/>
        </w:rPr>
        <w:t>0.2 million. The Company does not currently hedge its foreign currency exchange risk. In the future, the Company may enter formal currency hedging transactions to decrease the risk of financial exposure from fluctuations in the exchange rates of its principal operating currencies. These measures, however, may not adequately protect the Company from the material adverse effects of such fluctuations.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5" w:name="xdx_80A_eus-gaap--SignificantAccountingP"/>
      <w:bookmarkEnd w:id="305"/>
      <w:r>
        <w:rPr>
          <w:rFonts w:ascii="Times New Roman;Times;Serif" w:hAnsi="Times New Roman;Times;Serif"/>
          <w:b/>
          <w:i w:val="false"/>
          <w:caps w:val="false"/>
          <w:smallCaps w:val="false"/>
          <w:sz w:val="20"/>
        </w:rPr>
        <w:t xml:space="preserve">2. </w:t>
      </w:r>
      <w:bookmarkStart w:id="306" w:name="xdx_823_z6BXHvyNRHP8"/>
      <w:bookmarkEnd w:id="306"/>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7" w:name="xdx_861_zHtvUYo7Xl6h"/>
      <w:bookmarkStart w:id="308" w:name="xdx_84D_eus-gaap--BasisOfAccountingPolic"/>
      <w:bookmarkEnd w:id="307"/>
      <w:bookmarkEnd w:id="308"/>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for consolidated financial information and with the instructions to Form 20-F and Article 10 of Regulation S-X promulgated by the Securities and Exchange Commission (“SEC”). Any reference in these notes to applicable guidance is meant to refer to the authoritative US GAAP guidance as found in the Accounting Standards Codification (“ASC”) and Accounting Standards Update (“ASU”) of the Financial Accounting Standards Board (“FASB”)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significant accounting policies applied in the preparation of these consolidated financial statements is presented below, only for the categories and headings now applicable and that might be applicable in the future based on the Company’s business. These policies have been consistently applied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9" w:name="xdx_861_z7EbqR40mNq1"/>
      <w:bookmarkStart w:id="310" w:name="xdx_844_eus-gaap--ConsolidationPolicyTex"/>
      <w:bookmarkEnd w:id="309"/>
      <w:bookmarkEnd w:id="310"/>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wholly owned subsidiary. All significant intercompany accounts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1" w:name="xdx_86A_zPYkPRnuw4h4"/>
      <w:bookmarkStart w:id="312" w:name="xdx_84D_eus-gaap--UseOfEstimates_zDGDnXG"/>
      <w:bookmarkEnd w:id="311"/>
      <w:bookmarkEnd w:id="312"/>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that affect the reported amounts reported in the consolidated financial statements and the disclosures made in the accompanying notes. Estimates and assumptions reflected in these consolidated financial statements include but are not limited to, the accrual for research and development expenses and related milestone payments, share-based compensation expense, valuation of Research &amp; Development (“R&amp;D”)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consolidated financial statements are disclosed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3" w:name="xdx_86B_zRKRZQdJSk9f"/>
      <w:bookmarkStart w:id="314" w:name="xdx_84A_eus-gaap--CashAndCashEquivalents"/>
      <w:bookmarkEnd w:id="313"/>
      <w:bookmarkEnd w:id="314"/>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original maturities of 90 days or less at acquisition to be cash equivalents, which amounts may at times exceed insured limits. The Company has not experienced any losses on such accounts and does not believe it is exposed to any significant credit risk. In the consolidated Cash Flow Statements, cash and cash equivalents include: cash on hand, deposits held with banks, and other short-term highly liquid investments. In the consolidated balance sheets, bank overdrafts, if any, are shown in current liabilities. Cash and cash equivalents are detailed as follows:</w:t>
      </w:r>
    </w:p>
    <w:p>
      <w:pPr>
        <w:pStyle w:val="TextBody"/>
        <w:bidi w:val="0"/>
        <w:spacing w:before="0" w:after="0"/>
        <w:ind w:left="0" w:right="0" w:hanging="0"/>
        <w:jc w:val="left"/>
        <w:rPr>
          <w:caps w:val="false"/>
          <w:smallCaps w:val="false"/>
        </w:rPr>
      </w:pPr>
      <w:bookmarkStart w:id="315" w:name="xdx_894_eus-gaap--ScheduleOfCashAndCashE"/>
      <w:bookmarkEnd w:id="315"/>
      <w:r>
        <w:rPr>
          <w:caps w:val="false"/>
          <w:smallCaps w:val="false"/>
        </w:rPr>
        <w:t> </w:t>
      </w:r>
      <w:bookmarkStart w:id="316" w:name="xdx_8B8_z3pFQMlLCJkc"/>
      <w:bookmarkEnd w:id="316"/>
      <w:r>
        <w:rPr>
          <w:rFonts w:ascii="Times New Roman;Times;Serif" w:hAnsi="Times New Roman;Times;Serif"/>
          <w:b w:val="false"/>
          <w:i w:val="false"/>
          <w:caps w:val="false"/>
          <w:smallCaps w:val="false"/>
          <w:sz w:val="20"/>
        </w:rPr>
        <w:t>Schedule of cash and cash equivalents</w:t>
      </w:r>
    </w:p>
    <w:tbl>
      <w:tblPr>
        <w:tblW w:w="6710" w:type="dxa"/>
        <w:jc w:val="left"/>
        <w:tblInd w:w="0" w:type="dxa"/>
        <w:tblLayout w:type="fixed"/>
        <w:tblCellMar>
          <w:top w:w="0" w:type="dxa"/>
          <w:left w:w="0" w:type="dxa"/>
          <w:bottom w:w="0" w:type="dxa"/>
          <w:right w:w="0" w:type="dxa"/>
        </w:tblCellMar>
      </w:tblPr>
      <w:tblGrid>
        <w:gridCol w:w="3275"/>
        <w:gridCol w:w="60"/>
        <w:gridCol w:w="140"/>
        <w:gridCol w:w="845"/>
        <w:gridCol w:w="60"/>
        <w:gridCol w:w="60"/>
        <w:gridCol w:w="140"/>
        <w:gridCol w:w="845"/>
        <w:gridCol w:w="60"/>
        <w:gridCol w:w="60"/>
        <w:gridCol w:w="140"/>
        <w:gridCol w:w="950"/>
        <w:gridCol w:w="75"/>
      </w:tblGrid>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17" w:name="xdx_498_20241231_zKToqm8gLJC8"/>
            <w:bookmarkEnd w:id="317"/>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18" w:name="xdx_49D_20231231_zLtPR56PMxp5"/>
            <w:bookmarkEnd w:id="318"/>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bookmarkStart w:id="319" w:name="xdx_49E_20221231_z5p8AbhfsBJ8"/>
            <w:bookmarkEnd w:id="319"/>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00" w:type="dxa"/>
            <w:gridSpan w:val="1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w:t>
            </w:r>
          </w:p>
        </w:tc>
        <w:tc>
          <w:tcPr>
            <w:tcW w:w="75" w:type="dxa"/>
            <w:tcBorders/>
            <w:vAlign w:val="center"/>
          </w:tcPr>
          <w:p>
            <w:pPr>
              <w:pStyle w:val="TableContents"/>
              <w:bidi w:val="0"/>
              <w:spacing w:before="0" w:after="283"/>
              <w:jc w:val="left"/>
              <w:rPr>
                <w:caps w:val="false"/>
                <w:smallCaps w:val="false"/>
              </w:rPr>
            </w:pPr>
            <w:r>
              <w:rPr>
                <w:caps w:val="false"/>
                <w:smallCaps w:val="false"/>
              </w:rPr>
              <w:t> </w:t>
            </w:r>
            <w:bookmarkStart w:id="320" w:name="xdx_40D_eus-gaap--DueFromBanks_iI_uEuro_"/>
            <w:bookmarkEnd w:id="320"/>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 bank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2,530,549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3,687,402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29,790,838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1" w:name="xdx_402_ecustom--CashInShorttermMarketab"/>
            <w:bookmarkEnd w:id="321"/>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 short-term marketable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322" w:name="xdx_400_eus-gaap--Cash_iI_uEuro_maCACEAz"/>
            <w:bookmarkEnd w:id="322"/>
          </w:p>
        </w:tc>
      </w:tr>
      <w:tr>
        <w:trPr/>
        <w:tc>
          <w:tcPr>
            <w:tcW w:w="3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 hand &amp; prepaid cards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23" w:name="xdx_409_eus-gaap--CashAndCashEquivalents"/>
            <w:bookmarkEnd w:id="323"/>
          </w:p>
        </w:tc>
      </w:tr>
      <w:tr>
        <w:trPr/>
        <w:tc>
          <w:tcPr>
            <w:tcW w:w="3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4,581,749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3,691,420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29,794,856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bookmarkStart w:id="324" w:name="xdx_8AB_zkflA0XK1X3b"/>
      <w:bookmarkEnd w:id="32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5" w:name="xdx_86C_zKwv8jaH7ATb"/>
      <w:bookmarkStart w:id="326" w:name="xdx_84D_eus-gaap--MarketableSecuritiesPo"/>
      <w:bookmarkEnd w:id="325"/>
      <w:bookmarkEnd w:id="326"/>
      <w:r>
        <w:rPr>
          <w:rFonts w:ascii="Times New Roman;Times;Serif" w:hAnsi="Times New Roman;Times;Serif"/>
          <w:b/>
          <w:i/>
          <w:caps w:val="false"/>
          <w:smallCaps w:val="false"/>
          <w:sz w:val="20"/>
        </w:rPr>
        <w:t>Marketable securities</w:t>
      </w:r>
    </w:p>
    <w:p>
      <w:pPr>
        <w:pStyle w:val="TextBody"/>
        <w:bidi w:val="0"/>
        <w:spacing w:before="0" w:after="0"/>
        <w:ind w:left="0" w:right="0" w:hanging="0"/>
        <w:jc w:val="left"/>
        <w:rPr>
          <w:caps w:val="false"/>
          <w:smallCaps w:val="false"/>
        </w:rPr>
      </w:pPr>
      <w:bookmarkStart w:id="327" w:name="xdx_891_eus-gaap--MarketableSecuritiesTe"/>
      <w:bookmarkEnd w:id="327"/>
      <w:r>
        <w:rPr>
          <w:caps w:val="false"/>
          <w:smallCaps w:val="false"/>
        </w:rPr>
        <w:t> </w:t>
      </w:r>
      <w:bookmarkStart w:id="328" w:name="xdx_8BC_z8Oi1b5F4Shf"/>
      <w:bookmarkEnd w:id="328"/>
      <w:r>
        <w:rPr>
          <w:rFonts w:ascii="Times New Roman;Times;Serif" w:hAnsi="Times New Roman;Times;Serif"/>
          <w:b/>
          <w:i w:val="false"/>
          <w:caps w:val="false"/>
          <w:smallCaps w:val="false"/>
          <w:sz w:val="20"/>
        </w:rPr>
        <w:t>Schedule of Marketable securities</w:t>
      </w:r>
    </w:p>
    <w:tbl>
      <w:tblPr>
        <w:tblW w:w="9537" w:type="dxa"/>
        <w:jc w:val="left"/>
        <w:tblInd w:w="0" w:type="dxa"/>
        <w:tblLayout w:type="fixed"/>
        <w:tblCellMar>
          <w:top w:w="0" w:type="dxa"/>
          <w:left w:w="0" w:type="dxa"/>
          <w:bottom w:w="0" w:type="dxa"/>
          <w:right w:w="0" w:type="dxa"/>
        </w:tblCellMar>
      </w:tblPr>
      <w:tblGrid>
        <w:gridCol w:w="2495"/>
        <w:gridCol w:w="60"/>
        <w:gridCol w:w="203"/>
        <w:gridCol w:w="1421"/>
        <w:gridCol w:w="60"/>
        <w:gridCol w:w="60"/>
        <w:gridCol w:w="140"/>
        <w:gridCol w:w="980"/>
        <w:gridCol w:w="60"/>
        <w:gridCol w:w="60"/>
        <w:gridCol w:w="400"/>
        <w:gridCol w:w="1959"/>
        <w:gridCol w:w="60"/>
        <w:gridCol w:w="60"/>
        <w:gridCol w:w="261"/>
        <w:gridCol w:w="1183"/>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9" w:name="xdx_489_eus-gaap--DebtSecuritiesAvailabl"/>
            <w:bookmarkEnd w:id="329"/>
          </w:p>
        </w:tc>
        <w:tc>
          <w:tcPr>
            <w:tcW w:w="16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0" w:name="xdx_48C_eus-gaap--DebtSecuritiesAvailabl"/>
            <w:bookmarkEnd w:id="33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1" w:name="xdx_483_eus-gaap--DebtSecuritiesAvailabl"/>
            <w:bookmarkEnd w:id="331"/>
          </w:p>
        </w:tc>
        <w:tc>
          <w:tcPr>
            <w:tcW w:w="23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Unrealized Gain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2" w:name="xdx_488_eus-gaap--DebtSecuritiesAvailabl"/>
            <w:bookmarkEnd w:id="332"/>
          </w:p>
        </w:tc>
        <w:tc>
          <w:tcPr>
            <w:tcW w:w="14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Allowance for</w:t>
            </w:r>
          </w:p>
          <w:p>
            <w:pPr>
              <w:pStyle w:val="TableContents"/>
              <w:bidi w:val="0"/>
              <w:spacing w:before="0" w:after="283"/>
              <w:jc w:val="center"/>
              <w:rPr>
                <w:rFonts w:ascii="Times New Roman;Times;Serif" w:hAnsi="Times New Roman;Times;Serif"/>
                <w:b/>
              </w:rPr>
            </w:pPr>
            <w:r>
              <w:rPr>
                <w:rFonts w:ascii="Times New Roman;Times;Serif" w:hAnsi="Times New Roman;Times;Serif"/>
                <w:b/>
              </w:rPr>
              <w:t>Credit Losses</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0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Unrealized Gain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Allowance for</w:t>
            </w:r>
          </w:p>
          <w:p>
            <w:pPr>
              <w:pStyle w:val="TableContents"/>
              <w:bidi w:val="0"/>
              <w:spacing w:before="0" w:after="283"/>
              <w:jc w:val="center"/>
              <w:rPr>
                <w:rFonts w:ascii="Times New Roman;Times;Serif" w:hAnsi="Times New Roman;Times;Serif"/>
                <w:b/>
              </w:rPr>
            </w:pPr>
            <w:r>
              <w:rPr>
                <w:rFonts w:ascii="Times New Roman;Times;Serif" w:hAnsi="Times New Roman;Times;Serif"/>
                <w:b/>
              </w:rPr>
              <w:t>Credit Losses</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33" w:name="xdx_410_20241231__us-gaap--FinancialInst"/>
            <w:bookmarkEnd w:id="333"/>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Available-for-sale (AFS)</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42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7,992,891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8,078,002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19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5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34" w:name="xdx_41C_20241231_zu1ZxJnRSehd"/>
            <w:bookmarkEnd w:id="334"/>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Debt Securities</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7,992,891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8,078,002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657" w:type="dxa"/>
        <w:jc w:val="left"/>
        <w:tblInd w:w="0" w:type="dxa"/>
        <w:tblLayout w:type="fixed"/>
        <w:tblCellMar>
          <w:top w:w="0" w:type="dxa"/>
          <w:left w:w="0" w:type="dxa"/>
          <w:bottom w:w="0" w:type="dxa"/>
          <w:right w:w="0" w:type="dxa"/>
        </w:tblCellMar>
      </w:tblPr>
      <w:tblGrid>
        <w:gridCol w:w="2495"/>
        <w:gridCol w:w="60"/>
        <w:gridCol w:w="183"/>
        <w:gridCol w:w="1441"/>
        <w:gridCol w:w="60"/>
        <w:gridCol w:w="60"/>
        <w:gridCol w:w="140"/>
        <w:gridCol w:w="1100"/>
        <w:gridCol w:w="60"/>
        <w:gridCol w:w="60"/>
        <w:gridCol w:w="350"/>
        <w:gridCol w:w="2009"/>
        <w:gridCol w:w="60"/>
        <w:gridCol w:w="60"/>
        <w:gridCol w:w="261"/>
        <w:gridCol w:w="1183"/>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5" w:name="xdx_48D_eus-gaap--DebtSecuritiesAvailabl"/>
            <w:bookmarkEnd w:id="335"/>
          </w:p>
        </w:tc>
        <w:tc>
          <w:tcPr>
            <w:tcW w:w="16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Amortized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6" w:name="xdx_483_eus-gaap--DebtSecuritiesAvailabl"/>
            <w:bookmarkEnd w:id="336"/>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7" w:name="xdx_488_eus-gaap--DebtSecuritiesAvailabl"/>
            <w:bookmarkEnd w:id="337"/>
          </w:p>
        </w:tc>
        <w:tc>
          <w:tcPr>
            <w:tcW w:w="23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Unrealized Gain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8" w:name="xdx_48F_eus-gaap--DebtSecuritiesAvailabl"/>
            <w:bookmarkEnd w:id="338"/>
          </w:p>
        </w:tc>
        <w:tc>
          <w:tcPr>
            <w:tcW w:w="14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Allowance for</w:t>
            </w:r>
          </w:p>
          <w:p>
            <w:pPr>
              <w:pStyle w:val="TableContents"/>
              <w:bidi w:val="0"/>
              <w:spacing w:before="0" w:after="283"/>
              <w:jc w:val="center"/>
              <w:rPr>
                <w:rFonts w:ascii="Times New Roman;Times;Serif" w:hAnsi="Times New Roman;Times;Serif"/>
                <w:b/>
              </w:rPr>
            </w:pPr>
            <w:r>
              <w:rPr>
                <w:rFonts w:ascii="Times New Roman;Times;Serif" w:hAnsi="Times New Roman;Times;Serif"/>
                <w:b/>
              </w:rPr>
              <w:t>Credit Losses</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2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2023</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Amortized Cost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5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Unrealized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Gain (Loss)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Allowance for</w:t>
            </w:r>
          </w:p>
          <w:p>
            <w:pPr>
              <w:pStyle w:val="TableContents"/>
              <w:bidi w:val="0"/>
              <w:spacing w:before="0" w:after="283"/>
              <w:jc w:val="center"/>
              <w:rPr>
                <w:rFonts w:ascii="Times New Roman;Times;Serif" w:hAnsi="Times New Roman;Times;Serif"/>
                <w:b/>
              </w:rPr>
            </w:pPr>
            <w:r>
              <w:rPr>
                <w:rFonts w:ascii="Times New Roman;Times;Serif" w:hAnsi="Times New Roman;Times;Serif"/>
                <w:b/>
              </w:rPr>
              <w:t>Credit Losses</w:t>
            </w:r>
          </w:p>
        </w:tc>
        <w:tc>
          <w:tcPr>
            <w:tcW w:w="75" w:type="dxa"/>
            <w:tcBorders/>
            <w:vAlign w:val="center"/>
          </w:tcPr>
          <w:p>
            <w:pPr>
              <w:pStyle w:val="TableContents"/>
              <w:bidi w:val="0"/>
              <w:spacing w:before="0" w:after="283"/>
              <w:jc w:val="center"/>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39" w:name="xdx_411_20231231__us-gaap--FinancialInst"/>
            <w:bookmarkEnd w:id="339"/>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Available-for-sale (AFS)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4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15,123,831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15,084,284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340" w:name="xdx_417_20231231_zZmImKtRHZdk"/>
            <w:bookmarkEnd w:id="340"/>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Debt Securities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15,123,831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15,084,284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214,984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1" w:name="xdx_8A2_zGI5nVubkVx4"/>
      <w:bookmarkEnd w:id="34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marketable securities in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invests available liquid assets, (i.e., not used or are expected to be needed in short/very short-term operations), in marketable securities consisting of highly rated domestic and foreign government debt securities, specifically U.S. Treasury Bills and Notes, and Italian Government Bonds. Since the Company’s intent was not to sell the securities immediately, but the Company was uncertain if the securities would be held until maturity, it was determined that debt securities were to be classified as available for sale marketable securities (“AFS”).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with a remaining maturity of greater than three (3) months at the time of purchase are classified as AFS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AFS marketable securities with a remaining maturity date greater than one year are classified as non-current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is made at fair value and change in value is made with the unrealized gains and losses included in other comprehensive income (loss) as a component of shareholders’ equity until realized. Any premium arising at purchase is amortized to the earliest call date and any discount arising at purchase is accreted to maturity. Amortization and accretion of premiums and discounts are recorded in interest income, net. Realized gains and losses on AFS debt securities are determined using the specific identification method and are included in other income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its available-for-sale debt securities under the AFS debt security impairment model in ASC 326 as of each reporting date in order to determine if a portion of any decline in fair value below carrying value recognized on its AFS debt securities is the result of a credit loss. The Company records credit losses in the Consolidated Statements of Operations and Comprehensive Loss as credit loss expense within other income (expense), net, which is limited to the difference between the fair value and the amortized cost of the security. To date, the Company has not recorded any credit losses on its AFS debt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receivable related to the Company’s AFS debt securities is presented within prepaids and other current assets on the Company’s Consolidated Balance Sheets. The Company excludes accrued interest receivable from both the fair value and the amortized cost basis of AFS debt securities for the purposes of identifying and measuring any impairment. The Company writes-off accrued interest receivable once it has determined that the asset is not realizable. Any write-offs of accrued interest receivable are recorded by reversing interest income, recognizing credit loss expense, or a combination of both. To date, the Company has not written off any accrued interest receivables associated with its marketable securities.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unrealized gain recognized during the reporting period on marketable securities still held at the report date was approximately €</w:t>
      </w:r>
      <w:bookmarkStart w:id="342" w:name="xdx_901_eus-gaap--MarketableSecuritiesUn"/>
      <w:bookmarkEnd w:id="342"/>
      <w:r>
        <w:rPr>
          <w:rFonts w:ascii="Times New Roman;Times;Serif" w:hAnsi="Times New Roman;Times;Serif"/>
          <w:b w:val="false"/>
          <w:i w:val="false"/>
          <w:caps w:val="false"/>
          <w:smallCaps w:val="false"/>
          <w:sz w:val="20"/>
        </w:rPr>
        <w:t>96,000, while there was no unrealized loss recognized during the reporting period on marketable securities still held at the report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43" w:name="xdx_867_zmnBx1ZKkHSl"/>
      <w:bookmarkStart w:id="344" w:name="xdx_84C_ecustom--NetLossAndComprehensive"/>
      <w:bookmarkEnd w:id="343"/>
      <w:bookmarkEnd w:id="344"/>
      <w:r>
        <w:rPr>
          <w:rFonts w:ascii="Times New Roman;Times;Serif" w:hAnsi="Times New Roman;Times;Serif"/>
          <w:b/>
          <w:i/>
          <w:caps w:val="false"/>
          <w:smallCaps w:val="false"/>
          <w:sz w:val="20"/>
        </w:rPr>
        <w:t>Net loss and 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is defined as the change in equity during a period from transactions and other events and circumstances from non-owner sources. ASC 220 Comprehensive Income requires that an entity records all components of comprehensive income (loss), net of their related tax effects, in its financial statements in the period in which they are recognized.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net loss was approximately €</w:t>
      </w:r>
      <w:bookmarkStart w:id="345" w:name="xdx_90D_eus-gaap--NetIncomeLoss_iN_pn5n6"/>
      <w:bookmarkEnd w:id="345"/>
      <w:r>
        <w:rPr>
          <w:rFonts w:ascii="Times New Roman;Times;Serif" w:hAnsi="Times New Roman;Times;Serif"/>
          <w:b w:val="false"/>
          <w:i w:val="false"/>
          <w:caps w:val="false"/>
          <w:smallCaps w:val="false"/>
          <w:sz w:val="20"/>
        </w:rPr>
        <w:t>8.9 million with other comprehensive loss being approximately €</w:t>
      </w:r>
      <w:bookmarkStart w:id="346" w:name="xdx_906_eus-gaap--OtherComprehensiveInco"/>
      <w:bookmarkEnd w:id="346"/>
      <w:r>
        <w:rPr>
          <w:rFonts w:ascii="Times New Roman;Times;Serif" w:hAnsi="Times New Roman;Times;Serif"/>
          <w:b w:val="false"/>
          <w:i w:val="false"/>
          <w:caps w:val="false"/>
          <w:smallCaps w:val="false"/>
          <w:sz w:val="20"/>
        </w:rPr>
        <w:t>142,196 and total comprehensive loss was approximately €</w:t>
      </w:r>
      <w:bookmarkStart w:id="347" w:name="xdx_90A_eus-gaap--ComprehensiveIncomeNet"/>
      <w:bookmarkEnd w:id="347"/>
      <w:r>
        <w:rPr>
          <w:rFonts w:ascii="Times New Roman;Times;Serif" w:hAnsi="Times New Roman;Times;Serif"/>
          <w:b w:val="false"/>
          <w:i w:val="false"/>
          <w:caps w:val="false"/>
          <w:smallCaps w:val="false"/>
          <w:sz w:val="20"/>
        </w:rPr>
        <w:t>9.1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net loss was €</w:t>
      </w:r>
      <w:bookmarkStart w:id="348" w:name="xdx_90E_eus-gaap--NetIncomeLoss_iN_pn5n6"/>
      <w:bookmarkEnd w:id="348"/>
      <w:r>
        <w:rPr>
          <w:rFonts w:ascii="Times New Roman;Times;Serif" w:hAnsi="Times New Roman;Times;Serif"/>
          <w:b w:val="false"/>
          <w:i w:val="false"/>
          <w:caps w:val="false"/>
          <w:smallCaps w:val="false"/>
          <w:sz w:val="20"/>
        </w:rPr>
        <w:t>11.6 million with other comprehensive income being approximately €</w:t>
      </w:r>
      <w:bookmarkStart w:id="349" w:name="xdx_90B_eus-gaap--OtherComprehensiveInco"/>
      <w:bookmarkEnd w:id="349"/>
      <w:r>
        <w:rPr>
          <w:rFonts w:ascii="Times New Roman;Times;Serif" w:hAnsi="Times New Roman;Times;Serif"/>
          <w:b w:val="false"/>
          <w:i w:val="false"/>
          <w:caps w:val="false"/>
          <w:smallCaps w:val="false"/>
          <w:sz w:val="20"/>
        </w:rPr>
        <w:t>199,131 and total comprehensive loss was €</w:t>
      </w:r>
      <w:bookmarkStart w:id="350" w:name="xdx_905_eus-gaap--ComprehensiveIncomeNet"/>
      <w:bookmarkEnd w:id="350"/>
      <w:r>
        <w:rPr>
          <w:rFonts w:ascii="Times New Roman;Times;Serif" w:hAnsi="Times New Roman;Times;Serif"/>
          <w:b w:val="false"/>
          <w:i w:val="false"/>
          <w:caps w:val="false"/>
          <w:smallCaps w:val="false"/>
          <w:sz w:val="20"/>
        </w:rPr>
        <w:t>11.4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2022, the comprehensive loss was equal to the 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1" w:name="xdx_86D_zQ9rG2u99CJ1"/>
      <w:bookmarkStart w:id="352" w:name="xdx_848_eus-gaap--EarningsPerSharePolicy"/>
      <w:bookmarkEnd w:id="351"/>
      <w:bookmarkEnd w:id="352"/>
      <w:r>
        <w:rPr>
          <w:rFonts w:ascii="Times New Roman;Times;Serif" w:hAnsi="Times New Roman;Times;Serif"/>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(“EPS”) is computed in accordance with US GAAP. 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EPS calculation was applied at the Company conversion to S.p.A. in June 2021, after the increase in capital to €</w:t>
      </w:r>
      <w:bookmarkStart w:id="353" w:name="xdx_905_eus-gaap--StockholdersEquityPeri"/>
      <w:bookmarkEnd w:id="353"/>
      <w:r>
        <w:rPr>
          <w:rFonts w:ascii="Times New Roman;Times;Serif" w:hAnsi="Times New Roman;Times;Serif"/>
          <w:b w:val="false"/>
          <w:i w:val="false"/>
          <w:caps w:val="false"/>
          <w:smallCaps w:val="false"/>
          <w:sz w:val="20"/>
        </w:rPr>
        <w:t xml:space="preserve">50,000 was required to be an S.p.A. by Italian law. The Company’s shareholders authorized </w:t>
      </w:r>
      <w:bookmarkStart w:id="354" w:name="xdx_90C_eus-gaap--CommonStockSharesAutho"/>
      <w:bookmarkEnd w:id="354"/>
      <w:r>
        <w:rPr>
          <w:rFonts w:ascii="Times New Roman;Times;Serif" w:hAnsi="Times New Roman;Times;Serif"/>
          <w:b w:val="false"/>
          <w:i w:val="false"/>
          <w:caps w:val="false"/>
          <w:smallCaps w:val="false"/>
          <w:sz w:val="20"/>
        </w:rPr>
        <w:t>59.7 million ordinary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following the ATM Offering exercise, </w:t>
      </w:r>
      <w:bookmarkStart w:id="355" w:name="xdx_905_eus-gaap--SharesIssued_iI_c20230"/>
      <w:bookmarkEnd w:id="355"/>
      <w:r>
        <w:rPr>
          <w:rFonts w:ascii="Times New Roman;Times;Serif" w:hAnsi="Times New Roman;Times;Serif"/>
          <w:b w:val="false"/>
          <w:i w:val="false"/>
          <w:caps w:val="false"/>
          <w:smallCaps w:val="false"/>
          <w:sz w:val="20"/>
        </w:rPr>
        <w:t>100 new ADS were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w:t>
      </w:r>
      <w:bookmarkStart w:id="356" w:name="xdx_90E_eus-gaap--SharesIssued_iI_c20240"/>
      <w:bookmarkEnd w:id="356"/>
      <w:r>
        <w:rPr>
          <w:rFonts w:ascii="Times New Roman;Times;Serif" w:hAnsi="Times New Roman;Times;Serif"/>
          <w:b w:val="false"/>
          <w:i w:val="false"/>
          <w:caps w:val="false"/>
          <w:smallCaps w:val="false"/>
          <w:sz w:val="20"/>
        </w:rPr>
        <w:t>72,908 additional ADSs were issued pursuant to the Sales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2024, the Company had </w:t>
      </w:r>
      <w:bookmarkStart w:id="357" w:name="xdx_901_eus-gaap--CommonStockSharesOutst"/>
      <w:bookmarkEnd w:id="357"/>
      <w:r>
        <w:rPr>
          <w:rFonts w:ascii="Times New Roman;Times;Serif" w:hAnsi="Times New Roman;Times;Serif"/>
          <w:b w:val="false"/>
          <w:i w:val="false"/>
          <w:caps w:val="false"/>
          <w:smallCaps w:val="false"/>
          <w:sz w:val="20"/>
        </w:rPr>
        <w:t xml:space="preserve">18,289,866 common shares issued and outstanding with </w:t>
      </w:r>
      <w:bookmarkStart w:id="358" w:name="xdx_906_eus-gaap--CommonStockCapitalShar"/>
      <w:bookmarkEnd w:id="358"/>
      <w:r>
        <w:rPr>
          <w:rFonts w:ascii="Times New Roman;Times;Serif" w:hAnsi="Times New Roman;Times;Serif"/>
          <w:b w:val="false"/>
          <w:i w:val="false"/>
          <w:caps w:val="false"/>
          <w:smallCaps w:val="false"/>
          <w:sz w:val="20"/>
        </w:rPr>
        <w:t>1.8 million common shares reserved for the Company’s Equity Incentive Plan 2021–2035.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2024, the Company had </w:t>
      </w:r>
      <w:bookmarkStart w:id="359" w:name="xdx_900_eus-gaap--ShareBasedCompensation"/>
      <w:bookmarkEnd w:id="359"/>
      <w:r>
        <w:rPr>
          <w:rFonts w:ascii="Times New Roman;Times;Serif" w:hAnsi="Times New Roman;Times;Serif"/>
          <w:b w:val="false"/>
          <w:i w:val="false"/>
          <w:caps w:val="false"/>
          <w:smallCaps w:val="false"/>
          <w:sz w:val="20"/>
        </w:rPr>
        <w:t xml:space="preserve">889,658 outstanding options and </w:t>
      </w:r>
      <w:bookmarkStart w:id="360" w:name="xdx_90D_eus-gaap--ShareBasedCompensation"/>
      <w:bookmarkEnd w:id="360"/>
      <w:r>
        <w:rPr>
          <w:rFonts w:ascii="Times New Roman;Times;Serif" w:hAnsi="Times New Roman;Times;Serif"/>
          <w:b w:val="false"/>
          <w:i w:val="false"/>
          <w:caps w:val="false"/>
          <w:smallCaps w:val="false"/>
          <w:sz w:val="20"/>
        </w:rPr>
        <w:t xml:space="preserve">23,502 common share equivalents, in the form of underwriters’ common share warrants. Diluted EPS was not relevant at December 31, 2024, 2023, or 2022, as the effect of common share equivalents, in the form of </w:t>
      </w:r>
      <w:bookmarkStart w:id="361" w:name="xdx_907_eus-gaap--AntidilutiveSecurities"/>
      <w:bookmarkEnd w:id="361"/>
      <w:r>
        <w:rPr>
          <w:rFonts w:ascii="Times New Roman;Times;Serif" w:hAnsi="Times New Roman;Times;Serif"/>
          <w:b w:val="false"/>
          <w:i w:val="false"/>
          <w:caps w:val="false"/>
          <w:smallCaps w:val="false"/>
          <w:sz w:val="20"/>
        </w:rPr>
        <w:t xml:space="preserve">889,658 stock options and of </w:t>
      </w:r>
      <w:bookmarkStart w:id="362" w:name="xdx_90E_eus-gaap--AntidilutiveSecurities"/>
      <w:bookmarkEnd w:id="362"/>
      <w:r>
        <w:rPr>
          <w:rFonts w:ascii="Times New Roman;Times;Serif" w:hAnsi="Times New Roman;Times;Serif"/>
          <w:b w:val="false"/>
          <w:i w:val="false"/>
          <w:caps w:val="false"/>
          <w:smallCaps w:val="false"/>
          <w:sz w:val="20"/>
        </w:rPr>
        <w:t>23,502 underwriters’ common share warrants, would have been anti-dilutive. (See Note 11. Shareholders’ equity and Note 12.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3" w:name="xdx_863_zMNkg35Evse5"/>
      <w:bookmarkStart w:id="364" w:name="xdx_84E_eus-gaap--ForeignCurrencyTransac"/>
      <w:bookmarkEnd w:id="363"/>
      <w:bookmarkEnd w:id="364"/>
      <w:r>
        <w:rPr>
          <w:rFonts w:ascii="Times New Roman;Times;Serif" w:hAnsi="Times New Roman;Times;Serif"/>
          <w:b/>
          <w:i/>
          <w:caps w:val="false"/>
          <w:smallCaps w:val="false"/>
          <w:sz w:val="20"/>
        </w:rPr>
        <w:t>Foreign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the translation at period-end exchange rates of monetary assets and liabilities denominated in foreign currencies are recognized in the consolidated Statements of Operations. For financial reporting purposes, the assets and liabilities of the U.S. Subsidiary are translated into EUR using exchange rates in effect at the balance sheet date. The net income/(loss) of the U.S. Subsidiary is translated into EUR using average exchange rates in effect during the reporting period. The resulting currency translation impact is recorded in Shareholders’ equity as a cumulative translation adjustment.</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2024, the currency translation impact was approximately €</w:t>
      </w:r>
      <w:bookmarkStart w:id="365" w:name="xdx_903_eus-gaap--CumulativeTranslationA"/>
      <w:bookmarkEnd w:id="365"/>
      <w:r>
        <w:rPr>
          <w:rFonts w:ascii="Times New Roman;Times;Serif" w:hAnsi="Times New Roman;Times;Serif"/>
          <w:b w:val="false"/>
          <w:i w:val="false"/>
          <w:caps w:val="false"/>
          <w:smallCaps w:val="false"/>
          <w:sz w:val="20"/>
        </w:rPr>
        <w:t>23,400. During the period ended December 31, 2024, foreign exchange gains and losses were a net gain of approximately €</w:t>
      </w:r>
      <w:bookmarkStart w:id="366" w:name="xdx_904_eus-gaap--ForeignCurrencyTransac"/>
      <w:bookmarkEnd w:id="366"/>
      <w:r>
        <w:rPr>
          <w:rFonts w:ascii="Times New Roman;Times;Serif" w:hAnsi="Times New Roman;Times;Serif"/>
          <w:b w:val="false"/>
          <w:i w:val="false"/>
          <w:caps w:val="false"/>
          <w:smallCaps w:val="false"/>
          <w:sz w:val="20"/>
        </w:rPr>
        <w:t>0.2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2023, the currency translation impact was approximately €</w:t>
      </w:r>
      <w:bookmarkStart w:id="367" w:name="xdx_906_eus-gaap--CumulativeTranslationA"/>
      <w:bookmarkEnd w:id="367"/>
      <w:r>
        <w:rPr>
          <w:rFonts w:ascii="Times New Roman;Times;Serif" w:hAnsi="Times New Roman;Times;Serif"/>
          <w:b w:val="false"/>
          <w:i w:val="false"/>
          <w:caps w:val="false"/>
          <w:smallCaps w:val="false"/>
          <w:sz w:val="20"/>
        </w:rPr>
        <w:t>15,800. During the period ended December 31, 2023, foreign exchange gains and losses were a net loss of approximately €</w:t>
      </w:r>
      <w:bookmarkStart w:id="368" w:name="xdx_908_eus-gaap--ForeignCurrencyTransac"/>
      <w:bookmarkEnd w:id="368"/>
      <w:r>
        <w:rPr>
          <w:rFonts w:ascii="Times New Roman;Times;Serif" w:hAnsi="Times New Roman;Times;Serif"/>
          <w:b w:val="false"/>
          <w:i w:val="false"/>
          <w:caps w:val="false"/>
          <w:smallCaps w:val="false"/>
          <w:sz w:val="20"/>
        </w:rPr>
        <w:t>0.2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2022, the net exchange gain was approximately €</w:t>
      </w:r>
      <w:bookmarkStart w:id="369" w:name="xdx_902_eus-gaap--ForeignCurrencyTransac"/>
      <w:bookmarkEnd w:id="369"/>
      <w:r>
        <w:rPr>
          <w:rFonts w:ascii="Times New Roman;Times;Serif" w:hAnsi="Times New Roman;Times;Serif"/>
          <w:b w:val="false"/>
          <w:i w:val="false"/>
          <w:caps w:val="false"/>
          <w:smallCaps w:val="false"/>
          <w:sz w:val="20"/>
        </w:rPr>
        <w:t>2.3 million, and was related mainly to: i) approximately €</w:t>
      </w:r>
      <w:bookmarkStart w:id="370" w:name="xdx_90F_eus-gaap--ForeignCurrencyTransac"/>
      <w:bookmarkEnd w:id="370"/>
      <w:r>
        <w:rPr>
          <w:rFonts w:ascii="Times New Roman;Times;Serif" w:hAnsi="Times New Roman;Times;Serif"/>
          <w:b w:val="false"/>
          <w:i w:val="false"/>
          <w:caps w:val="false"/>
          <w:smallCaps w:val="false"/>
          <w:sz w:val="20"/>
        </w:rPr>
        <w:t>1.6 million in net exchange rate gains realized on the conversion of $</w:t>
      </w:r>
      <w:bookmarkStart w:id="371" w:name="xdx_904_eus-gaap--ForeignCurrencyTransac"/>
      <w:bookmarkEnd w:id="371"/>
      <w:r>
        <w:rPr>
          <w:rFonts w:ascii="Times New Roman;Times;Serif" w:hAnsi="Times New Roman;Times;Serif"/>
          <w:b w:val="false"/>
          <w:i w:val="false"/>
          <w:caps w:val="false"/>
          <w:smallCaps w:val="false"/>
          <w:sz w:val="20"/>
        </w:rPr>
        <w:t>12.0 million of IPO proceeds obtained in December 2021 to Euros; ii) approximately €</w:t>
      </w:r>
      <w:bookmarkStart w:id="372" w:name="xdx_904_ecustom--ForeignCurrencyTransact"/>
      <w:bookmarkEnd w:id="372"/>
      <w:r>
        <w:rPr>
          <w:rFonts w:ascii="Times New Roman;Times;Serif" w:hAnsi="Times New Roman;Times;Serif"/>
          <w:b w:val="false"/>
          <w:i w:val="false"/>
          <w:caps w:val="false"/>
          <w:smallCaps w:val="false"/>
          <w:sz w:val="20"/>
        </w:rPr>
        <w:t>0.4 million in net exchange rate gain realized on USD$ trade payables; and iii) approximately €</w:t>
      </w:r>
      <w:bookmarkStart w:id="373" w:name="xdx_90A_ecustom--ForeignCurrencyTransact"/>
      <w:bookmarkEnd w:id="373"/>
      <w:r>
        <w:rPr>
          <w:rFonts w:ascii="Times New Roman;Times;Serif" w:hAnsi="Times New Roman;Times;Serif"/>
          <w:b w:val="false"/>
          <w:i w:val="false"/>
          <w:caps w:val="false"/>
          <w:smallCaps w:val="false"/>
          <w:sz w:val="20"/>
        </w:rPr>
        <w:t>0.3 million in exchange gain unrealized on USD$ time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 in the net foreign exchange rate effect is due to the fluctuation in the USD exchange rate with the Euro.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4" w:name="xdx_866_z2ceEONtbPBg"/>
      <w:bookmarkStart w:id="375" w:name="xdx_848_ecustom--EmergingGrowthCompanySt"/>
      <w:bookmarkEnd w:id="374"/>
      <w:bookmarkEnd w:id="375"/>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U.S. Jumpstart Our Business Startups Act, or U.S.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U.S. JOBS Act provides that an “emerging growth company” can take advantage of the extended transition period afforded by the U.S.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initial public offering (“IPO”) or such earlier time that it is no longer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76" w:name="xdx_866_z8vHjmQChSK1"/>
      <w:bookmarkStart w:id="377" w:name="xdx_840_eus-gaap--FairValueMeasurementPo"/>
      <w:bookmarkEnd w:id="376"/>
      <w:bookmarkEnd w:id="377"/>
      <w:r>
        <w:rPr>
          <w:rFonts w:ascii="Times New Roman;Times;Serif" w:hAnsi="Times New Roman;Times;Serif"/>
          <w:b/>
          <w:i/>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Level 1 — Quoted prices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78" w:name="xdx_899_eus-gaap--FairValueMeasurementIn"/>
      <w:bookmarkEnd w:id="378"/>
      <w:r>
        <w:rPr>
          <w:rFonts w:ascii="Times New Roman;Times;Serif" w:hAnsi="Times New Roman;Times;Serif"/>
          <w:b w:val="false"/>
          <w:i w:val="false"/>
          <w:caps w:val="false"/>
          <w:smallCaps w:val="false"/>
          <w:sz w:val="20"/>
        </w:rPr>
        <w:t>The carrying values of the Company’s R&amp;D tax credits, VAT credits, accounts payable, accrued expenses and other current liabilities were evaluated and determined to approximate their fair values due to the short-term nature of these assets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bookmarkStart w:id="379" w:name="xdx_8B5_zXIpvLi87Wob"/>
      <w:bookmarkEnd w:id="379"/>
      <w:r>
        <w:rPr>
          <w:rFonts w:ascii="Times New Roman;Times;Serif" w:hAnsi="Times New Roman;Times;Serif"/>
          <w:b w:val="false"/>
          <w:i w:val="false"/>
          <w:caps w:val="false"/>
          <w:smallCaps w:val="false"/>
          <w:sz w:val="20"/>
        </w:rPr>
        <w:t>Schedule of fair values due to short-term nature of assets and liabilities </w:t>
      </w:r>
    </w:p>
    <w:tbl>
      <w:tblPr>
        <w:tblW w:w="7008" w:type="dxa"/>
        <w:jc w:val="left"/>
        <w:tblInd w:w="0" w:type="dxa"/>
        <w:tblLayout w:type="fixed"/>
        <w:tblCellMar>
          <w:top w:w="0" w:type="dxa"/>
          <w:left w:w="0" w:type="dxa"/>
          <w:bottom w:w="0" w:type="dxa"/>
          <w:right w:w="0" w:type="dxa"/>
        </w:tblCellMar>
      </w:tblPr>
      <w:tblGrid>
        <w:gridCol w:w="2525"/>
        <w:gridCol w:w="60"/>
        <w:gridCol w:w="140"/>
        <w:gridCol w:w="1100"/>
        <w:gridCol w:w="60"/>
        <w:gridCol w:w="60"/>
        <w:gridCol w:w="140"/>
        <w:gridCol w:w="1100"/>
        <w:gridCol w:w="60"/>
        <w:gridCol w:w="60"/>
        <w:gridCol w:w="221"/>
        <w:gridCol w:w="533"/>
        <w:gridCol w:w="60"/>
        <w:gridCol w:w="60"/>
        <w:gridCol w:w="253"/>
        <w:gridCol w:w="501"/>
        <w:gridCol w:w="75"/>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80" w:name="xdx_49B_20241231_zGyvvcspTH5b"/>
            <w:bookmarkEnd w:id="380"/>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1" w:name="xdx_49C_20241231__us-gaap--FairValueByFa"/>
            <w:bookmarkEnd w:id="381"/>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2" w:name="xdx_49A_20241231__us-gaap--FairValueByFa"/>
            <w:bookmarkEnd w:id="382"/>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3" w:name="xdx_49E_20241231__us-gaap--FairValueByFa"/>
            <w:bookmarkEnd w:id="383"/>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4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2024</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bookmarkStart w:id="384" w:name="xdx_401_eus-gaap--CashAndCashEquivalents"/>
            <w:bookmarkEnd w:id="384"/>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4,581,749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4,581,749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533"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501" w:type="dxa"/>
            <w:tcBorders/>
            <w:shd w:fill="CCEEFF" w:val="cle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385" w:name="xdx_404_eus-gaap--SecuritiesBorrowedFair"/>
            <w:bookmarkEnd w:id="385"/>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8,078,002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8,078,002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386" w:name="xdx_404_eus-gaap--AssetsFairValueDisclos"/>
            <w:bookmarkEnd w:id="386"/>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Total financial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12,659,751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12,659,751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008" w:type="dxa"/>
        <w:jc w:val="left"/>
        <w:tblInd w:w="0" w:type="dxa"/>
        <w:tblLayout w:type="fixed"/>
        <w:tblCellMar>
          <w:top w:w="0" w:type="dxa"/>
          <w:left w:w="0" w:type="dxa"/>
          <w:bottom w:w="0" w:type="dxa"/>
          <w:right w:w="0" w:type="dxa"/>
        </w:tblCellMar>
      </w:tblPr>
      <w:tblGrid>
        <w:gridCol w:w="2525"/>
        <w:gridCol w:w="60"/>
        <w:gridCol w:w="140"/>
        <w:gridCol w:w="1100"/>
        <w:gridCol w:w="60"/>
        <w:gridCol w:w="60"/>
        <w:gridCol w:w="140"/>
        <w:gridCol w:w="1100"/>
        <w:gridCol w:w="60"/>
        <w:gridCol w:w="60"/>
        <w:gridCol w:w="238"/>
        <w:gridCol w:w="516"/>
        <w:gridCol w:w="60"/>
        <w:gridCol w:w="60"/>
        <w:gridCol w:w="277"/>
        <w:gridCol w:w="477"/>
        <w:gridCol w:w="75"/>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87" w:name="xdx_491_20231231_zxJvB3t5L1X6"/>
            <w:bookmarkEnd w:id="387"/>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8" w:name="xdx_496_20231231__us-gaap--FairValueByFa"/>
            <w:bookmarkEnd w:id="388"/>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9" w:name="xdx_49D_20231231__us-gaap--FairValueByFa"/>
            <w:bookmarkEnd w:id="389"/>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0" w:name="xdx_495_20231231__us-gaap--FairValueByFa"/>
            <w:bookmarkEnd w:id="390"/>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4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bookmarkStart w:id="391" w:name="xdx_401_eus-gaap--CashAndCashEquivalents"/>
            <w:bookmarkEnd w:id="391"/>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5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47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2" w:name="xdx_404_eus-gaap--SecuritiesBorrowedFair"/>
            <w:bookmarkEnd w:id="392"/>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15,084,284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15,084,284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393" w:name="xdx_404_eus-gaap--AssetsFairValueDisclos"/>
            <w:bookmarkEnd w:id="393"/>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Total financial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18,775,704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18,775,704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008" w:type="dxa"/>
        <w:jc w:val="left"/>
        <w:tblInd w:w="0" w:type="dxa"/>
        <w:tblLayout w:type="fixed"/>
        <w:tblCellMar>
          <w:top w:w="0" w:type="dxa"/>
          <w:left w:w="0" w:type="dxa"/>
          <w:bottom w:w="0" w:type="dxa"/>
          <w:right w:w="0" w:type="dxa"/>
        </w:tblCellMar>
      </w:tblPr>
      <w:tblGrid>
        <w:gridCol w:w="2525"/>
        <w:gridCol w:w="60"/>
        <w:gridCol w:w="140"/>
        <w:gridCol w:w="1100"/>
        <w:gridCol w:w="60"/>
        <w:gridCol w:w="60"/>
        <w:gridCol w:w="140"/>
        <w:gridCol w:w="1100"/>
        <w:gridCol w:w="60"/>
        <w:gridCol w:w="60"/>
        <w:gridCol w:w="253"/>
        <w:gridCol w:w="501"/>
        <w:gridCol w:w="60"/>
        <w:gridCol w:w="60"/>
        <w:gridCol w:w="253"/>
        <w:gridCol w:w="501"/>
        <w:gridCol w:w="75"/>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94" w:name="xdx_49E_20221231_zCwzF8GCTJIb"/>
            <w:bookmarkEnd w:id="394"/>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5" w:name="xdx_49B_20221231__us-gaap--FairValueByFa"/>
            <w:bookmarkEnd w:id="395"/>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6" w:name="xdx_494_20221231__us-gaap--FairValueByFa"/>
            <w:bookmarkEnd w:id="396"/>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7" w:name="xdx_497_20221231__us-gaap--FairValueByFa"/>
            <w:bookmarkEnd w:id="397"/>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4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2022</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Level 3</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98" w:name="xdx_401_eus-gaap--CashAndCashEquivalents"/>
            <w:bookmarkEnd w:id="398"/>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29,794,856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0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0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399" w:name="xdx_404_eus-gaap--AssetsFairValueDisclos"/>
            <w:bookmarkEnd w:id="399"/>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Total financial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29,794,856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29,794,856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0" w:name="xdx_8AC_zReF4HVx3Pbk"/>
      <w:bookmarkEnd w:id="400"/>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1" w:name="xdx_861_zMgphmHtX384"/>
      <w:bookmarkStart w:id="402" w:name="xdx_84A_eus-gaap--SegmentReportingPolicy"/>
      <w:bookmarkEnd w:id="401"/>
      <w:bookmarkEnd w:id="402"/>
      <w:r>
        <w:rPr>
          <w:rFonts w:ascii="Times New Roman;Times;Serif" w:hAnsi="Times New Roman;Times;Serif"/>
          <w:b/>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3" w:name="xdx_862_z9WgoqXdZNpj"/>
      <w:bookmarkStart w:id="404" w:name="xdx_842_ecustom--TaxCreditOnInvestmentsI"/>
      <w:bookmarkEnd w:id="403"/>
      <w:bookmarkEnd w:id="404"/>
      <w:r>
        <w:rPr>
          <w:rFonts w:ascii="Times New Roman;Times;Serif" w:hAnsi="Times New Roman;Times;Serif"/>
          <w:b/>
          <w:i/>
          <w:caps w:val="false"/>
          <w:smallCaps w:val="false"/>
          <w:sz w:val="20"/>
        </w:rPr>
        <w:t>Tax credit on investments in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legislation in force at December 31, 2024, 2023 and 2022, companies in Italy that invest in eligible research and development activities, regardless of the legal form and economic sector in which they operate, can benefit from a tax credit which can be used to reduce most taxes payable, including income tax or regional tax on productive activities, as well as social security contributions and payroll 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eligible research and development activities, the tax credit was equal to 20% in fiscal year 2022 (“FY 2022”) of the eligible costs incurred, with a maximum annual amount of €</w:t>
      </w:r>
      <w:bookmarkStart w:id="405" w:name="xdx_90F_eus-gaap--IncomeTaxReconciliatio"/>
      <w:bookmarkEnd w:id="405"/>
      <w:r>
        <w:rPr>
          <w:rFonts w:ascii="Times New Roman;Times;Serif" w:hAnsi="Times New Roman;Times;Serif"/>
          <w:b w:val="false"/>
          <w:i w:val="false"/>
          <w:caps w:val="false"/>
          <w:smallCaps w:val="false"/>
          <w:sz w:val="20"/>
        </w:rPr>
        <w:t>4.0 million. Starting with the fiscal year 2023 (“FY 2023”) the law extended the measure up to the tax period ended December 31, 2031; however, the tax credit rate was decreased to 10% of the eligible expenses, and the annual ceiling of the credit increased to €</w:t>
      </w:r>
      <w:bookmarkStart w:id="406" w:name="xdx_903_eus-gaap--IncomeTaxReconciliatio"/>
      <w:bookmarkEnd w:id="406"/>
      <w:r>
        <w:rPr>
          <w:rFonts w:ascii="Times New Roman;Times;Serif" w:hAnsi="Times New Roman;Times;Serif"/>
          <w:b w:val="false"/>
          <w:i w:val="false"/>
          <w:caps w:val="false"/>
          <w:smallCaps w:val="false"/>
          <w:sz w:val="20"/>
        </w:rPr>
        <w:t>5.0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eligible activities consist of fundamental research, industrial research, and experimental development as defined in letters m), q) and j) of point 15, par. 1.3 of the Communication no. 198/2014 of the European Commission. To determine the cost basis of the benefit, the following expenses are eligible:</w:t>
      </w:r>
    </w:p>
    <w:p>
      <w:pPr>
        <w:pStyle w:val="TextBody"/>
        <w:bidi w:val="0"/>
        <w:spacing w:before="0" w:after="0"/>
        <w:ind w:left="480" w:right="0" w:hanging="14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charges, costs of the financial or simple lease and other expenses related to movable tangible assets and software used in research and development projects;</w:t>
            </w:r>
          </w:p>
        </w:tc>
      </w:tr>
    </w:tbl>
    <w:p>
      <w:pPr>
        <w:pStyle w:val="TextBody"/>
        <w:bidi w:val="0"/>
        <w:spacing w:before="0" w:after="283"/>
        <w:jc w:val="left"/>
        <w:rPr/>
      </w:pPr>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extra-euro research contracts concerning the direct execution of eligible research and development activities by the provider;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charges;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consulting services and equivalent services related to eligible research and development activities;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materials, supplies, and other similar products used in research and development projects.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receivable is recognized when there is reasonable assurance that: (1) the recipient will comply with the relevant conditions; and (2) the grant will be received. The Company has elected to present it net of the related expenditure on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tax credits can be carried forward indefinitely, the Company recognized an amount which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07" w:name="xdx_866_zlh0lyK3S4hd"/>
      <w:bookmarkStart w:id="408" w:name="xdx_844_eus-gaap--ShareBasedCompensation"/>
      <w:bookmarkEnd w:id="407"/>
      <w:bookmarkEnd w:id="408"/>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reward the efforts of employees, officers, directors, and certain consultants, and to promote the Company’s growth and development, the Board may approve, upon occasion, various share-based awards. The Company’s stock option plan (the “Equity Incentive Plan 2021–2025” or the “Plan”), under which stock options are granted, was originally approved on May 20, 2021.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2023, the Company’s shareholders modified the Plan to extend the final deadline for the issuance of the ordinary shares until December 31, 2035, to allow that all stock options granted during the term of the Plan could provide for an exercise period of </w:t>
      </w:r>
      <w:bookmarkStart w:id="409" w:name="xdx_90B_eus-gaap--SharebasedCompensation"/>
      <w:bookmarkEnd w:id="409"/>
      <w:r>
        <w:rPr>
          <w:rFonts w:ascii="Times New Roman;Times;Serif" w:hAnsi="Times New Roman;Times;Serif"/>
          <w:b w:val="false"/>
          <w:i w:val="false"/>
          <w:caps w:val="false"/>
          <w:smallCaps w:val="false"/>
          <w:sz w:val="20"/>
        </w:rPr>
        <w:t>10 years starting from the date of grant. (See Note 12.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Currently, the Company has authorized options on </w:t>
      </w:r>
      <w:bookmarkStart w:id="410" w:name="xdx_909_eus-gaap--ShareBasedCompensation"/>
      <w:bookmarkEnd w:id="410"/>
      <w:r>
        <w:rPr>
          <w:rFonts w:ascii="Times New Roman;Times;Serif" w:hAnsi="Times New Roman;Times;Serif"/>
          <w:b w:val="false"/>
          <w:i w:val="false"/>
          <w:caps w:val="false"/>
          <w:smallCaps w:val="false"/>
          <w:sz w:val="20"/>
        </w:rPr>
        <w:t xml:space="preserve">1,828,986 ordinary shares (i.e., approximately </w:t>
      </w:r>
      <w:bookmarkStart w:id="411" w:name="xdx_90C_eus-gaap--ShareBasedCompensation"/>
      <w:bookmarkEnd w:id="411"/>
      <w:r>
        <w:rPr>
          <w:rFonts w:ascii="Times New Roman;Times;Serif" w:hAnsi="Times New Roman;Times;Serif"/>
          <w:b w:val="false"/>
          <w:i w:val="false"/>
          <w:caps w:val="false"/>
          <w:smallCaps w:val="false"/>
          <w:sz w:val="20"/>
        </w:rPr>
        <w:t xml:space="preserve">10% of the number of shares outstanding, which are currently </w:t>
      </w:r>
      <w:bookmarkStart w:id="412" w:name="xdx_90D_eus-gaap--ShareBasedCompensation"/>
      <w:bookmarkEnd w:id="412"/>
      <w:r>
        <w:rPr>
          <w:rFonts w:ascii="Times New Roman;Times;Serif" w:hAnsi="Times New Roman;Times;Serif"/>
          <w:b w:val="false"/>
          <w:i w:val="false"/>
          <w:caps w:val="false"/>
          <w:smallCaps w:val="false"/>
          <w:sz w:val="20"/>
        </w:rPr>
        <w:t xml:space="preserve">18,289,866 ordinary shares outstanding); however, as provided by the Plan, the Company may increase the authorized shares under the Plan up to a maximum of </w:t>
      </w:r>
      <w:bookmarkStart w:id="413" w:name="xdx_907_eus-gaap--SharebasedCompensation"/>
      <w:bookmarkEnd w:id="413"/>
      <w:r>
        <w:rPr>
          <w:rFonts w:ascii="Times New Roman;Times;Serif" w:hAnsi="Times New Roman;Times;Serif"/>
          <w:b w:val="false"/>
          <w:i w:val="false"/>
          <w:caps w:val="false"/>
          <w:smallCaps w:val="false"/>
          <w:sz w:val="20"/>
        </w:rPr>
        <w:t xml:space="preserve">2,700,000 ordinary shares without further shareholder approval. Therefore, as the Company raises additional capital, the Board has the authority to issue options on </w:t>
      </w:r>
      <w:bookmarkStart w:id="414" w:name="xdx_901_eus-gaap--ShareBasedCompensation"/>
      <w:bookmarkEnd w:id="414"/>
      <w:r>
        <w:rPr>
          <w:rFonts w:ascii="Times New Roman;Times;Serif" w:hAnsi="Times New Roman;Times;Serif"/>
          <w:b w:val="false"/>
          <w:i w:val="false"/>
          <w:caps w:val="false"/>
          <w:smallCaps w:val="false"/>
          <w:sz w:val="20"/>
        </w:rPr>
        <w:t xml:space="preserve">1,828,986 to </w:t>
      </w:r>
      <w:bookmarkStart w:id="415" w:name="xdx_90D_eus-gaap--ShareBasedCompensation"/>
      <w:bookmarkEnd w:id="415"/>
      <w:r>
        <w:rPr>
          <w:rFonts w:ascii="Times New Roman;Times;Serif" w:hAnsi="Times New Roman;Times;Serif"/>
          <w:b w:val="false"/>
          <w:i w:val="false"/>
          <w:caps w:val="false"/>
          <w:smallCaps w:val="false"/>
          <w:sz w:val="20"/>
        </w:rPr>
        <w:t xml:space="preserve">2,700,000 ordinary shares, as the number of issued and outstanding ordinary shares grows, i.e., the Company does not have to obtain further authorization from shareholders to increase the number of ordinary shares available for equity grants until the outstanding ordinary shares exceed </w:t>
      </w:r>
      <w:bookmarkStart w:id="416" w:name="xdx_90D_eus-gaap--SharesOutstanding_iI_p"/>
      <w:bookmarkEnd w:id="416"/>
      <w:r>
        <w:rPr>
          <w:rFonts w:ascii="Times New Roman;Times;Serif" w:hAnsi="Times New Roman;Times;Serif"/>
          <w:b w:val="false"/>
          <w:i w:val="false"/>
          <w:caps w:val="false"/>
          <w:smallCaps w:val="false"/>
          <w:sz w:val="20"/>
        </w:rPr>
        <w:t>27,000,000.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its stock option awards granted to employees, officers, directors, and consultants under the Plan based on their fair value on the date of the grant and recognizes compensation expense for those awards over the requisite service period, which is normally the vesting period of the respective award. Forfeitures are accounted for as they occur. The measurement date for option awards is the date of the grant. 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chose the Black-Scholes-Merton model because it is considered easier to apply and also it is a defined equation and incorporates only one set of inputs. As a result, it is the model most commonly in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17" w:name="xdx_862_zV872BF5hyuh"/>
      <w:bookmarkStart w:id="418" w:name="xdx_84C_ecustom--RepresentativeWarrantsP"/>
      <w:bookmarkEnd w:id="417"/>
      <w:bookmarkEnd w:id="418"/>
      <w:r>
        <w:rPr>
          <w:rFonts w:ascii="Times New Roman;Times;Serif" w:hAnsi="Times New Roman;Times;Serif"/>
          <w:b/>
          <w:i/>
          <w:caps w:val="false"/>
          <w:smallCaps w:val="false"/>
          <w:sz w:val="20"/>
        </w:rPr>
        <w:t>Representative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agreed to issue warrants to the underwriters of the IPO (“Warrants”) to purchase </w:t>
      </w:r>
      <w:bookmarkStart w:id="419" w:name="xdx_90B_eus-gaap--StockIssuedDuringPerio"/>
      <w:bookmarkEnd w:id="419"/>
      <w:r>
        <w:rPr>
          <w:rFonts w:ascii="Times New Roman;Times;Serif" w:hAnsi="Times New Roman;Times;Serif"/>
          <w:b w:val="false"/>
          <w:i w:val="false"/>
          <w:caps w:val="false"/>
          <w:smallCaps w:val="false"/>
          <w:sz w:val="20"/>
        </w:rPr>
        <w:t>23,502 ADSs. The Warrants are exercisable at a per share exercise price of $</w:t>
      </w:r>
      <w:bookmarkStart w:id="420" w:name="xdx_90A_eus-gaap--ClassOfWarrantOrRightE"/>
      <w:bookmarkEnd w:id="420"/>
      <w:r>
        <w:rPr>
          <w:rFonts w:ascii="Times New Roman;Times;Serif" w:hAnsi="Times New Roman;Times;Serif"/>
          <w:b w:val="false"/>
          <w:i w:val="false"/>
          <w:caps w:val="false"/>
          <w:smallCaps w:val="false"/>
          <w:sz w:val="20"/>
        </w:rPr>
        <w:t>14.375 per ADS. The Warrants are exercisable at any time and from time to time, in whole or in part, during the four and one-half-year period commencing June 13, 2022.</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provide for adjustment in the number and price of the Warrants and the ADSs underlying such Warrants in the event of recapitalization, merger, stock split or other structural transactions, or a future financing undertaken by the Company. The Warrants were evaluated under applicable guidance and accordingly classified as equity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1" w:name="xdx_86F_zd1iKQZ23k6b"/>
      <w:bookmarkStart w:id="422" w:name="xdx_848_ecustom--NoncurrentAssetsRightof"/>
      <w:bookmarkEnd w:id="421"/>
      <w:bookmarkEnd w:id="422"/>
      <w:r>
        <w:rPr>
          <w:rFonts w:ascii="Times New Roman;Times;Serif" w:hAnsi="Times New Roman;Times;Serif"/>
          <w:b/>
          <w:i/>
          <w:caps w:val="false"/>
          <w:smallCaps w:val="false"/>
          <w:sz w:val="20"/>
        </w:rPr>
        <w:t>Non-current assets right of use (ROU)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a contract containing a lease, the Company classifies leases other than short-term leases as either an operating lease or a finance lease according to the criteria prescribed by ASC 842. The Company recognizes both lease liabilities and right-of-use assets on the balance sheet for all leases, except for short-term leases (those with a lease term of 12 months or less). Lease liabilities are initially measured at the present value of the future lease payments over the lease term, discounted at the rate implicit in the lease or, if that rate is not readily determinable, the Company’s incremental borrowing rate. The right-of-use assets represent the lessee’s right to use the underlying asset for the lease term and are initially measured at the same amount as the corresponding lease liability. For finance leases, the Company recognizes interest expense on the lease liability and amortization expense on the right-of-use asset. For operating leases, lease expense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3" w:name="xdx_868_zZpAtYtKWs6i"/>
      <w:bookmarkStart w:id="424" w:name="xdx_84C_eus-gaap--PropertyPlantAndEquipm"/>
      <w:bookmarkEnd w:id="423"/>
      <w:bookmarkEnd w:id="424"/>
      <w:r>
        <w:rPr>
          <w:rFonts w:ascii="Times New Roman;Times;Serif" w:hAnsi="Times New Roman;Times;Serif"/>
          <w:b/>
          <w:i/>
          <w:caps w:val="false"/>
          <w:smallCaps w:val="false"/>
          <w:sz w:val="20"/>
        </w:rPr>
        <w:t>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are stated at cost, including any accessory and direct costs that are necessary to make the assets fit for use, and adjusted by the corresponding accumulated depreciation. Depreciation is systematically recorded in the consolidated financial statements taking into consideration the use, purpose, and financial-technical duration of the assets, based on their estimated useful economic lives. Leasehold improvements depreciation is recorded based on the shorter of the life of the leasehold improvement or the remaining term of the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on the basis of its estimated useful economic life. Amortization of leasehold improvements is computed using the straight-line method based upon the terms of the applicable lease or estimated useful life of the improvements, whichever is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5" w:name="xdx_86E_znDCSlQwEQ6k"/>
      <w:bookmarkStart w:id="426" w:name="xdx_841_eus-gaap--ImpairmentOrDisposalOf"/>
      <w:bookmarkEnd w:id="425"/>
      <w:bookmarkEnd w:id="426"/>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for the years ended December 31, 2024, 2023, and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27" w:name="xdx_862_z1V2TOcM3G7h"/>
      <w:bookmarkStart w:id="428" w:name="xdx_840_eus-gaap--DeferredChargesPolicyT"/>
      <w:bookmarkEnd w:id="427"/>
      <w:bookmarkEnd w:id="428"/>
      <w:r>
        <w:rPr>
          <w:rFonts w:ascii="Times New Roman;Times;Serif" w:hAnsi="Times New Roman;Times;Serif"/>
          <w:b/>
          <w:i/>
          <w:caps w:val="false"/>
          <w:smallCaps w:val="false"/>
          <w:sz w:val="20"/>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public offering costs, which primarily consist of direct, incremental legal and accounting fees relating to fundraising activities (e.g., an IPO), were capitalized within prepaid expenses and other current assets prior to the IPO and netted or offset with the IPO proceeds upon closing of the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incurred approximately €</w:t>
      </w:r>
      <w:bookmarkStart w:id="429" w:name="xdx_90E_eus-gaap--DeferredOfferingCosts_"/>
      <w:bookmarkEnd w:id="429"/>
      <w:r>
        <w:rPr>
          <w:rFonts w:ascii="Times New Roman;Times;Serif" w:hAnsi="Times New Roman;Times;Serif"/>
          <w:b w:val="false"/>
          <w:i w:val="false"/>
          <w:caps w:val="false"/>
          <w:smallCaps w:val="false"/>
          <w:sz w:val="20"/>
        </w:rPr>
        <w:t>0.2 million of costs in connection with its sales of ADSs pursuant to the Sales Agreement that were fully expensed in the Consolidated Statement of Operations and Comprehensive Loss and approximately €</w:t>
      </w:r>
      <w:bookmarkStart w:id="430" w:name="xdx_908_eus-gaap--DeferredIncome_iI_pn5n"/>
      <w:bookmarkEnd w:id="430"/>
      <w:r>
        <w:rPr>
          <w:rFonts w:ascii="Times New Roman;Times;Serif" w:hAnsi="Times New Roman;Times;Serif"/>
          <w:b w:val="false"/>
          <w:i w:val="false"/>
          <w:caps w:val="false"/>
          <w:smallCaps w:val="false"/>
          <w:sz w:val="20"/>
        </w:rPr>
        <w:t>0.2 million of deferred due diligence and other preliminary activities connected to a financing transaction expected to be completed in the following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incurred approximately €</w:t>
      </w:r>
      <w:bookmarkStart w:id="431" w:name="xdx_905_eus-gaap--DeferredOfferingCosts_"/>
      <w:bookmarkEnd w:id="431"/>
      <w:r>
        <w:rPr>
          <w:rFonts w:ascii="Times New Roman;Times;Serif" w:hAnsi="Times New Roman;Times;Serif"/>
          <w:b w:val="false"/>
          <w:i w:val="false"/>
          <w:caps w:val="false"/>
          <w:smallCaps w:val="false"/>
          <w:sz w:val="20"/>
        </w:rPr>
        <w:t>0.3 million of ATM Offering costs that were fully expensed in the Consolidated Statement of Operations and Comprehensive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Company did not incur offering costs.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432" w:name="xdx_865_zKF3Mo8EU33"/>
      <w:bookmarkStart w:id="433" w:name="xdx_84F_eus-gaap--NewAccountingPronounce"/>
      <w:bookmarkEnd w:id="432"/>
      <w:bookmarkEnd w:id="433"/>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FASB issued ASU 2023-07, which amends ASC 280 to improve the information that a public entity discloses about its reportable segments and to address investor requests for more information about reportable segment expenses by requiring incremental disclosures for segment reporting. The effective date for ASU 2023-07 is for fiscal years beginning after December 15, 2023, and interim periods with fiscal years beginning after December 15, 2024. The amendment requires companies to disclose more information about their reportable segments, including: (1) significant segment expenses, (2) ‘other’ segment items, (3) the title and position of the chief operating decision maker (“CODM”), (4) how the CODM uses the reported measure(s) of segment profit or loss and (5) annual disclosures about a reportable segment’s profit or loss and assets. The Company believes that this ASU does not have a material impact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which modifies the rules on income tax disclosures to require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annual periods beginning after December 15, 2024, with early adoption permitted. ASU 2023-09 should be applied on a prospective basis, but retrospective application is permitted. The Company believes that this ASU does not have a material impact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FASB issued ASU 2024-01, Scope Application of Profits Interest and Similar Awards, which clarifies how an entity determines whether a profits interest or similar award (hereafter a “profits interest award”) is (1) within the scope of Accounting Standards Codification (ASC) 718, Compensation — Stock Compensation, or (2) not a share-based payment arrangement and therefore within the scope of other guidance. For public business entities, ASU 2024-01 is effective for annual periods beginning after December 15, 2024, and interim periods within those annual periods. For all other entities, the amendments are effective for annual periods beginning after December 15, 2025, and interim periods within those annual periods. The Company believes that this ASU does not have a material impact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FASB issued ASU 2024-04, Debt – Debt with conversion and other options (subtopic 470-20): Induced conversions of convertible debt instruments which provides guidance on accounting for induced conversions of convertible debt instruments. For public business entities, ASU 2024-04 is effective for annual reporting periods beginning after December 15, 2025, and interim reporting periods within those annual periods. The Company is still evaluating the impact.</w:t>
      </w:r>
    </w:p>
    <w:p>
      <w:pPr>
        <w:pStyle w:val="TextBody"/>
        <w:bidi w:val="0"/>
        <w:spacing w:before="0" w:after="0"/>
        <w:ind w:left="0" w:right="0" w:hanging="0"/>
        <w:jc w:val="both"/>
        <w:rPr>
          <w:caps w:val="false"/>
          <w:smallCaps w:val="false"/>
        </w:rPr>
      </w:pPr>
      <w:bookmarkStart w:id="434" w:name="xdx_85C_zaWKC6Qf2glk"/>
      <w:bookmarkEnd w:id="43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5" w:name="xdx_807_eus-gaap--ResearchDevelopmentAnd"/>
      <w:bookmarkEnd w:id="435"/>
      <w:r>
        <w:rPr>
          <w:rFonts w:ascii="Times New Roman;Times;Serif" w:hAnsi="Times New Roman;Times;Serif"/>
          <w:b/>
          <w:i w:val="false"/>
          <w:caps w:val="false"/>
          <w:smallCaps w:val="false"/>
          <w:sz w:val="20"/>
        </w:rPr>
        <w:t xml:space="preserve">3. </w:t>
      </w:r>
      <w:bookmarkStart w:id="436" w:name="xdx_826_zzpvQlBKqEp2"/>
      <w:bookmarkEnd w:id="436"/>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expenses consist of costs incurred in performing research and development activities, including salaries, share-based compensation and benefits, facilities costs, third-party license fees, and external costs of outside vendors and consultants engaged to conduct clinical development activities and clinical trials, (e.g., contract research organizations, or CROs), as well as costs to develop a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annually incurs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13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7" w:name="xdx_80E_ecustom--GeneralAndAdministrativ"/>
      <w:bookmarkEnd w:id="437"/>
      <w:r>
        <w:rPr>
          <w:rFonts w:ascii="Times New Roman;Times;Serif" w:hAnsi="Times New Roman;Times;Serif"/>
          <w:b/>
          <w:i w:val="false"/>
          <w:caps w:val="false"/>
          <w:smallCaps w:val="false"/>
          <w:sz w:val="20"/>
        </w:rPr>
        <w:t xml:space="preserve">4. </w:t>
      </w:r>
      <w:bookmarkStart w:id="438" w:name="xdx_82E_zHmTTpwYz4nc"/>
      <w:bookmarkEnd w:id="438"/>
      <w:r>
        <w:rPr>
          <w:rFonts w:ascii="Times New Roman;Times;Serif" w:hAnsi="Times New Roman;Times;Serif"/>
          <w:b/>
          <w:i w:val="false"/>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9" w:name="xdx_80A_eus-gaap--IncomeTaxDisclosureTex"/>
      <w:bookmarkEnd w:id="439"/>
      <w:r>
        <w:rPr>
          <w:rFonts w:ascii="Times New Roman;Times;Serif" w:hAnsi="Times New Roman;Times;Serif"/>
          <w:b/>
          <w:i w:val="false"/>
          <w:caps w:val="false"/>
          <w:smallCaps w:val="false"/>
          <w:sz w:val="20"/>
        </w:rPr>
        <w:t xml:space="preserve">5. </w:t>
      </w:r>
      <w:bookmarkStart w:id="440" w:name="xdx_829_zHIpSi2mgDo5"/>
      <w:bookmarkEnd w:id="440"/>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taxation in Italy, and with the addition of the Company’s wholly owned subsidiary in the U.S., the Company is subject to taxation in the U.S. Taxation in Italy includes the standard corporate income tax and a regional business tax. Taxation in the U.S. includes federal corporate income tax (“IRS”), as well as state and local taxes. Taxes are recorded on an accrual basis. They therefore represent the allowances for taxes paid or to be paid for the year, calculated according to the current enacted rates and applicable laws. In the future, the Company may be taxed in various other countries where it may have permanent establishments,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ending December 31, 2024, due to the tax loss position reported, no income taxes were due in Italy, while in the U.S. there was no material tax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ending December 31, 2023 and 2022, due to the tax loss position reported, no income taxes were due in Italy or the U.S., although the U.S. subsidiary had taxable income in 2022. In addition, the subsidiary in the U.S. had an immaterial amount of other state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Company considers existing evidence, both positive and negative, that could impact its view with regards to future realization of deferred tax assets. In consideration of the start-up status of the Company, a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2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For the Company, the prior five years of tax returns (2020-2024) are potentially subject to audit, and for the Company’s U.S. subsidiary, Genenta Science, Inc., the open years for tax examination are 2022, 2023, and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41" w:name="xdx_890_eus-gaap--ScheduleOfEffectiveInc"/>
      <w:bookmarkEnd w:id="441"/>
      <w:r>
        <w:rPr>
          <w:rFonts w:ascii="Times New Roman;Times;Serif" w:hAnsi="Times New Roman;Times;Serif"/>
          <w:b w:val="false"/>
          <w:i w:val="false"/>
          <w:caps w:val="false"/>
          <w:smallCaps w:val="false"/>
          <w:sz w:val="20"/>
        </w:rPr>
        <w:t>The Company files tax returns as prescribed by the tax laws of the jurisdictions in which it operates. A reconciliation of the Company’s effective tax rate is summarized as follows:</w:t>
      </w:r>
    </w:p>
    <w:p>
      <w:pPr>
        <w:pStyle w:val="TextBody"/>
        <w:bidi w:val="0"/>
        <w:spacing w:before="0" w:after="0"/>
        <w:ind w:left="0" w:right="0" w:firstLine="720"/>
        <w:jc w:val="both"/>
        <w:rPr>
          <w:caps w:val="false"/>
          <w:smallCaps w:val="false"/>
        </w:rPr>
      </w:pPr>
      <w:r>
        <w:rPr>
          <w:caps w:val="false"/>
          <w:smallCaps w:val="false"/>
        </w:rPr>
        <w:t> </w:t>
      </w:r>
      <w:bookmarkStart w:id="442" w:name="xdx_8BE_zsYFpCGYwhQe"/>
      <w:bookmarkEnd w:id="442"/>
      <w:r>
        <w:rPr>
          <w:rFonts w:ascii="Times New Roman;Times;Serif" w:hAnsi="Times New Roman;Times;Serif"/>
          <w:b w:val="false"/>
          <w:i w:val="false"/>
          <w:caps w:val="false"/>
          <w:smallCaps w:val="false"/>
          <w:sz w:val="20"/>
        </w:rPr>
        <w:t>Schedule of effective income tax rate reconciliation</w:t>
      </w:r>
    </w:p>
    <w:tbl>
      <w:tblPr>
        <w:tblW w:w="7985" w:type="dxa"/>
        <w:jc w:val="left"/>
        <w:tblInd w:w="0" w:type="dxa"/>
        <w:tblLayout w:type="fixed"/>
        <w:tblCellMar>
          <w:top w:w="0" w:type="dxa"/>
          <w:left w:w="0" w:type="dxa"/>
          <w:bottom w:w="0" w:type="dxa"/>
          <w:right w:w="0" w:type="dxa"/>
        </w:tblCellMar>
      </w:tblPr>
      <w:tblGrid>
        <w:gridCol w:w="3920"/>
        <w:gridCol w:w="60"/>
        <w:gridCol w:w="140"/>
        <w:gridCol w:w="1055"/>
        <w:gridCol w:w="95"/>
        <w:gridCol w:w="60"/>
        <w:gridCol w:w="140"/>
        <w:gridCol w:w="1055"/>
        <w:gridCol w:w="95"/>
        <w:gridCol w:w="60"/>
        <w:gridCol w:w="140"/>
        <w:gridCol w:w="1055"/>
        <w:gridCol w:w="110"/>
      </w:tblGrid>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3" w:name="xdx_49D_20240101__20241231_zNesDdsPnPa1"/>
            <w:bookmarkEnd w:id="443"/>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4" w:name="xdx_491_20230101__20231231_zyLPdolUZFub"/>
            <w:bookmarkEnd w:id="444"/>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45" w:name="xdx_49E_20220101__20221231_zS5tFAiquCRb"/>
            <w:bookmarkEnd w:id="445"/>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center"/>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1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center"/>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95"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110" w:type="dxa"/>
            <w:tcBorders/>
            <w:vAlign w:val="center"/>
          </w:tcPr>
          <w:p>
            <w:pPr>
              <w:pStyle w:val="TableContents"/>
              <w:bidi w:val="0"/>
              <w:spacing w:before="0" w:after="283"/>
              <w:jc w:val="left"/>
              <w:rPr/>
            </w:pPr>
            <w:r>
              <w:rPr/>
              <w:t> </w:t>
            </w:r>
            <w:bookmarkStart w:id="446" w:name="xdx_406_eus-gaap--IncomeTaxReconciliatio"/>
            <w:bookmarkEnd w:id="446"/>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at Italy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(2,037,277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(2,794,909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(2,034,663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7" w:name="xdx_403_eus-gaap--IncomeTaxReconciliatio"/>
            <w:bookmarkEnd w:id="447"/>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Permanent differences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8" w:name="xdx_403_eus-gaap--IncomeTaxReconciliatio"/>
            <w:bookmarkEnd w:id="448"/>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(171,032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w:t>
            </w:r>
          </w:p>
        </w:tc>
        <w:tc>
          <w:tcPr>
            <w:tcW w:w="110" w:type="dxa"/>
            <w:tcBorders/>
            <w:shd w:fill="CCEEFF" w:val="clear"/>
            <w:vAlign w:val="center"/>
          </w:tcPr>
          <w:p>
            <w:pPr>
              <w:pStyle w:val="TableContents"/>
              <w:bidi w:val="0"/>
              <w:spacing w:before="0" w:after="283"/>
              <w:jc w:val="left"/>
              <w:rPr/>
            </w:pPr>
            <w:r>
              <w:rPr/>
              <w:t> </w:t>
            </w:r>
            <w:bookmarkStart w:id="449" w:name="xdx_404_ecustom--IncomeTaxReconciliation"/>
            <w:bookmarkEnd w:id="449"/>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Federal Income tax for Genenta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(62,825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(89,910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(31,993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0" w:name="xdx_40A_eus-gaap--IncomeTaxReconciliatio"/>
            <w:bookmarkEnd w:id="450"/>
          </w:p>
        </w:tc>
      </w:tr>
      <w:tr>
        <w:trPr/>
        <w:tc>
          <w:tcPr>
            <w:tcW w:w="3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2,746,339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2,226,074</w:t>
            </w:r>
          </w:p>
        </w:tc>
        <w:tc>
          <w:tcPr>
            <w:tcW w:w="110" w:type="dxa"/>
            <w:tcBorders/>
            <w:shd w:fill="CCEEFF" w:val="clear"/>
            <w:vAlign w:val="center"/>
          </w:tcPr>
          <w:p>
            <w:pPr>
              <w:pStyle w:val="TableContents"/>
              <w:bidi w:val="0"/>
              <w:spacing w:before="0" w:after="283"/>
              <w:jc w:val="left"/>
              <w:rPr/>
            </w:pPr>
            <w:r>
              <w:rPr/>
              <w:t> </w:t>
            </w:r>
            <w:bookmarkStart w:id="451" w:name="xdx_40F_eus-gaap--IncomeTaxExpenseBenefi"/>
            <w:bookmarkEnd w:id="451"/>
          </w:p>
        </w:tc>
      </w:tr>
      <w:tr>
        <w:trPr/>
        <w:tc>
          <w:tcPr>
            <w:tcW w:w="3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provision expense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2" w:name="xdx_8A4_zpsxRzm4Jpai"/>
      <w:bookmarkEnd w:id="452"/>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53" w:name="xdx_896_eus-gaap--ScheduleOfDeferredTaxA"/>
      <w:bookmarkEnd w:id="453"/>
      <w:r>
        <w:rPr>
          <w:rFonts w:ascii="Times New Roman;Times;Serif" w:hAnsi="Times New Roman;Times;Serif"/>
          <w:b w:val="false"/>
          <w:i w:val="false"/>
          <w:caps w:val="false"/>
          <w:smallCaps w:val="false"/>
          <w:sz w:val="20"/>
        </w:rPr>
        <w:t>Significant components of the Company’s net deferred tax assets are summarized as follows:</w:t>
      </w:r>
    </w:p>
    <w:p>
      <w:pPr>
        <w:pStyle w:val="TextBody"/>
        <w:bidi w:val="0"/>
        <w:spacing w:before="0" w:after="0"/>
        <w:ind w:left="0" w:right="0" w:firstLine="720"/>
        <w:jc w:val="both"/>
        <w:rPr>
          <w:caps w:val="false"/>
          <w:smallCaps w:val="false"/>
        </w:rPr>
      </w:pPr>
      <w:r>
        <w:rPr>
          <w:caps w:val="false"/>
          <w:smallCaps w:val="false"/>
        </w:rPr>
        <w:t> </w:t>
      </w:r>
      <w:bookmarkStart w:id="454" w:name="xdx_8B8_zZyRJk1kAmO6"/>
      <w:bookmarkEnd w:id="454"/>
      <w:r>
        <w:rPr>
          <w:rFonts w:ascii="Times New Roman;Times;Serif" w:hAnsi="Times New Roman;Times;Serif"/>
          <w:b w:val="false"/>
          <w:i w:val="false"/>
          <w:caps w:val="false"/>
          <w:smallCaps w:val="false"/>
          <w:sz w:val="20"/>
        </w:rPr>
        <w:t>Schedule of deferred tax assets</w:t>
      </w:r>
    </w:p>
    <w:tbl>
      <w:tblPr>
        <w:tblW w:w="7430" w:type="dxa"/>
        <w:jc w:val="left"/>
        <w:tblInd w:w="0" w:type="dxa"/>
        <w:tblLayout w:type="fixed"/>
        <w:tblCellMar>
          <w:top w:w="0" w:type="dxa"/>
          <w:left w:w="0" w:type="dxa"/>
          <w:bottom w:w="0" w:type="dxa"/>
          <w:right w:w="0" w:type="dxa"/>
        </w:tblCellMar>
      </w:tblPr>
      <w:tblGrid>
        <w:gridCol w:w="3125"/>
        <w:gridCol w:w="60"/>
        <w:gridCol w:w="140"/>
        <w:gridCol w:w="1175"/>
        <w:gridCol w:w="95"/>
        <w:gridCol w:w="60"/>
        <w:gridCol w:w="140"/>
        <w:gridCol w:w="1175"/>
        <w:gridCol w:w="95"/>
        <w:gridCol w:w="60"/>
        <w:gridCol w:w="140"/>
        <w:gridCol w:w="1055"/>
        <w:gridCol w:w="110"/>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5" w:name="xdx_498_20241231_zydTE1I7pqr1"/>
            <w:bookmarkEnd w:id="455"/>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6" w:name="xdx_499_20231231_zU6z26iHW9Eh"/>
            <w:bookmarkEnd w:id="456"/>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57" w:name="xdx_492_20221231_z5yMo23co2Ei"/>
            <w:bookmarkEnd w:id="457"/>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center"/>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10"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center"/>
              <w:rPr/>
            </w:pPr>
            <w:r>
              <w:rPr/>
              <w:t> </w:t>
            </w:r>
          </w:p>
        </w:tc>
      </w:tr>
      <w:tr>
        <w:trPr/>
        <w:tc>
          <w:tcPr>
            <w:tcW w:w="3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(in Euros)</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58" w:name="xdx_40C_eus-gaap--DeferredTaxAssetsOpera"/>
            <w:bookmarkEnd w:id="458"/>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13,876,117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11,772,870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9,197,563</w:t>
            </w:r>
          </w:p>
        </w:tc>
        <w:tc>
          <w:tcPr>
            <w:tcW w:w="110" w:type="dxa"/>
            <w:tcBorders/>
            <w:shd w:fill="CCEEFF" w:val="clear"/>
            <w:vAlign w:val="center"/>
          </w:tcPr>
          <w:p>
            <w:pPr>
              <w:pStyle w:val="TableContents"/>
              <w:bidi w:val="0"/>
              <w:spacing w:before="0" w:after="283"/>
              <w:jc w:val="left"/>
              <w:rPr/>
            </w:pPr>
            <w:r>
              <w:rPr/>
              <w:t> </w:t>
            </w:r>
            <w:bookmarkStart w:id="459" w:name="xdx_407_eus-gaap--DeferredTaxAssetsOther"/>
            <w:bookmarkEnd w:id="459"/>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temporary differences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52,996</w:t>
            </w:r>
          </w:p>
        </w:tc>
        <w:tc>
          <w:tcPr>
            <w:tcW w:w="110" w:type="dxa"/>
            <w:tcBorders/>
            <w:shd w:fill="FFFFFF" w:val="clear"/>
            <w:vAlign w:val="center"/>
          </w:tcPr>
          <w:p>
            <w:pPr>
              <w:pStyle w:val="TableContents"/>
              <w:bidi w:val="0"/>
              <w:spacing w:before="0" w:after="283"/>
              <w:jc w:val="left"/>
              <w:rPr/>
            </w:pPr>
            <w:r>
              <w:rPr/>
              <w:t> </w:t>
            </w:r>
            <w:bookmarkStart w:id="460" w:name="xdx_408_ecustom--DeferredTaxAssetsAllowa"/>
            <w:bookmarkEnd w:id="460"/>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Allowance for corporate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422,011</w:t>
            </w:r>
          </w:p>
        </w:tc>
        <w:tc>
          <w:tcPr>
            <w:tcW w:w="110" w:type="dxa"/>
            <w:tcBorders/>
            <w:shd w:fill="CCEEFF" w:val="clear"/>
            <w:vAlign w:val="center"/>
          </w:tcPr>
          <w:p>
            <w:pPr>
              <w:pStyle w:val="TableContents"/>
              <w:bidi w:val="0"/>
              <w:spacing w:before="0" w:after="283"/>
              <w:jc w:val="left"/>
              <w:rPr/>
            </w:pPr>
            <w:r>
              <w:rPr/>
              <w:t> </w:t>
            </w:r>
            <w:bookmarkStart w:id="461" w:name="xdx_403_eus-gaap--DeferredTaxAssetsGross"/>
            <w:bookmarkEnd w:id="461"/>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14,487,319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12,418,909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9,672,570</w:t>
            </w:r>
          </w:p>
        </w:tc>
        <w:tc>
          <w:tcPr>
            <w:tcW w:w="110" w:type="dxa"/>
            <w:tcBorders/>
            <w:shd w:fill="FFFFFF" w:val="clear"/>
            <w:vAlign w:val="center"/>
          </w:tcPr>
          <w:p>
            <w:pPr>
              <w:pStyle w:val="TableContents"/>
              <w:bidi w:val="0"/>
              <w:spacing w:before="0" w:after="283"/>
              <w:jc w:val="left"/>
              <w:rPr/>
            </w:pPr>
            <w:r>
              <w:rPr/>
              <w:t> </w:t>
            </w:r>
            <w:bookmarkStart w:id="462" w:name="xdx_40D_eus-gaap--DeferredTaxAssetsValua"/>
            <w:bookmarkEnd w:id="462"/>
          </w:p>
        </w:tc>
      </w:tr>
      <w:tr>
        <w:trPr/>
        <w:tc>
          <w:tcPr>
            <w:tcW w:w="31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(14,487,319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(12,418,909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(9,672,570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3" w:name="xdx_40C_eus-gaap--DeferredTaxAssetsNet_i"/>
            <w:bookmarkEnd w:id="463"/>
          </w:p>
        </w:tc>
      </w:tr>
      <w:tr>
        <w:trPr/>
        <w:tc>
          <w:tcPr>
            <w:tcW w:w="31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64" w:name="xdx_8AE_zhqJTjmNIYx6"/>
      <w:bookmarkEnd w:id="46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2023, and 2022, the Company believes there are no significant differences with regard to its deferred tax assets and its relevant components, compared to the computations of the preceding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2011, the Italian tax authorities issued rules that modified the previous treatment of tax loss carryforwards. According to the applicable law, all existing tax loss carry forwards will never expire but they can off-set </w:t>
      </w:r>
      <w:bookmarkStart w:id="465" w:name="xdx_900_ecustom--PercentageOfTaxableInco"/>
      <w:bookmarkEnd w:id="465"/>
      <w:r>
        <w:rPr>
          <w:rFonts w:ascii="Times New Roman;Times;Serif" w:hAnsi="Times New Roman;Times;Serif"/>
          <w:b w:val="false"/>
          <w:i w:val="false"/>
          <w:caps w:val="false"/>
          <w:smallCaps w:val="false"/>
          <w:sz w:val="20"/>
        </w:rPr>
        <w:t>80% of the taxable income of the year. The rules do not affect the tax loss carryforward that refer to the start-up period, defined as the first three years of operations starting from the inception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amount of deferred tax assets that can be carried forward indefinitely and used without limitation or with the limit of 80% of taxable income generated in Italy, as provided by Legislative Decree 98/2011:</w:t>
      </w:r>
    </w:p>
    <w:p>
      <w:pPr>
        <w:pStyle w:val="TextBody"/>
        <w:bidi w:val="0"/>
        <w:spacing w:before="0" w:after="0"/>
        <w:ind w:left="0" w:right="0" w:hanging="0"/>
        <w:jc w:val="both"/>
        <w:rPr>
          <w:caps w:val="false"/>
          <w:smallCaps w:val="false"/>
        </w:rPr>
      </w:pPr>
      <w:bookmarkStart w:id="466" w:name="xdx_894_ecustom--ScheduleOfTaxLossCarryf"/>
      <w:bookmarkEnd w:id="466"/>
      <w:r>
        <w:rPr>
          <w:caps w:val="false"/>
          <w:smallCaps w:val="false"/>
        </w:rPr>
        <w:t> </w:t>
      </w:r>
      <w:bookmarkStart w:id="467" w:name="xdx_8B4_zakEPXOn2KUd"/>
      <w:bookmarkEnd w:id="467"/>
      <w:r>
        <w:rPr>
          <w:rFonts w:ascii="Times New Roman;Times;Serif" w:hAnsi="Times New Roman;Times;Serif"/>
          <w:b w:val="false"/>
          <w:i w:val="false"/>
          <w:caps w:val="false"/>
          <w:smallCaps w:val="false"/>
          <w:sz w:val="20"/>
        </w:rPr>
        <w:t>Schedule of tax loss carryforwards expire</w:t>
      </w:r>
    </w:p>
    <w:tbl>
      <w:tblPr>
        <w:tblW w:w="7170" w:type="dxa"/>
        <w:jc w:val="left"/>
        <w:tblInd w:w="0" w:type="dxa"/>
        <w:tblLayout w:type="fixed"/>
        <w:tblCellMar>
          <w:top w:w="0" w:type="dxa"/>
          <w:left w:w="0" w:type="dxa"/>
          <w:bottom w:w="0" w:type="dxa"/>
          <w:right w:w="0" w:type="dxa"/>
        </w:tblCellMar>
      </w:tblPr>
      <w:tblGrid>
        <w:gridCol w:w="3155"/>
        <w:gridCol w:w="60"/>
        <w:gridCol w:w="140"/>
        <w:gridCol w:w="1100"/>
        <w:gridCol w:w="60"/>
        <w:gridCol w:w="60"/>
        <w:gridCol w:w="140"/>
        <w:gridCol w:w="1100"/>
        <w:gridCol w:w="60"/>
        <w:gridCol w:w="60"/>
        <w:gridCol w:w="60"/>
        <w:gridCol w:w="1100"/>
        <w:gridCol w:w="75"/>
      </w:tblGrid>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68" w:name="xdx_499_20241231_z6USYThCQDAk"/>
            <w:bookmarkEnd w:id="468"/>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69" w:name="xdx_493_20231231_zEvzeXNGzuzd"/>
            <w:bookmarkEnd w:id="469"/>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470" w:name="xdx_494_20221231_zCFmKkDWmael"/>
            <w:bookmarkEnd w:id="470"/>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75" w:type="dxa"/>
            <w:tcBorders/>
            <w:vAlign w:val="center"/>
          </w:tcPr>
          <w:p>
            <w:pPr>
              <w:pStyle w:val="TableContents"/>
              <w:bidi w:val="0"/>
              <w:spacing w:before="0" w:after="283"/>
              <w:jc w:val="left"/>
              <w:rPr/>
            </w:pPr>
            <w:r>
              <w:rPr/>
              <w:t> </w:t>
            </w:r>
            <w:bookmarkStart w:id="471" w:name="xdx_40C_eus-gaap--OperatingLossCarryforw"/>
            <w:bookmarkEnd w:id="471"/>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expiration date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5,487,085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5,487,085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5,487,085</w:t>
            </w:r>
          </w:p>
        </w:tc>
        <w:tc>
          <w:tcPr>
            <w:tcW w:w="75" w:type="dxa"/>
            <w:tcBorders/>
            <w:shd w:fill="CCEEFF" w:val="clear"/>
            <w:vAlign w:val="center"/>
          </w:tcPr>
          <w:p>
            <w:pPr>
              <w:pStyle w:val="TableContents"/>
              <w:bidi w:val="0"/>
              <w:spacing w:before="0" w:after="283"/>
              <w:jc w:val="left"/>
              <w:rPr/>
            </w:pPr>
            <w:r>
              <w:rPr/>
              <w:t> </w:t>
            </w:r>
            <w:bookmarkStart w:id="472" w:name="xdx_40C_eus-gaap--OperatingLossCarryforw"/>
            <w:bookmarkEnd w:id="472"/>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expiration date - DL 98/2011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51,680,567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43,191,915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33,054,966</w:t>
            </w:r>
          </w:p>
        </w:tc>
        <w:tc>
          <w:tcPr>
            <w:tcW w:w="75" w:type="dxa"/>
            <w:tcBorders/>
            <w:shd w:fill="FFFFFF" w:val="clear"/>
            <w:vAlign w:val="center"/>
          </w:tcPr>
          <w:p>
            <w:pPr>
              <w:pStyle w:val="TableContents"/>
              <w:bidi w:val="0"/>
              <w:spacing w:before="0" w:after="283"/>
              <w:jc w:val="left"/>
              <w:rPr/>
            </w:pPr>
            <w:r>
              <w:rPr/>
              <w:t> </w:t>
            </w:r>
            <w:bookmarkStart w:id="473" w:name="xdx_405_eus-gaap--OperatingLossCarryforw"/>
            <w:bookmarkEnd w:id="473"/>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57,167,652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48,679,000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38,542,051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74" w:name="xdx_8A3_zvwcDjAVeEbh"/>
      <w:bookmarkEnd w:id="47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its tax position by determining the amount of tax losses that can be carried forward indefinitely and has decided to accrue an allowance for related deferred tax assets as the Company is in a situation of pre-revenues that is destined to remain in the long run and there is no certainty of the future recoverability of such tax losses through tax relevant incomes. Future taxable profits for the Company depend on the manufacture of marketable drugs following the successful completion of the clinical trial. Since the clinical trial is still in an early phase, the time frame and uncertainties regarding the outcome of the completion justify the full allowance of deferred tax assets.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5" w:name="xdx_806_eus-gaap--OtherCurrentAssetsText"/>
      <w:bookmarkEnd w:id="475"/>
      <w:r>
        <w:rPr>
          <w:rFonts w:ascii="Times New Roman;Times;Serif" w:hAnsi="Times New Roman;Times;Serif"/>
          <w:b/>
          <w:i w:val="false"/>
          <w:caps w:val="false"/>
          <w:smallCaps w:val="false"/>
          <w:sz w:val="20"/>
        </w:rPr>
        <w:t xml:space="preserve">6. </w:t>
      </w:r>
      <w:bookmarkStart w:id="476" w:name="xdx_828_zDYCKWefQGH2"/>
      <w:bookmarkEnd w:id="476"/>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477" w:name="xdx_892_eus-gaap--ScheduleOfOtherCurrent"/>
      <w:bookmarkEnd w:id="477"/>
      <w:r>
        <w:rPr>
          <w:rFonts w:ascii="Times New Roman;Times;Serif" w:hAnsi="Times New Roman;Times;Serif"/>
          <w:b w:val="false"/>
          <w:i w:val="false"/>
          <w:caps w:val="false"/>
          <w:smallCaps w:val="false"/>
          <w:sz w:val="20"/>
        </w:rPr>
        <w:t>Prepaid expenses and other current assets consist of the following:</w:t>
      </w:r>
    </w:p>
    <w:p>
      <w:pPr>
        <w:pStyle w:val="TextBody"/>
        <w:bidi w:val="0"/>
        <w:spacing w:before="0" w:after="0"/>
        <w:ind w:left="0" w:right="0" w:firstLine="720"/>
        <w:jc w:val="left"/>
        <w:rPr>
          <w:caps w:val="false"/>
          <w:smallCaps w:val="false"/>
        </w:rPr>
      </w:pPr>
      <w:r>
        <w:rPr>
          <w:caps w:val="false"/>
          <w:smallCaps w:val="false"/>
        </w:rPr>
        <w:t> </w:t>
      </w:r>
      <w:bookmarkStart w:id="478" w:name="xdx_8B6_zk4sZR20VDf9"/>
      <w:bookmarkEnd w:id="478"/>
      <w:r>
        <w:rPr>
          <w:rFonts w:ascii="Times New Roman;Times;Serif" w:hAnsi="Times New Roman;Times;Serif"/>
          <w:b w:val="false"/>
          <w:i w:val="false"/>
          <w:caps w:val="false"/>
          <w:smallCaps w:val="false"/>
          <w:sz w:val="20"/>
        </w:rPr>
        <w:t>Schedule of prepaid expenses and other current assets </w:t>
      </w:r>
    </w:p>
    <w:tbl>
      <w:tblPr>
        <w:tblW w:w="7250" w:type="dxa"/>
        <w:jc w:val="left"/>
        <w:tblInd w:w="0" w:type="dxa"/>
        <w:tblLayout w:type="fixed"/>
        <w:tblCellMar>
          <w:top w:w="0" w:type="dxa"/>
          <w:left w:w="0" w:type="dxa"/>
          <w:bottom w:w="0" w:type="dxa"/>
          <w:right w:w="0" w:type="dxa"/>
        </w:tblCellMar>
      </w:tblPr>
      <w:tblGrid>
        <w:gridCol w:w="3515"/>
        <w:gridCol w:w="60"/>
        <w:gridCol w:w="140"/>
        <w:gridCol w:w="980"/>
        <w:gridCol w:w="60"/>
        <w:gridCol w:w="60"/>
        <w:gridCol w:w="140"/>
        <w:gridCol w:w="980"/>
        <w:gridCol w:w="60"/>
        <w:gridCol w:w="60"/>
        <w:gridCol w:w="140"/>
        <w:gridCol w:w="980"/>
        <w:gridCol w:w="75"/>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9" w:name="xdx_494_20241231_zogvJk407yZ9"/>
            <w:bookmarkEnd w:id="479"/>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0" w:name="xdx_49B_20231231_zpVGuX74uUSd"/>
            <w:bookmarkEnd w:id="48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81" w:name="xdx_49F_20221231_zj3RguciO5i"/>
            <w:bookmarkEnd w:id="481"/>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2022</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75" w:type="dxa"/>
            <w:tcBorders/>
            <w:vAlign w:val="center"/>
          </w:tcPr>
          <w:p>
            <w:pPr>
              <w:pStyle w:val="TableContents"/>
              <w:bidi w:val="0"/>
              <w:spacing w:before="0" w:after="283"/>
              <w:jc w:val="left"/>
              <w:rPr/>
            </w:pPr>
            <w:r>
              <w:rPr/>
              <w:t> </w:t>
            </w:r>
            <w:bookmarkStart w:id="482" w:name="xdx_406_eus-gaap--ValueAddedTaxReceivabl"/>
            <w:bookmarkEnd w:id="482"/>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Value Added Tax (VAT)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1,170,634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912,423</w:t>
            </w:r>
          </w:p>
        </w:tc>
        <w:tc>
          <w:tcPr>
            <w:tcW w:w="75" w:type="dxa"/>
            <w:tcBorders/>
            <w:shd w:fill="CCEEFF" w:val="clear"/>
            <w:vAlign w:val="center"/>
          </w:tcPr>
          <w:p>
            <w:pPr>
              <w:pStyle w:val="TableContents"/>
              <w:bidi w:val="0"/>
              <w:spacing w:before="0" w:after="283"/>
              <w:jc w:val="left"/>
              <w:rPr/>
            </w:pPr>
            <w:r>
              <w:rPr/>
              <w:t> </w:t>
            </w:r>
            <w:bookmarkStart w:id="483" w:name="xdx_40E_ecustom--ResearchAndDevelopmentT"/>
            <w:bookmarkEnd w:id="483"/>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tax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749,676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650,000</w:t>
            </w:r>
          </w:p>
        </w:tc>
        <w:tc>
          <w:tcPr>
            <w:tcW w:w="75" w:type="dxa"/>
            <w:tcBorders/>
            <w:shd w:fill="FFFFFF" w:val="clear"/>
            <w:vAlign w:val="center"/>
          </w:tcPr>
          <w:p>
            <w:pPr>
              <w:pStyle w:val="TableContents"/>
              <w:bidi w:val="0"/>
              <w:spacing w:before="0" w:after="283"/>
              <w:jc w:val="left"/>
              <w:rPr/>
            </w:pPr>
            <w:r>
              <w:rPr/>
              <w:t> </w:t>
            </w:r>
            <w:bookmarkStart w:id="484" w:name="xdx_407_eus-gaap--Supplies_iI_maPECzw0D_"/>
            <w:bookmarkEnd w:id="484"/>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Advances payments to suppliers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41,149</w:t>
            </w:r>
          </w:p>
        </w:tc>
        <w:tc>
          <w:tcPr>
            <w:tcW w:w="75" w:type="dxa"/>
            <w:tcBorders/>
            <w:shd w:fill="CCEEFF" w:val="clear"/>
            <w:vAlign w:val="center"/>
          </w:tcPr>
          <w:p>
            <w:pPr>
              <w:pStyle w:val="TableContents"/>
              <w:bidi w:val="0"/>
              <w:spacing w:before="0" w:after="283"/>
              <w:jc w:val="left"/>
              <w:rPr/>
            </w:pPr>
            <w:r>
              <w:rPr/>
              <w:t> </w:t>
            </w:r>
            <w:bookmarkStart w:id="485" w:name="xdx_408_eus-gaap--OtherAssetsCurrent_iI_"/>
            <w:bookmarkEnd w:id="485"/>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219,400</w:t>
            </w:r>
          </w:p>
        </w:tc>
        <w:tc>
          <w:tcPr>
            <w:tcW w:w="75" w:type="dxa"/>
            <w:tcBorders/>
            <w:shd w:fill="FFFFFF" w:val="clear"/>
            <w:vAlign w:val="center"/>
          </w:tcPr>
          <w:p>
            <w:pPr>
              <w:pStyle w:val="TableContents"/>
              <w:bidi w:val="0"/>
              <w:spacing w:before="0" w:after="283"/>
              <w:jc w:val="left"/>
              <w:rPr/>
            </w:pPr>
            <w:r>
              <w:rPr/>
              <w:t> </w:t>
            </w:r>
            <w:bookmarkStart w:id="486" w:name="xdx_402_eus-gaap--OtherPrepaidExpenseCur"/>
            <w:bookmarkEnd w:id="486"/>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prepaids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103,540</w:t>
            </w:r>
          </w:p>
        </w:tc>
        <w:tc>
          <w:tcPr>
            <w:tcW w:w="75" w:type="dxa"/>
            <w:tcBorders/>
            <w:shd w:fill="CCEEFF" w:val="clear"/>
            <w:vAlign w:val="center"/>
          </w:tcPr>
          <w:p>
            <w:pPr>
              <w:pStyle w:val="TableContents"/>
              <w:bidi w:val="0"/>
              <w:spacing w:before="0" w:after="283"/>
              <w:jc w:val="left"/>
              <w:rPr/>
            </w:pPr>
            <w:r>
              <w:rPr/>
              <w:t> </w:t>
            </w:r>
            <w:bookmarkStart w:id="487" w:name="xdx_407_eus-gaap--PrepaidExpenseCurrent_"/>
            <w:bookmarkEnd w:id="487"/>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1,813,226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2,480,554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1,926,512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88" w:name="xdx_8A4_zVhWfEP3QPJa"/>
      <w:bookmarkEnd w:id="48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 Added Tax (VAT) receivables are linked to purchases. Italian VAT (</w:t>
      </w:r>
      <w:r>
        <w:rPr>
          <w:rFonts w:ascii="Times New Roman;Times;Serif" w:hAnsi="Times New Roman;Times;Serif"/>
          <w:b w:val="false"/>
          <w:i/>
          <w:caps w:val="false"/>
          <w:smallCaps w:val="false"/>
          <w:sz w:val="20"/>
        </w:rPr>
        <w:t>Imposta sul Valore Aggiunto</w:t>
      </w:r>
      <w:r>
        <w:rPr>
          <w:rFonts w:ascii="Times New Roman;Times;Serif" w:hAnsi="Times New Roman;Times;Serif"/>
          <w:b w:val="false"/>
          <w:i w:val="false"/>
          <w:caps w:val="false"/>
          <w:smallCaps w:val="false"/>
          <w:sz w:val="20"/>
        </w:rPr>
        <w:t xml:space="preserve">) applies to the supply of goods and services carried out in Italy by entrepreneurs, professionals, or artists and on imports carried out by anyone. Intra-Community acquisitions are also subject to VAT under certain situations. The Italian standard VAT rate for 2024, 2023, and 2022 was </w:t>
      </w:r>
      <w:bookmarkStart w:id="489" w:name="xdx_908_ecustom--PercentageofValueAddedT"/>
      <w:bookmarkEnd w:id="489"/>
      <w:r>
        <w:rPr>
          <w:rFonts w:ascii="Times New Roman;Times;Serif" w:hAnsi="Times New Roman;Times;Serif"/>
          <w:b w:val="false"/>
          <w:i w:val="false"/>
          <w:caps w:val="false"/>
          <w:smallCaps w:val="false"/>
          <w:sz w:val="20"/>
        </w:rPr>
        <w:t>22%. Reduced rates are provided for specifically listed supplies of goods and services. It is carried forward indefinitely and does not expire.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w:t>
      </w:r>
      <w:bookmarkStart w:id="490" w:name="xdx_904_eus-gaap--IncomeTaxReconciliatio"/>
      <w:bookmarkEnd w:id="490"/>
      <w:r>
        <w:rPr>
          <w:rFonts w:ascii="Times New Roman;Times;Serif" w:hAnsi="Times New Roman;Times;Serif"/>
          <w:b w:val="false"/>
          <w:i w:val="false"/>
          <w:caps w:val="false"/>
          <w:smallCaps w:val="false"/>
          <w:sz w:val="20"/>
        </w:rPr>
        <w:t>3.8 million at December 31, 2024, €</w:t>
      </w:r>
      <w:bookmarkStart w:id="491" w:name="xdx_903_eus-gaap--IncomeTaxReconciliatio"/>
      <w:bookmarkEnd w:id="491"/>
      <w:r>
        <w:rPr>
          <w:rFonts w:ascii="Times New Roman;Times;Serif" w:hAnsi="Times New Roman;Times;Serif"/>
          <w:b w:val="false"/>
          <w:i w:val="false"/>
          <w:caps w:val="false"/>
          <w:smallCaps w:val="false"/>
          <w:sz w:val="20"/>
        </w:rPr>
        <w:t>4.1 million at December 31, 2023, and approximately €</w:t>
      </w:r>
      <w:bookmarkStart w:id="492" w:name="xdx_90A_eus-gaap--IncomeTaxReconciliatio"/>
      <w:bookmarkEnd w:id="492"/>
      <w:r>
        <w:rPr>
          <w:rFonts w:ascii="Times New Roman;Times;Serif" w:hAnsi="Times New Roman;Times;Serif"/>
          <w:b w:val="false"/>
          <w:i w:val="false"/>
          <w:caps w:val="false"/>
          <w:smallCaps w:val="false"/>
          <w:sz w:val="20"/>
        </w:rPr>
        <w:t>4.4 million at December 31, 2022, which can be carried forward indefinitely and do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for approximately 12 months after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12-month period ended December 31, 2024, and 2023, the Company utilized approximately €</w:t>
      </w:r>
      <w:bookmarkStart w:id="493" w:name="xdx_906_eus-gaap--TaxesPayableCurrent_iI"/>
      <w:bookmarkEnd w:id="493"/>
      <w:r>
        <w:rPr>
          <w:rFonts w:ascii="Times New Roman;Times;Serif" w:hAnsi="Times New Roman;Times;Serif"/>
          <w:b w:val="false"/>
          <w:i w:val="false"/>
          <w:caps w:val="false"/>
          <w:smallCaps w:val="false"/>
          <w:sz w:val="20"/>
        </w:rPr>
        <w:t>750,000 and €</w:t>
      </w:r>
      <w:bookmarkStart w:id="494" w:name="xdx_90E_eus-gaap--TaxesPayableCurrent_iI"/>
      <w:bookmarkEnd w:id="494"/>
      <w:r>
        <w:rPr>
          <w:rFonts w:ascii="Times New Roman;Times;Serif" w:hAnsi="Times New Roman;Times;Serif"/>
          <w:b w:val="false"/>
          <w:i w:val="false"/>
          <w:caps w:val="false"/>
          <w:smallCaps w:val="false"/>
          <w:sz w:val="20"/>
        </w:rPr>
        <w:t>732,000, respectively, to offset certain social contributions and taxes payable, while during the financial year 2022, the Company utilized approximately €</w:t>
      </w:r>
      <w:bookmarkStart w:id="495" w:name="xdx_90A_eus-gaap--TaxesPayableCurrent_iI"/>
      <w:bookmarkEnd w:id="495"/>
      <w:r>
        <w:rPr>
          <w:rFonts w:ascii="Times New Roman;Times;Serif" w:hAnsi="Times New Roman;Times;Serif"/>
          <w:b w:val="false"/>
          <w:i w:val="false"/>
          <w:caps w:val="false"/>
          <w:smallCaps w:val="false"/>
          <w:sz w:val="20"/>
        </w:rPr>
        <w:t>600,000. The benefit recorded for the 12-months ended December 31, 2024, 2023, and 2022, to offset research and development expenses was approximately €</w:t>
      </w:r>
      <w:bookmarkStart w:id="496" w:name="xdx_903_eus-gaap--ResearchAndDevelopment"/>
      <w:bookmarkEnd w:id="496"/>
      <w:r>
        <w:rPr>
          <w:rFonts w:ascii="Times New Roman;Times;Serif" w:hAnsi="Times New Roman;Times;Serif"/>
          <w:b w:val="false"/>
          <w:i w:val="false"/>
          <w:caps w:val="false"/>
          <w:smallCaps w:val="false"/>
          <w:sz w:val="20"/>
        </w:rPr>
        <w:t>499,000, €</w:t>
      </w:r>
      <w:bookmarkStart w:id="497" w:name="xdx_90D_eus-gaap--ResearchAndDevelopment"/>
      <w:bookmarkEnd w:id="497"/>
      <w:r>
        <w:rPr>
          <w:rFonts w:ascii="Times New Roman;Times;Serif" w:hAnsi="Times New Roman;Times;Serif"/>
          <w:b w:val="false"/>
          <w:i w:val="false"/>
          <w:caps w:val="false"/>
          <w:smallCaps w:val="false"/>
          <w:sz w:val="20"/>
        </w:rPr>
        <w:t>430,000, and €</w:t>
      </w:r>
      <w:bookmarkStart w:id="498" w:name="xdx_905_eus-gaap--ResearchAndDevelopment"/>
      <w:bookmarkEnd w:id="498"/>
      <w:r>
        <w:rPr>
          <w:rFonts w:ascii="Times New Roman;Times;Serif" w:hAnsi="Times New Roman;Times;Serif"/>
          <w:b w:val="false"/>
          <w:i w:val="false"/>
          <w:caps w:val="false"/>
          <w:smallCaps w:val="false"/>
          <w:sz w:val="20"/>
        </w:rPr>
        <w:t>698,000,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payments to suppliers at December 31, 2024, 2023, and 2022 mainly relate to R&amp;D operating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at December 31, 2024 mainly relate to interest maturing on investment in marketable securities and the allowance for corporate equity (“ACE”) of approximately €</w:t>
      </w:r>
      <w:bookmarkStart w:id="499" w:name="xdx_90E_eus-gaap--OtherAssetsCurrent_iI_"/>
      <w:bookmarkEnd w:id="499"/>
      <w:r>
        <w:rPr>
          <w:rFonts w:ascii="Times New Roman;Times;Serif" w:hAnsi="Times New Roman;Times;Serif"/>
          <w:b w:val="false"/>
          <w:i w:val="false"/>
          <w:caps w:val="false"/>
          <w:smallCaps w:val="false"/>
          <w:sz w:val="20"/>
        </w:rPr>
        <w:t>180,000 reclassified from long-term assets since, based on the latest updates received from the Italian Revenue Agency. It will be recovered in the short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at December 31, 2023 mainly relate to interests maturing on investment in marketable securities, while Other current assets at December 31, 2022 mainly relate to the allowance for corporate equity of approximately €</w:t>
      </w:r>
      <w:bookmarkStart w:id="500" w:name="xdx_904_eus-gaap--OtherAssetsCurrent_iI_"/>
      <w:bookmarkEnd w:id="500"/>
      <w:r>
        <w:rPr>
          <w:rFonts w:ascii="Times New Roman;Times;Serif" w:hAnsi="Times New Roman;Times;Serif"/>
          <w:b w:val="false"/>
          <w:i w:val="false"/>
          <w:caps w:val="false"/>
          <w:smallCaps w:val="false"/>
          <w:sz w:val="20"/>
        </w:rPr>
        <w:t>180,000 and the quota of accruing financial interest income on time deposits of approximately €</w:t>
      </w:r>
      <w:bookmarkStart w:id="501" w:name="xdx_901_eus-gaap--OtherAssetsCurrent_iI_"/>
      <w:bookmarkEnd w:id="501"/>
      <w:r>
        <w:rPr>
          <w:rFonts w:ascii="Times New Roman;Times;Serif" w:hAnsi="Times New Roman;Times;Serif"/>
          <w:b w:val="false"/>
          <w:i w:val="false"/>
          <w:caps w:val="false"/>
          <w:smallCaps w:val="false"/>
          <w:sz w:val="20"/>
        </w:rPr>
        <w:t>38,000.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Other prepaids mainly include expenses for various services, already financially incurred but attributable to the following year.</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2023, Other prepaid expenses mainly relate to the directors and officers (“D&amp;O”) insurance policy paid in December 2023 of approximately €</w:t>
      </w:r>
      <w:bookmarkStart w:id="502" w:name="xdx_903_eus-gaap--OtherPrepaidExpenseCur"/>
      <w:bookmarkEnd w:id="502"/>
      <w:r>
        <w:rPr>
          <w:rFonts w:ascii="Times New Roman;Times;Serif" w:hAnsi="Times New Roman;Times;Serif"/>
          <w:b w:val="false"/>
          <w:i w:val="false"/>
          <w:caps w:val="false"/>
          <w:smallCaps w:val="false"/>
          <w:sz w:val="20"/>
        </w:rPr>
        <w:t>0.2 million, while at December 31, 2022, Other prepaids mainly include expenses for various services, already financially incurred but attributable to the following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3" w:name="xdx_800_eus-gaap--PropertyPlantAndEquipm"/>
      <w:bookmarkEnd w:id="503"/>
      <w:r>
        <w:rPr>
          <w:rFonts w:ascii="Times New Roman;Times;Serif" w:hAnsi="Times New Roman;Times;Serif"/>
          <w:b/>
          <w:i w:val="false"/>
          <w:caps w:val="false"/>
          <w:smallCaps w:val="false"/>
          <w:sz w:val="20"/>
        </w:rPr>
        <w:t xml:space="preserve">7. </w:t>
      </w:r>
      <w:bookmarkStart w:id="504" w:name="xdx_821_zoHc4O8q7r26"/>
      <w:bookmarkEnd w:id="504"/>
      <w:r>
        <w:rPr>
          <w:rFonts w:ascii="Times New Roman;Times;Serif" w:hAnsi="Times New Roman;Times;Serif"/>
          <w:b/>
          <w:i w:val="false"/>
          <w:caps w:val="false"/>
          <w:smallCaps w:val="false"/>
          <w:sz w:val="20"/>
        </w:rPr>
        <w:t>Fixed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505" w:name="xdx_896_eus-gaap--PropertyPlantAndEquipm"/>
      <w:bookmarkEnd w:id="505"/>
      <w:r>
        <w:rPr>
          <w:rFonts w:ascii="Times New Roman;Times;Serif" w:hAnsi="Times New Roman;Times;Serif"/>
          <w:b w:val="false"/>
          <w:i w:val="false"/>
          <w:caps w:val="false"/>
          <w:smallCaps w:val="false"/>
          <w:sz w:val="20"/>
        </w:rPr>
        <w:t>Fixed assets consist of the following:</w:t>
      </w:r>
    </w:p>
    <w:p>
      <w:pPr>
        <w:pStyle w:val="TextBody"/>
        <w:bidi w:val="0"/>
        <w:spacing w:before="0" w:after="0"/>
        <w:ind w:left="0" w:right="0" w:firstLine="720"/>
        <w:jc w:val="left"/>
        <w:rPr>
          <w:caps w:val="false"/>
          <w:smallCaps w:val="false"/>
        </w:rPr>
      </w:pPr>
      <w:r>
        <w:rPr>
          <w:caps w:val="false"/>
          <w:smallCaps w:val="false"/>
        </w:rPr>
        <w:t> </w:t>
      </w:r>
      <w:bookmarkStart w:id="506" w:name="xdx_8BB_z5j1eBRpUsO8"/>
      <w:bookmarkEnd w:id="506"/>
      <w:r>
        <w:rPr>
          <w:rFonts w:ascii="Times New Roman;Times;Serif" w:hAnsi="Times New Roman;Times;Serif"/>
          <w:b w:val="false"/>
          <w:i w:val="false"/>
          <w:caps w:val="false"/>
          <w:smallCaps w:val="false"/>
          <w:sz w:val="20"/>
        </w:rPr>
        <w:t>Schedule of fixed assets,net </w:t>
      </w:r>
    </w:p>
    <w:tbl>
      <w:tblPr>
        <w:tblW w:w="7850" w:type="dxa"/>
        <w:jc w:val="left"/>
        <w:tblInd w:w="0" w:type="dxa"/>
        <w:tblLayout w:type="fixed"/>
        <w:tblCellMar>
          <w:top w:w="0" w:type="dxa"/>
          <w:left w:w="0" w:type="dxa"/>
          <w:bottom w:w="0" w:type="dxa"/>
          <w:right w:w="0" w:type="dxa"/>
        </w:tblCellMar>
      </w:tblPr>
      <w:tblGrid>
        <w:gridCol w:w="4550"/>
        <w:gridCol w:w="60"/>
        <w:gridCol w:w="140"/>
        <w:gridCol w:w="800"/>
        <w:gridCol w:w="95"/>
        <w:gridCol w:w="60"/>
        <w:gridCol w:w="140"/>
        <w:gridCol w:w="800"/>
        <w:gridCol w:w="95"/>
        <w:gridCol w:w="60"/>
        <w:gridCol w:w="140"/>
        <w:gridCol w:w="800"/>
        <w:gridCol w:w="110"/>
      </w:tblGrid>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7" w:name="xdx_497_20241231_zrvPhbmWEPcc"/>
            <w:bookmarkEnd w:id="507"/>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8" w:name="xdx_49B_20231231_zN6YZDQVwcA"/>
            <w:bookmarkEnd w:id="508"/>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9" w:name="xdx_493_20221231_zvCZT5pdV6r9"/>
            <w:bookmarkEnd w:id="509"/>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11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110" w:type="dxa"/>
            <w:tcBorders/>
            <w:vAlign w:val="center"/>
          </w:tcPr>
          <w:p>
            <w:pPr>
              <w:pStyle w:val="TableContents"/>
              <w:bidi w:val="0"/>
              <w:spacing w:before="0" w:after="283"/>
              <w:jc w:val="left"/>
              <w:rPr/>
            </w:pPr>
            <w:r>
              <w:rPr/>
              <w:t> </w:t>
            </w:r>
            <w:bookmarkStart w:id="510" w:name="xdx_409_eus-gaap--CapitalizedComputerSof"/>
            <w:bookmarkEnd w:id="510"/>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Software (ERP Implementation)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87,800</w:t>
            </w:r>
          </w:p>
        </w:tc>
        <w:tc>
          <w:tcPr>
            <w:tcW w:w="110" w:type="dxa"/>
            <w:tcBorders/>
            <w:shd w:fill="CCEEFF" w:val="clear"/>
            <w:vAlign w:val="center"/>
          </w:tcPr>
          <w:p>
            <w:pPr>
              <w:pStyle w:val="TableContents"/>
              <w:bidi w:val="0"/>
              <w:spacing w:before="0" w:after="283"/>
              <w:jc w:val="left"/>
              <w:rPr/>
            </w:pPr>
            <w:r>
              <w:rPr/>
              <w:t> </w:t>
            </w:r>
            <w:bookmarkStart w:id="511" w:name="xdx_403_eus-gaap--MachineryAndEquipmentG"/>
            <w:bookmarkEnd w:id="511"/>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31,307</w:t>
            </w:r>
          </w:p>
        </w:tc>
        <w:tc>
          <w:tcPr>
            <w:tcW w:w="110" w:type="dxa"/>
            <w:tcBorders/>
            <w:shd w:fill="FFFFFF" w:val="clear"/>
            <w:vAlign w:val="center"/>
          </w:tcPr>
          <w:p>
            <w:pPr>
              <w:pStyle w:val="TableContents"/>
              <w:bidi w:val="0"/>
              <w:spacing w:before="0" w:after="283"/>
              <w:jc w:val="left"/>
              <w:rPr/>
            </w:pPr>
            <w:r>
              <w:rPr/>
              <w:t> </w:t>
            </w:r>
            <w:bookmarkStart w:id="512" w:name="xdx_401_eus-gaap--FurnitureAndFixturesGr"/>
            <w:bookmarkEnd w:id="512"/>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fixtures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4,676</w:t>
            </w:r>
          </w:p>
        </w:tc>
        <w:tc>
          <w:tcPr>
            <w:tcW w:w="110" w:type="dxa"/>
            <w:tcBorders/>
            <w:shd w:fill="CCEEFF" w:val="clear"/>
            <w:vAlign w:val="center"/>
          </w:tcPr>
          <w:p>
            <w:pPr>
              <w:pStyle w:val="TableContents"/>
              <w:bidi w:val="0"/>
              <w:spacing w:before="0" w:after="283"/>
              <w:jc w:val="left"/>
              <w:rPr/>
            </w:pPr>
            <w:r>
              <w:rPr/>
              <w:t> </w:t>
            </w:r>
            <w:bookmarkStart w:id="513" w:name="xdx_40C_eus-gaap--PropertyPlantAndEquipm"/>
            <w:bookmarkEnd w:id="513"/>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136,776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123,783</w:t>
            </w:r>
          </w:p>
        </w:tc>
        <w:tc>
          <w:tcPr>
            <w:tcW w:w="110" w:type="dxa"/>
            <w:tcBorders/>
            <w:shd w:fill="FFFFFF" w:val="clear"/>
            <w:vAlign w:val="center"/>
          </w:tcPr>
          <w:p>
            <w:pPr>
              <w:pStyle w:val="TableContents"/>
              <w:bidi w:val="0"/>
              <w:spacing w:before="0" w:after="283"/>
              <w:jc w:val="left"/>
              <w:rPr/>
            </w:pPr>
            <w:r>
              <w:rPr/>
              <w:t> </w:t>
            </w:r>
            <w:bookmarkStart w:id="514" w:name="xdx_405_eus-gaap--AccumulatedDepreciatio"/>
            <w:bookmarkEnd w:id="514"/>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(53,799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15" w:name="xdx_406_eus-gaap--PropertyPlantAndEquipm"/>
            <w:bookmarkEnd w:id="515"/>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111,639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16" w:name="xdx_8AF_zNvBP6vU2j7l"/>
      <w:bookmarkEnd w:id="516"/>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include software mainly related to customization and development of the information technology security infrastructure, and the new ERP system; computers, furniture, and fixtures of our office space in Milan, Italy.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purchases, disposals, nor impairments during the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have been calculated by taking into consideration the use, purpose, and financial-technical duration of the assets, based on their estimated economic lives.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7" w:name="xdx_80B_ecustom--DisclosureOfNoncurrentA"/>
      <w:bookmarkEnd w:id="517"/>
      <w:r>
        <w:rPr>
          <w:rFonts w:ascii="Times New Roman;Times;Serif" w:hAnsi="Times New Roman;Times;Serif"/>
          <w:b/>
          <w:i w:val="false"/>
          <w:caps w:val="false"/>
          <w:smallCaps w:val="false"/>
          <w:sz w:val="20"/>
        </w:rPr>
        <w:t xml:space="preserve">8. </w:t>
      </w:r>
      <w:bookmarkStart w:id="518" w:name="xdx_82B_zZFwiaeJwDg3"/>
      <w:bookmarkEnd w:id="518"/>
      <w:r>
        <w:rPr>
          <w:rFonts w:ascii="Times New Roman;Times;Serif" w:hAnsi="Times New Roman;Times;Serif"/>
          <w:b/>
          <w:i w:val="false"/>
          <w:caps w:val="false"/>
          <w:smallCaps w:val="false"/>
          <w:sz w:val="20"/>
        </w:rPr>
        <w:t>Non-current assets right of use (ROU)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2022, the Company entered into a four-year (i.e., 48-month) lease of an automobile, with an ending date of January 2026. The “base” annual lease payment is €</w:t>
      </w:r>
      <w:bookmarkStart w:id="519" w:name="xdx_90A_eus-gaap--OperatingLeaseExpense_"/>
      <w:bookmarkEnd w:id="519"/>
      <w:r>
        <w:rPr>
          <w:rFonts w:ascii="Times New Roman;Times;Serif" w:hAnsi="Times New Roman;Times;Serif"/>
          <w:b w:val="false"/>
          <w:i w:val="false"/>
          <w:caps w:val="false"/>
          <w:smallCaps w:val="false"/>
          <w:sz w:val="20"/>
        </w:rPr>
        <w:t>13,967 payable monthly in the amount of €</w:t>
      </w:r>
      <w:bookmarkStart w:id="520" w:name="xdx_90F_ecustom--OperatingLeaseExpenseMo"/>
      <w:bookmarkEnd w:id="520"/>
      <w:r>
        <w:rPr>
          <w:rFonts w:ascii="Times New Roman;Times;Serif" w:hAnsi="Times New Roman;Times;Serif"/>
          <w:b w:val="false"/>
          <w:i w:val="false"/>
          <w:caps w:val="false"/>
          <w:smallCaps w:val="false"/>
          <w:sz w:val="20"/>
        </w:rPr>
        <w:t xml:space="preserve">1,164. The </w:t>
      </w:r>
      <w:bookmarkStart w:id="521" w:name="xdx_904_eus-gaap--LesseeOperatingLeaseDe"/>
      <w:bookmarkEnd w:id="521"/>
      <w:r>
        <w:rPr>
          <w:rFonts w:ascii="Times New Roman;Times;Serif" w:hAnsi="Times New Roman;Times;Serif"/>
          <w:b w:val="false"/>
          <w:i w:val="false"/>
          <w:caps w:val="false"/>
          <w:smallCaps w:val="false"/>
          <w:sz w:val="20"/>
        </w:rPr>
        <w:t>lease payment will remain fixed for the four (4) years. The automobile lease was identified and accounted for as a finance type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initial measurement, the calculation of the net present value of the right of use asset and liability was made by using the discounted rate of </w:t>
      </w:r>
      <w:bookmarkStart w:id="522" w:name="xdx_90B_eus-gaap--LesseeOperatingLeaseDi"/>
      <w:bookmarkEnd w:id="522"/>
      <w:r>
        <w:rPr>
          <w:rFonts w:ascii="Times New Roman;Times;Serif" w:hAnsi="Times New Roman;Times;Serif"/>
          <w:b w:val="false"/>
          <w:i w:val="false"/>
          <w:caps w:val="false"/>
          <w:smallCaps w:val="false"/>
          <w:sz w:val="20"/>
        </w:rPr>
        <w:t>6.25% and was determined to be approximately €</w:t>
      </w:r>
      <w:bookmarkStart w:id="523" w:name="xdx_90E_eus-gaap--RightOfUseAssetObtaine"/>
      <w:bookmarkEnd w:id="523"/>
      <w:r>
        <w:rPr>
          <w:rFonts w:ascii="Times New Roman;Times;Serif" w:hAnsi="Times New Roman;Times;Serif"/>
          <w:b w:val="false"/>
          <w:i w:val="false"/>
          <w:caps w:val="false"/>
          <w:smallCaps w:val="false"/>
          <w:sz w:val="20"/>
        </w:rPr>
        <w:t>49,320. Lessee initial direct costs were deemed not material. Other non-lease component costs for lease insurance were accounted for separately from the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net present value of the ROU asset and liability amounted to approximately €</w:t>
      </w:r>
      <w:bookmarkStart w:id="524" w:name="xdx_909_ecustom--NetPresentValueOfRightO"/>
      <w:bookmarkEnd w:id="524"/>
      <w:r>
        <w:rPr>
          <w:rFonts w:ascii="Times New Roman;Times;Serif" w:hAnsi="Times New Roman;Times;Serif"/>
          <w:b w:val="false"/>
          <w:i w:val="false"/>
          <w:caps w:val="false"/>
          <w:smallCaps w:val="false"/>
          <w:sz w:val="20"/>
        </w:rPr>
        <w:t>14,600. The liability was determined to be €</w:t>
      </w:r>
      <w:bookmarkStart w:id="525" w:name="xdx_907_ecustom--OperatingLeaseLiabiliti"/>
      <w:bookmarkEnd w:id="525"/>
      <w:r>
        <w:rPr>
          <w:rFonts w:ascii="Times New Roman;Times;Serif" w:hAnsi="Times New Roman;Times;Serif"/>
          <w:b w:val="false"/>
          <w:i w:val="false"/>
          <w:caps w:val="false"/>
          <w:smallCaps w:val="false"/>
          <w:sz w:val="20"/>
        </w:rPr>
        <w:t>13,400 as a current liability and €</w:t>
      </w:r>
      <w:bookmarkStart w:id="526" w:name="xdx_90D_ecustom--OperatingLeaseLiabiliti"/>
      <w:bookmarkEnd w:id="526"/>
      <w:r>
        <w:rPr>
          <w:rFonts w:ascii="Times New Roman;Times;Serif" w:hAnsi="Times New Roman;Times;Serif"/>
          <w:b w:val="false"/>
          <w:i w:val="false"/>
          <w:caps w:val="false"/>
          <w:smallCaps w:val="false"/>
          <w:sz w:val="20"/>
        </w:rPr>
        <w:t>1,200 as a long-term liability.</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7" w:name="xdx_80E_eus-gaap--OtherAssetsDisclosureT"/>
      <w:bookmarkEnd w:id="527"/>
      <w:r>
        <w:rPr>
          <w:rFonts w:ascii="Times New Roman;Times;Serif" w:hAnsi="Times New Roman;Times;Serif"/>
          <w:b/>
          <w:i w:val="false"/>
          <w:caps w:val="false"/>
          <w:smallCaps w:val="false"/>
          <w:sz w:val="20"/>
        </w:rPr>
        <w:t xml:space="preserve">9. </w:t>
      </w:r>
      <w:bookmarkStart w:id="528" w:name="xdx_82B_zTHfTObuujoh"/>
      <w:bookmarkEnd w:id="528"/>
      <w:r>
        <w:rPr>
          <w:rFonts w:ascii="Times New Roman;Times;Serif" w:hAnsi="Times New Roman;Times;Serif"/>
          <w:b/>
          <w:i w:val="false"/>
          <w:caps w:val="false"/>
          <w:smallCaps w:val="false"/>
          <w:sz w:val="20"/>
        </w:rPr>
        <w:t>Other 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29" w:name="xdx_89B_eus-gaap--ScheduleOfOtherAssetsN"/>
      <w:bookmarkEnd w:id="529"/>
      <w:r>
        <w:rPr>
          <w:rFonts w:ascii="Times New Roman;Times;Serif" w:hAnsi="Times New Roman;Times;Serif"/>
          <w:b w:val="false"/>
          <w:i w:val="false"/>
          <w:caps w:val="false"/>
          <w:smallCaps w:val="false"/>
          <w:sz w:val="20"/>
        </w:rPr>
        <w:t>Other non-current assets consist of the long-term portion of the VAT receivable and R&amp;D tax credit, as follows:</w:t>
      </w:r>
    </w:p>
    <w:p>
      <w:pPr>
        <w:pStyle w:val="TextBody"/>
        <w:bidi w:val="0"/>
        <w:spacing w:before="0" w:after="0"/>
        <w:ind w:left="0" w:right="0" w:firstLine="720"/>
        <w:jc w:val="left"/>
        <w:rPr>
          <w:caps w:val="false"/>
          <w:smallCaps w:val="false"/>
        </w:rPr>
      </w:pPr>
      <w:r>
        <w:rPr>
          <w:caps w:val="false"/>
          <w:smallCaps w:val="false"/>
        </w:rPr>
        <w:t> </w:t>
      </w:r>
      <w:bookmarkStart w:id="530" w:name="xdx_8BB_zz2erMVvsabj"/>
      <w:bookmarkEnd w:id="530"/>
      <w:r>
        <w:rPr>
          <w:rFonts w:ascii="Times New Roman;Times;Serif" w:hAnsi="Times New Roman;Times;Serif"/>
          <w:b w:val="false"/>
          <w:i w:val="false"/>
          <w:caps w:val="false"/>
          <w:smallCaps w:val="false"/>
          <w:sz w:val="20"/>
        </w:rPr>
        <w:t>Schedule of other non-current assets </w:t>
      </w:r>
    </w:p>
    <w:tbl>
      <w:tblPr>
        <w:tblW w:w="7070" w:type="dxa"/>
        <w:jc w:val="left"/>
        <w:tblInd w:w="0" w:type="dxa"/>
        <w:tblLayout w:type="fixed"/>
        <w:tblCellMar>
          <w:top w:w="0" w:type="dxa"/>
          <w:left w:w="0" w:type="dxa"/>
          <w:bottom w:w="0" w:type="dxa"/>
          <w:right w:w="0" w:type="dxa"/>
        </w:tblCellMar>
      </w:tblPr>
      <w:tblGrid>
        <w:gridCol w:w="3515"/>
        <w:gridCol w:w="60"/>
        <w:gridCol w:w="140"/>
        <w:gridCol w:w="800"/>
        <w:gridCol w:w="60"/>
        <w:gridCol w:w="60"/>
        <w:gridCol w:w="140"/>
        <w:gridCol w:w="980"/>
        <w:gridCol w:w="60"/>
        <w:gridCol w:w="60"/>
        <w:gridCol w:w="140"/>
        <w:gridCol w:w="980"/>
        <w:gridCol w:w="75"/>
      </w:tblGrid>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31" w:name="xdx_496_20241231_zWKVg2MZNV12"/>
            <w:bookmarkEnd w:id="531"/>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2" w:name="xdx_490_20231231_zQxNeL2u2jPl"/>
            <w:bookmarkEnd w:id="532"/>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3" w:name="xdx_493_20221231_z3YBRIach42i"/>
            <w:bookmarkEnd w:id="533"/>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4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75" w:type="dxa"/>
            <w:tcBorders/>
            <w:vAlign w:val="center"/>
          </w:tcPr>
          <w:p>
            <w:pPr>
              <w:pStyle w:val="TableContents"/>
              <w:bidi w:val="0"/>
              <w:spacing w:before="0" w:after="283"/>
              <w:jc w:val="left"/>
              <w:rPr/>
            </w:pPr>
            <w:r>
              <w:rPr/>
              <w:t> </w:t>
            </w:r>
            <w:bookmarkStart w:id="534" w:name="xdx_400_eus-gaap--ValueAddedTaxReceivabl"/>
            <w:bookmarkEnd w:id="534"/>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Value Added Tax (VAT)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912,424</w:t>
            </w:r>
          </w:p>
        </w:tc>
        <w:tc>
          <w:tcPr>
            <w:tcW w:w="75" w:type="dxa"/>
            <w:tcBorders/>
            <w:shd w:fill="CCEEFF" w:val="clear"/>
            <w:vAlign w:val="center"/>
          </w:tcPr>
          <w:p>
            <w:pPr>
              <w:pStyle w:val="TableContents"/>
              <w:bidi w:val="0"/>
              <w:spacing w:before="0" w:after="283"/>
              <w:jc w:val="left"/>
              <w:rPr/>
            </w:pPr>
            <w:r>
              <w:rPr/>
              <w:t> </w:t>
            </w:r>
            <w:bookmarkStart w:id="535" w:name="xdx_406_ecustom--ResearchAndDevelopmentT"/>
            <w:bookmarkEnd w:id="535"/>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 tax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650,000</w:t>
            </w:r>
          </w:p>
        </w:tc>
        <w:tc>
          <w:tcPr>
            <w:tcW w:w="75" w:type="dxa"/>
            <w:tcBorders/>
            <w:shd w:fill="FFFFFF" w:val="clear"/>
            <w:vAlign w:val="center"/>
          </w:tcPr>
          <w:p>
            <w:pPr>
              <w:pStyle w:val="TableContents"/>
              <w:bidi w:val="0"/>
              <w:spacing w:before="0" w:after="283"/>
              <w:jc w:val="left"/>
              <w:rPr/>
            </w:pPr>
            <w:r>
              <w:rPr/>
              <w:t> </w:t>
            </w:r>
            <w:bookmarkStart w:id="536" w:name="xdx_405_ecustom--OtherNoncurrentAssets_i"/>
            <w:bookmarkEnd w:id="536"/>
          </w:p>
        </w:tc>
      </w:tr>
      <w:tr>
        <w:trPr/>
        <w:tc>
          <w:tcPr>
            <w:tcW w:w="35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39,079</w:t>
            </w:r>
          </w:p>
        </w:tc>
        <w:tc>
          <w:tcPr>
            <w:tcW w:w="75" w:type="dxa"/>
            <w:tcBorders/>
            <w:shd w:fill="CCEEFF" w:val="clear"/>
            <w:vAlign w:val="center"/>
          </w:tcPr>
          <w:p>
            <w:pPr>
              <w:pStyle w:val="TableContents"/>
              <w:bidi w:val="0"/>
              <w:spacing w:before="0" w:after="283"/>
              <w:jc w:val="left"/>
              <w:rPr/>
            </w:pPr>
            <w:r>
              <w:rPr/>
              <w:t> </w:t>
            </w:r>
            <w:bookmarkStart w:id="537" w:name="xdx_40C_eus-gaap--OtherAssetsNoncurrent_"/>
            <w:bookmarkEnd w:id="537"/>
          </w:p>
        </w:tc>
      </w:tr>
      <w:tr>
        <w:trPr/>
        <w:tc>
          <w:tcPr>
            <w:tcW w:w="35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1,601,503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38" w:name="xdx_8A3_ze37yGacng2c"/>
      <w:bookmarkEnd w:id="53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portion of the VAT credit classified as long-term as of December 31, 2023, was refunded in the amount of approximately €</w:t>
      </w:r>
      <w:bookmarkStart w:id="539" w:name="xdx_90D_ecustom--ProceedsFromValueAddedT"/>
      <w:bookmarkEnd w:id="539"/>
      <w:r>
        <w:rPr>
          <w:rFonts w:ascii="Times New Roman;Times;Serif" w:hAnsi="Times New Roman;Times;Serif"/>
          <w:b w:val="false"/>
          <w:i w:val="false"/>
          <w:caps w:val="false"/>
          <w:smallCaps w:val="false"/>
          <w:sz w:val="20"/>
        </w:rPr>
        <w:t>0.4 million, which explains the change in the balance.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regards to the R&amp;D tax credit, the conservative estimate of its utilization as of December 31, 2024, pertains only to the short-term portion; therefore, no R&amp;D tax credit is accrued as a long-term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for the Other non-current assets, these are composed of minor, immaterial amounts, while the reason for the change in the balance relates to the reclassification of the ACE tax credit from long-term to short-term is due to an improved reimbursement forecast.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Other non-current assets - related party includes a security deposit of €</w:t>
      </w:r>
      <w:bookmarkStart w:id="540" w:name="xdx_90E_eus-gaap--SecurityDeposit_iI_c20"/>
      <w:bookmarkEnd w:id="540"/>
      <w:r>
        <w:rPr>
          <w:rFonts w:ascii="Times New Roman;Times;Serif" w:hAnsi="Times New Roman;Times;Serif"/>
          <w:b w:val="false"/>
          <w:i w:val="false"/>
          <w:caps w:val="false"/>
          <w:smallCaps w:val="false"/>
          <w:sz w:val="20"/>
        </w:rPr>
        <w:t>3,350 paid to OSR - San Raffaele Hospital as a security guarantee for the office lease contract. (See Note 14.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1" w:name="xdx_80F_eus-gaap--PensionAndOtherPostret"/>
      <w:bookmarkEnd w:id="541"/>
      <w:r>
        <w:rPr>
          <w:rFonts w:ascii="Times New Roman;Times;Serif" w:hAnsi="Times New Roman;Times;Serif"/>
          <w:b/>
          <w:i w:val="false"/>
          <w:caps w:val="false"/>
          <w:smallCaps w:val="false"/>
          <w:sz w:val="20"/>
        </w:rPr>
        <w:t xml:space="preserve">10. </w:t>
      </w:r>
      <w:bookmarkStart w:id="542" w:name="xdx_82B_zvsASpWVgri4"/>
      <w:bookmarkEnd w:id="542"/>
      <w:r>
        <w:rPr>
          <w:rFonts w:ascii="Times New Roman;Times;Serif" w:hAnsi="Times New Roman;Times;Serif"/>
          <w:b/>
          <w:i w:val="false"/>
          <w:caps w:val="false"/>
          <w:smallCaps w:val="false"/>
          <w:sz w:val="20"/>
        </w:rPr>
        <w:t>Retirement benefit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w:t>
      </w:r>
      <w:bookmarkStart w:id="543" w:name="xdx_90A_ecustom--DefinedContributionPlan"/>
      <w:bookmarkEnd w:id="543"/>
      <w:r>
        <w:rPr>
          <w:rFonts w:ascii="Times New Roman;Times;Serif" w:hAnsi="Times New Roman;Times;Serif"/>
          <w:b w:val="false"/>
          <w:i w:val="false"/>
          <w:caps w:val="false"/>
          <w:smallCaps w:val="false"/>
          <w:sz w:val="20"/>
        </w:rPr>
        <w:t xml:space="preserve">The annual accrual is approximately </w:t>
      </w:r>
      <w:bookmarkStart w:id="544" w:name="xdx_90C_eus-gaap--DefinedContributionPla"/>
      <w:bookmarkEnd w:id="544"/>
      <w:r>
        <w:rPr>
          <w:rFonts w:ascii="Times New Roman;Times;Serif" w:hAnsi="Times New Roman;Times;Serif"/>
          <w:b w:val="false"/>
          <w:i w:val="false"/>
          <w:caps w:val="false"/>
          <w:smallCaps w:val="false"/>
          <w:sz w:val="20"/>
        </w:rPr>
        <w:t xml:space="preserve">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w:t>
      </w:r>
      <w:r>
        <w:rPr>
          <w:rFonts w:ascii="Times New Roman;Times;Serif" w:hAnsi="Times New Roman;Times;Serif"/>
          <w:b w:val="false"/>
          <w:i/>
          <w:caps w:val="false"/>
          <w:smallCaps w:val="false"/>
          <w:sz w:val="20"/>
        </w:rPr>
        <w:t>Compensation – Retirement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obligation at December 31, 2024, 2023, and 2022 was €</w:t>
      </w:r>
      <w:bookmarkStart w:id="545" w:name="xdx_909_eus-gaap--PensionAndOtherPostret"/>
      <w:bookmarkEnd w:id="545"/>
      <w:r>
        <w:rPr>
          <w:rFonts w:ascii="Times New Roman;Times;Serif" w:hAnsi="Times New Roman;Times;Serif"/>
          <w:b w:val="false"/>
          <w:i w:val="false"/>
          <w:caps w:val="false"/>
          <w:smallCaps w:val="false"/>
          <w:sz w:val="20"/>
        </w:rPr>
        <w:t>227,767, €</w:t>
      </w:r>
      <w:bookmarkStart w:id="546" w:name="xdx_908_eus-gaap--PensionAndOtherPostret"/>
      <w:bookmarkEnd w:id="546"/>
      <w:r>
        <w:rPr>
          <w:rFonts w:ascii="Times New Roman;Times;Serif" w:hAnsi="Times New Roman;Times;Serif"/>
          <w:b w:val="false"/>
          <w:i w:val="false"/>
          <w:caps w:val="false"/>
          <w:smallCaps w:val="false"/>
          <w:sz w:val="20"/>
        </w:rPr>
        <w:t>164,655, and €</w:t>
      </w:r>
      <w:bookmarkStart w:id="547" w:name="xdx_90E_eus-gaap--PensionAndOtherPostret"/>
      <w:bookmarkEnd w:id="547"/>
      <w:r>
        <w:rPr>
          <w:rFonts w:ascii="Times New Roman;Times;Serif" w:hAnsi="Times New Roman;Times;Serif"/>
          <w:b w:val="false"/>
          <w:i w:val="false"/>
          <w:caps w:val="false"/>
          <w:smallCaps w:val="false"/>
          <w:sz w:val="20"/>
        </w:rPr>
        <w:t>88,963, respectively. The increase was mainly due to the increase in the Company’s organizational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8" w:name="xdx_803_eus-gaap--StockholdersEquityNote"/>
      <w:bookmarkEnd w:id="548"/>
      <w:r>
        <w:rPr>
          <w:rFonts w:ascii="Times New Roman;Times;Serif" w:hAnsi="Times New Roman;Times;Serif"/>
          <w:b/>
          <w:i w:val="false"/>
          <w:caps w:val="false"/>
          <w:smallCaps w:val="false"/>
          <w:sz w:val="20"/>
        </w:rPr>
        <w:t xml:space="preserve">11. </w:t>
      </w:r>
      <w:bookmarkStart w:id="549" w:name="xdx_82A_z3O7mVaqZzz9"/>
      <w:bookmarkEnd w:id="549"/>
      <w:r>
        <w:rPr>
          <w:rFonts w:ascii="Times New Roman;Times;Serif" w:hAnsi="Times New Roman;Times;Serif"/>
          <w:b/>
          <w:i w:val="false"/>
          <w:caps w:val="false"/>
          <w:smallCaps w:val="false"/>
          <w:sz w:val="20"/>
        </w:rPr>
        <w:t>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the Company’s outstanding ordinary shares on December 31, 2022, was </w:t>
      </w:r>
      <w:bookmarkStart w:id="550" w:name="xdx_90C_eus-gaap--CommonStockSharesOutst"/>
      <w:bookmarkEnd w:id="550"/>
      <w:r>
        <w:rPr>
          <w:rFonts w:ascii="Times New Roman;Times;Serif" w:hAnsi="Times New Roman;Times;Serif"/>
          <w:b w:val="false"/>
          <w:i w:val="false"/>
          <w:caps w:val="false"/>
          <w:smallCaps w:val="false"/>
          <w:sz w:val="20"/>
        </w:rPr>
        <w:t>18,216,858, no par value. All ordinary shares outstanding are held in ledger form with some of the ordinary shares represented by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Company accrued €</w:t>
      </w:r>
      <w:bookmarkStart w:id="551" w:name="xdx_906_eus-gaap--SharebasedCompensation"/>
      <w:bookmarkEnd w:id="551"/>
      <w:r>
        <w:rPr>
          <w:rFonts w:ascii="Times New Roman;Times;Serif" w:hAnsi="Times New Roman;Times;Serif"/>
          <w:b w:val="false"/>
          <w:i w:val="false"/>
          <w:caps w:val="false"/>
          <w:smallCaps w:val="false"/>
          <w:sz w:val="20"/>
        </w:rPr>
        <w:t>722,735 as the fair value of stock options granted as per the Equity Incentive Plan 2021-2025. (See Note 12. Share-based compensation for more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2023, </w:t>
      </w:r>
      <w:bookmarkStart w:id="552" w:name="xdx_900_eus-gaap--SharesIssued_iI_c20230"/>
      <w:bookmarkEnd w:id="552"/>
      <w:r>
        <w:rPr>
          <w:rFonts w:ascii="Times New Roman;Times;Serif" w:hAnsi="Times New Roman;Times;Serif"/>
          <w:b w:val="false"/>
          <w:i w:val="false"/>
          <w:caps w:val="false"/>
          <w:smallCaps w:val="false"/>
          <w:sz w:val="20"/>
        </w:rPr>
        <w:t>100 new ADSs were issued in an ATM Offering, and the Company recorded an increase in the ordinary shares, no par value of €</w:t>
      </w:r>
      <w:bookmarkStart w:id="553" w:name="xdx_906_eus-gaap--StockIssued1_c20230701"/>
      <w:bookmarkEnd w:id="553"/>
      <w:r>
        <w:rPr>
          <w:rFonts w:ascii="Times New Roman;Times;Serif" w:hAnsi="Times New Roman;Times;Serif"/>
          <w:b w:val="false"/>
          <w:i w:val="false"/>
          <w:caps w:val="false"/>
          <w:smallCaps w:val="false"/>
          <w:sz w:val="20"/>
        </w:rPr>
        <w:t>531.</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accrued €</w:t>
      </w:r>
      <w:bookmarkStart w:id="554" w:name="xdx_902_eus-gaap--SharebasedCompensation"/>
      <w:bookmarkEnd w:id="554"/>
      <w:r>
        <w:rPr>
          <w:rFonts w:ascii="Times New Roman;Times;Serif" w:hAnsi="Times New Roman;Times;Serif"/>
          <w:b w:val="false"/>
          <w:i w:val="false"/>
          <w:caps w:val="false"/>
          <w:smallCaps w:val="false"/>
          <w:sz w:val="20"/>
        </w:rPr>
        <w:t>739,884 as the fair value of stock options granted as per the Equity Incentive Plan 2021-2025. (See Note 12. Share-based compensation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2023, the Company had </w:t>
      </w:r>
      <w:bookmarkStart w:id="555" w:name="xdx_90A_eus-gaap--CommonStockSharesOutst"/>
      <w:bookmarkEnd w:id="555"/>
      <w:r>
        <w:rPr>
          <w:rFonts w:ascii="Times New Roman;Times;Serif" w:hAnsi="Times New Roman;Times;Serif"/>
          <w:b w:val="false"/>
          <w:i w:val="false"/>
          <w:caps w:val="false"/>
          <w:smallCaps w:val="false"/>
          <w:sz w:val="20"/>
        </w:rPr>
        <w:t xml:space="preserve">18,216,958 ordinary shares issued and outstanding with approximately </w:t>
      </w:r>
      <w:bookmarkStart w:id="556" w:name="xdx_90B_eus-gaap--CommonStockCapitalShar"/>
      <w:bookmarkEnd w:id="556"/>
      <w:r>
        <w:rPr>
          <w:rFonts w:ascii="Times New Roman;Times;Serif" w:hAnsi="Times New Roman;Times;Serif"/>
          <w:b w:val="false"/>
          <w:i w:val="false"/>
          <w:caps w:val="false"/>
          <w:smallCaps w:val="false"/>
          <w:sz w:val="20"/>
        </w:rPr>
        <w:t>1.8 million ordinary shares reserved for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w:t>
      </w:r>
      <w:bookmarkStart w:id="557" w:name="xdx_900_eus-gaap--SharesIssued_iI_c20240"/>
      <w:bookmarkEnd w:id="557"/>
      <w:r>
        <w:rPr>
          <w:rFonts w:ascii="Times New Roman;Times;Serif" w:hAnsi="Times New Roman;Times;Serif"/>
          <w:b w:val="false"/>
          <w:i w:val="false"/>
          <w:caps w:val="false"/>
          <w:smallCaps w:val="false"/>
          <w:sz w:val="20"/>
        </w:rPr>
        <w:t>72,908 new ADSs were issued pursuant to the Sales Agreement and the Company recorded an increase in the ordinary shares, no par value of €</w:t>
      </w:r>
      <w:bookmarkStart w:id="558" w:name="xdx_90B_eus-gaap--StockIssued1_c20240301"/>
      <w:bookmarkEnd w:id="558"/>
      <w:r>
        <w:rPr>
          <w:rFonts w:ascii="Times New Roman;Times;Serif" w:hAnsi="Times New Roman;Times;Serif"/>
          <w:b w:val="false"/>
          <w:i w:val="false"/>
          <w:caps w:val="false"/>
          <w:smallCaps w:val="false"/>
          <w:sz w:val="20"/>
        </w:rPr>
        <w:t>270,885.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accrued €</w:t>
      </w:r>
      <w:bookmarkStart w:id="559" w:name="xdx_90E_eus-gaap--SharebasedCompensation"/>
      <w:bookmarkEnd w:id="559"/>
      <w:r>
        <w:rPr>
          <w:rFonts w:ascii="Times New Roman;Times;Serif" w:hAnsi="Times New Roman;Times;Serif"/>
          <w:b w:val="false"/>
          <w:i w:val="false"/>
          <w:caps w:val="false"/>
          <w:smallCaps w:val="false"/>
          <w:sz w:val="20"/>
        </w:rPr>
        <w:t>847,255 as the fair value of stock options granted as per the Plan. (See Note 12. Share-based compensation for more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2024, the Company had </w:t>
      </w:r>
      <w:bookmarkStart w:id="560" w:name="xdx_90B_eus-gaap--CommonStockSharesOutst"/>
      <w:bookmarkEnd w:id="560"/>
      <w:r>
        <w:rPr>
          <w:rFonts w:ascii="Times New Roman;Times;Serif" w:hAnsi="Times New Roman;Times;Serif"/>
          <w:b w:val="false"/>
          <w:i w:val="false"/>
          <w:caps w:val="false"/>
          <w:smallCaps w:val="false"/>
          <w:sz w:val="20"/>
        </w:rPr>
        <w:t xml:space="preserve">18,289,866 ordinary shares issued and outstanding with approximately </w:t>
      </w:r>
      <w:bookmarkStart w:id="561" w:name="xdx_90B_eus-gaap--CommonStockCapitalShar"/>
      <w:bookmarkEnd w:id="561"/>
      <w:r>
        <w:rPr>
          <w:rFonts w:ascii="Times New Roman;Times;Serif" w:hAnsi="Times New Roman;Times;Serif"/>
          <w:b w:val="false"/>
          <w:i w:val="false"/>
          <w:caps w:val="false"/>
          <w:smallCaps w:val="false"/>
          <w:sz w:val="20"/>
        </w:rPr>
        <w:t>1.8 million ordinary shares reserved for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Weighted average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calculation was performed by taking the number of shares outstanding during a given period and weighting them for the number of days that number of shares were outstanding. For the year ended December 31, 2024, 2023, and 2022, there was a weighted average of </w:t>
      </w:r>
      <w:bookmarkStart w:id="562" w:name="xdx_908_eus-gaap--WeightedAverageNumberO"/>
      <w:bookmarkEnd w:id="562"/>
      <w:r>
        <w:rPr>
          <w:rFonts w:ascii="Times New Roman;Times;Serif" w:hAnsi="Times New Roman;Times;Serif"/>
          <w:b w:val="false"/>
          <w:i w:val="false"/>
          <w:caps w:val="false"/>
          <w:smallCaps w:val="false"/>
          <w:sz w:val="20"/>
        </w:rPr>
        <w:t xml:space="preserve">18,273,490, </w:t>
      </w:r>
      <w:bookmarkStart w:id="563" w:name="xdx_908_eus-gaap--WeightedAverageNumberO"/>
      <w:bookmarkEnd w:id="563"/>
      <w:r>
        <w:rPr>
          <w:rFonts w:ascii="Times New Roman;Times;Serif" w:hAnsi="Times New Roman;Times;Serif"/>
          <w:b w:val="false"/>
          <w:i w:val="false"/>
          <w:caps w:val="false"/>
          <w:smallCaps w:val="false"/>
          <w:sz w:val="20"/>
        </w:rPr>
        <w:t xml:space="preserve">18,216,907 and </w:t>
      </w:r>
      <w:bookmarkStart w:id="564" w:name="xdx_900_eus-gaap--WeightedAverageNumberO"/>
      <w:bookmarkEnd w:id="564"/>
      <w:r>
        <w:rPr>
          <w:rFonts w:ascii="Times New Roman;Times;Serif" w:hAnsi="Times New Roman;Times;Serif"/>
          <w:b w:val="false"/>
          <w:i w:val="false"/>
          <w:caps w:val="false"/>
          <w:smallCaps w:val="false"/>
          <w:sz w:val="20"/>
        </w:rPr>
        <w:t>18,216,858 shares, respectively, of the Company’s ordinary shares, no par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5" w:name="xdx_80B_eus-gaap--DisclosureOfCompensati"/>
      <w:bookmarkEnd w:id="565"/>
      <w:r>
        <w:rPr>
          <w:rFonts w:ascii="Times New Roman;Times;Serif" w:hAnsi="Times New Roman;Times;Serif"/>
          <w:b/>
          <w:i w:val="false"/>
          <w:caps w:val="false"/>
          <w:smallCaps w:val="false"/>
          <w:sz w:val="20"/>
        </w:rPr>
        <w:t xml:space="preserve">12. </w:t>
      </w:r>
      <w:bookmarkStart w:id="566" w:name="xdx_82C_zLygXEtimwJ4"/>
      <w:bookmarkEnd w:id="566"/>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reward the efforts of employees, officers, directors, and certain consultants, and to promote the Company’s growth and development, the Board may approve, upon occasion, various share-based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was originally approved on May 20, 2021, and was subsequently modified, in June 2023, to extend the final deadline for the issuance of the ordinary shares until December 31, 2035, to allow that all stock options granted during the term of the Plan could provide for an exercise period of 10 years starting from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2022, the Company’s board of directors, as administrator of the Plan, awarded a nonqualified stock option (“NSO”) on </w:t>
      </w:r>
      <w:bookmarkStart w:id="567" w:name="xdx_907_eus-gaap--ShareBasedCompensation"/>
      <w:bookmarkEnd w:id="567"/>
      <w:r>
        <w:rPr>
          <w:rFonts w:ascii="Times New Roman;Times;Serif" w:hAnsi="Times New Roman;Times;Serif"/>
          <w:b w:val="false"/>
          <w:i w:val="false"/>
          <w:caps w:val="false"/>
          <w:smallCaps w:val="false"/>
          <w:sz w:val="20"/>
        </w:rPr>
        <w:t>147,783 shares to its (former) Chairman according to the terms of a Sub-Plan called “2021-2025 Chairman Sub-Plan” (the “Sub-Plan”) attached to the Plan. The exercise price of the NSO was €</w:t>
      </w:r>
      <w:bookmarkStart w:id="568" w:name="xdx_90B_eus-gaap--ShareBasedCompensation"/>
      <w:bookmarkEnd w:id="568"/>
      <w:r>
        <w:rPr>
          <w:rFonts w:ascii="Times New Roman;Times;Serif" w:hAnsi="Times New Roman;Times;Serif"/>
          <w:b w:val="false"/>
          <w:i w:val="false"/>
          <w:caps w:val="false"/>
          <w:smallCaps w:val="false"/>
          <w:sz w:val="20"/>
        </w:rPr>
        <w:t>6.38 per share, as pre-determined in the Sub-Plan. The NSO was fully vested upon grant and carried a two (2) year exercise term, therefore the options expired on April 2024 unexercised, and were returned to the stock options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2022, the Company’s board of directors, as administrator of the Plan, awarded NSOs on </w:t>
      </w:r>
      <w:bookmarkStart w:id="569" w:name="xdx_901_eus-gaap--ShareBasedCompensation"/>
      <w:bookmarkEnd w:id="569"/>
      <w:r>
        <w:rPr>
          <w:rFonts w:ascii="Times New Roman;Times;Serif" w:hAnsi="Times New Roman;Times;Serif"/>
          <w:b w:val="false"/>
          <w:i w:val="false"/>
          <w:caps w:val="false"/>
          <w:smallCaps w:val="false"/>
          <w:sz w:val="20"/>
        </w:rPr>
        <w:t xml:space="preserve">392,740 shares to certain of the Company’s directors, officers and employees. </w:t>
      </w:r>
      <w:bookmarkStart w:id="570" w:name="xdx_908_eus-gaap--ShareBasedCompensation"/>
      <w:bookmarkEnd w:id="570"/>
      <w:r>
        <w:rPr>
          <w:rFonts w:ascii="Times New Roman;Times;Serif" w:hAnsi="Times New Roman;Times;Serif"/>
          <w:b w:val="false"/>
          <w:i w:val="false"/>
          <w:caps w:val="false"/>
          <w:smallCaps w:val="false"/>
          <w:sz w:val="20"/>
        </w:rPr>
        <w:t>The director NSOs vested monthly over a one-year period with a 10-year term. The officer and employee NSOs vested monthly over a four (4) year period with a 10-year term; however, the vesting of the officer NSOs were adjusted based on hire date per their employment contracts. All NSOs were priced based on a 30-day volume weighted average formula, adjusted by Black-Scholes, which was determined to be $</w:t>
      </w:r>
      <w:bookmarkStart w:id="571" w:name="xdx_90B_eus-gaap--ShareBasedCompensation"/>
      <w:bookmarkEnd w:id="571"/>
      <w:r>
        <w:rPr>
          <w:rFonts w:ascii="Times New Roman;Times;Serif" w:hAnsi="Times New Roman;Times;Serif"/>
          <w:b w:val="false"/>
          <w:i w:val="false"/>
          <w:caps w:val="false"/>
          <w:smallCaps w:val="false"/>
          <w:sz w:val="20"/>
        </w:rPr>
        <w:t>4.76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2022, there were </w:t>
      </w:r>
      <w:bookmarkStart w:id="572" w:name="xdx_90B_eus-gaap--ShareBasedCompensation"/>
      <w:bookmarkEnd w:id="572"/>
      <w:r>
        <w:rPr>
          <w:rFonts w:ascii="Times New Roman;Times;Serif" w:hAnsi="Times New Roman;Times;Serif"/>
          <w:b w:val="false"/>
          <w:i w:val="false"/>
          <w:caps w:val="false"/>
          <w:smallCaps w:val="false"/>
          <w:sz w:val="20"/>
        </w:rPr>
        <w:t xml:space="preserve">540,523 granted stock options and </w:t>
      </w:r>
      <w:bookmarkStart w:id="573" w:name="xdx_90C_eus-gaap--ShareBasedCompensation"/>
      <w:bookmarkEnd w:id="573"/>
      <w:r>
        <w:rPr>
          <w:rFonts w:ascii="Times New Roman;Times;Serif" w:hAnsi="Times New Roman;Times;Serif"/>
          <w:b w:val="false"/>
          <w:i w:val="false"/>
          <w:caps w:val="false"/>
          <w:smallCaps w:val="false"/>
          <w:sz w:val="20"/>
        </w:rPr>
        <w:t>1,281,162 stock options remaining available for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2023, the Board, as administrator of the Plan, awarded NSOs on </w:t>
      </w:r>
      <w:bookmarkStart w:id="574" w:name="xdx_901_eus-gaap--ShareBasedCompensation"/>
      <w:bookmarkEnd w:id="574"/>
      <w:r>
        <w:rPr>
          <w:rFonts w:ascii="Times New Roman;Times;Serif" w:hAnsi="Times New Roman;Times;Serif"/>
          <w:b w:val="false"/>
          <w:i w:val="false"/>
          <w:caps w:val="false"/>
          <w:smallCaps w:val="false"/>
          <w:sz w:val="20"/>
        </w:rPr>
        <w:t>46,400 shares to the Company’s directors. The NSOs vested monthly over a one (1) year period with a 10-year term. All NSOs were priced based on a 30-day volume weighted average formula, adjusted by Black-Scholes, which was determined to be $</w:t>
      </w:r>
      <w:bookmarkStart w:id="575" w:name="xdx_906_eus-gaap--ShareBasedCompensation"/>
      <w:bookmarkEnd w:id="575"/>
      <w:r>
        <w:rPr>
          <w:rFonts w:ascii="Times New Roman;Times;Serif" w:hAnsi="Times New Roman;Times;Serif"/>
          <w:b w:val="false"/>
          <w:i w:val="false"/>
          <w:caps w:val="false"/>
          <w:smallCaps w:val="false"/>
          <w:sz w:val="20"/>
        </w:rPr>
        <w:t>5.62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2023, there were </w:t>
      </w:r>
      <w:bookmarkStart w:id="576" w:name="xdx_90D_eus-gaap--ShareBasedCompensation"/>
      <w:bookmarkEnd w:id="576"/>
      <w:r>
        <w:rPr>
          <w:rFonts w:ascii="Times New Roman;Times;Serif" w:hAnsi="Times New Roman;Times;Serif"/>
          <w:b w:val="false"/>
          <w:i w:val="false"/>
          <w:caps w:val="false"/>
          <w:smallCaps w:val="false"/>
          <w:sz w:val="20"/>
        </w:rPr>
        <w:t xml:space="preserve">586,923 granted stock options and </w:t>
      </w:r>
      <w:bookmarkStart w:id="577" w:name="xdx_904_eus-gaap--ShareBasedCompensation"/>
      <w:bookmarkEnd w:id="577"/>
      <w:r>
        <w:rPr>
          <w:rFonts w:ascii="Times New Roman;Times;Serif" w:hAnsi="Times New Roman;Times;Serif"/>
          <w:b w:val="false"/>
          <w:i w:val="false"/>
          <w:caps w:val="false"/>
          <w:smallCaps w:val="false"/>
          <w:sz w:val="20"/>
        </w:rPr>
        <w:t>1,234,772 stock options remaining available for grant.</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the Company’s board of directors, as administrator of the Plan, awarded NSOs on </w:t>
      </w:r>
      <w:bookmarkStart w:id="578" w:name="xdx_902_eus-gaap--ShareBasedCompensation"/>
      <w:bookmarkEnd w:id="578"/>
      <w:r>
        <w:rPr>
          <w:rFonts w:ascii="Times New Roman;Times;Serif" w:hAnsi="Times New Roman;Times;Serif"/>
          <w:b w:val="false"/>
          <w:i w:val="false"/>
          <w:caps w:val="false"/>
          <w:smallCaps w:val="false"/>
          <w:sz w:val="20"/>
        </w:rPr>
        <w:t xml:space="preserve">587,650 shares to certain of the Company’s officers and employees. </w:t>
      </w:r>
      <w:bookmarkStart w:id="579" w:name="xdx_909_eus-gaap--ShareBasedCompensation"/>
      <w:bookmarkEnd w:id="579"/>
      <w:r>
        <w:rPr>
          <w:rFonts w:ascii="Times New Roman;Times;Serif" w:hAnsi="Times New Roman;Times;Serif"/>
          <w:b w:val="false"/>
          <w:i w:val="false"/>
          <w:caps w:val="false"/>
          <w:smallCaps w:val="false"/>
          <w:sz w:val="20"/>
        </w:rPr>
        <w:t>The NSOs vested monthly over a three-year period with a 10-year term, expiring on July 1, 2034. A cliff vesting period is provided for those employees with less than one (1) year of service at the time of grant, until the first anniversary of employment is completed. The exercise price of the NSOs is $3.083 per share, corresponding to the market price at the date of grant. In addition, each new Board member received equity compensation in the form of an initial stock option equity grant of $</w:t>
      </w:r>
      <w:bookmarkStart w:id="580" w:name="xdx_907_eus-gaap--ShareBasedCompensation"/>
      <w:bookmarkEnd w:id="580"/>
      <w:r>
        <w:rPr>
          <w:rFonts w:ascii="Times New Roman;Times;Serif" w:hAnsi="Times New Roman;Times;Serif"/>
          <w:b w:val="false"/>
          <w:i w:val="false"/>
          <w:caps w:val="false"/>
          <w:smallCaps w:val="false"/>
          <w:sz w:val="20"/>
        </w:rPr>
        <w:t>50,000 (based on the Black Scholes model) that vest immediately but are held for distribution for one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second half of 2024, two employees and a consultant left the Company. As per the applicable rules, the options already granted to the aforementioned employees and consultant, but not yet vested as of the termination date of their respective employment or consultancy contracts, have been returned to the stock option pool for a total of </w:t>
      </w:r>
      <w:bookmarkStart w:id="581" w:name="xdx_90A_eus-gaap--ShareBasedCompensation"/>
      <w:bookmarkEnd w:id="581"/>
      <w:r>
        <w:rPr>
          <w:rFonts w:ascii="Times New Roman;Times;Serif" w:hAnsi="Times New Roman;Times;Serif"/>
          <w:b w:val="false"/>
          <w:i w:val="false"/>
          <w:caps w:val="false"/>
          <w:smallCaps w:val="false"/>
          <w:sz w:val="20"/>
        </w:rPr>
        <w:t xml:space="preserve">56,482. Combined with those already returned to the pool on April 2024, a total of </w:t>
      </w:r>
      <w:bookmarkStart w:id="582" w:name="xdx_90B_eus-gaap--ShareBasedCompensation"/>
      <w:bookmarkEnd w:id="582"/>
      <w:r>
        <w:rPr>
          <w:rFonts w:ascii="Times New Roman;Times;Serif" w:hAnsi="Times New Roman;Times;Serif"/>
          <w:b w:val="false"/>
          <w:i w:val="false"/>
          <w:caps w:val="false"/>
          <w:smallCaps w:val="false"/>
          <w:sz w:val="20"/>
        </w:rPr>
        <w:t>204,265 options were returned to the pool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83" w:name="xdx_893_eus-gaap--ScheduleOfShareBasedCo"/>
      <w:bookmarkEnd w:id="583"/>
      <w:r>
        <w:rPr>
          <w:rFonts w:ascii="Times New Roman;Times;Serif" w:hAnsi="Times New Roman;Times;Serif"/>
          <w:b w:val="false"/>
          <w:i w:val="false"/>
          <w:caps w:val="false"/>
          <w:smallCaps w:val="false"/>
          <w:sz w:val="20"/>
        </w:rPr>
        <w:t xml:space="preserve">At December 31, 2024, there were </w:t>
      </w:r>
      <w:bookmarkStart w:id="584" w:name="xdx_908_eus-gaap--ShareBasedCompensation"/>
      <w:bookmarkEnd w:id="584"/>
      <w:r>
        <w:rPr>
          <w:rFonts w:ascii="Times New Roman;Times;Serif" w:hAnsi="Times New Roman;Times;Serif"/>
          <w:b w:val="false"/>
          <w:i w:val="false"/>
          <w:caps w:val="false"/>
          <w:smallCaps w:val="false"/>
          <w:sz w:val="20"/>
        </w:rPr>
        <w:t xml:space="preserve">970,308 granted stock options and </w:t>
      </w:r>
      <w:bookmarkStart w:id="585" w:name="xdx_900_eus-gaap--ShareBasedCompensation"/>
      <w:bookmarkEnd w:id="585"/>
      <w:r>
        <w:rPr>
          <w:rFonts w:ascii="Times New Roman;Times;Serif" w:hAnsi="Times New Roman;Times;Serif"/>
          <w:b w:val="false"/>
          <w:i w:val="false"/>
          <w:caps w:val="false"/>
          <w:smallCaps w:val="false"/>
          <w:sz w:val="20"/>
        </w:rPr>
        <w:t>858,678 stock options remaining available for grant.</w:t>
      </w:r>
    </w:p>
    <w:p>
      <w:pPr>
        <w:pStyle w:val="TextBody"/>
        <w:bidi w:val="0"/>
        <w:spacing w:before="0" w:after="0"/>
        <w:ind w:left="0" w:right="0" w:firstLine="720"/>
        <w:jc w:val="both"/>
        <w:rPr>
          <w:caps w:val="false"/>
          <w:smallCaps w:val="false"/>
        </w:rPr>
      </w:pPr>
      <w:r>
        <w:rPr>
          <w:caps w:val="false"/>
          <w:smallCaps w:val="false"/>
        </w:rPr>
        <w:t> </w:t>
      </w:r>
      <w:bookmarkStart w:id="586" w:name="xdx_8BF_zW54qyklDsy9"/>
      <w:bookmarkEnd w:id="586"/>
      <w:r>
        <w:rPr>
          <w:rFonts w:ascii="Times New Roman;Times;Serif" w:hAnsi="Times New Roman;Times;Serif"/>
          <w:b w:val="false"/>
          <w:i w:val="false"/>
          <w:caps w:val="false"/>
          <w:smallCaps w:val="false"/>
          <w:sz w:val="20"/>
        </w:rPr>
        <w:t>Schedule of Outstanding Stock Options </w:t>
      </w:r>
    </w:p>
    <w:tbl>
      <w:tblPr>
        <w:tblW w:w="10205" w:type="dxa"/>
        <w:jc w:val="left"/>
        <w:tblInd w:w="0" w:type="dxa"/>
        <w:tblLayout w:type="fixed"/>
        <w:tblCellMar>
          <w:top w:w="0" w:type="dxa"/>
          <w:left w:w="0" w:type="dxa"/>
          <w:bottom w:w="0" w:type="dxa"/>
          <w:right w:w="0" w:type="dxa"/>
        </w:tblCellMar>
      </w:tblPr>
      <w:tblGrid>
        <w:gridCol w:w="2731"/>
        <w:gridCol w:w="60"/>
        <w:gridCol w:w="79"/>
        <w:gridCol w:w="1162"/>
        <w:gridCol w:w="95"/>
        <w:gridCol w:w="60"/>
        <w:gridCol w:w="405"/>
        <w:gridCol w:w="1281"/>
        <w:gridCol w:w="60"/>
        <w:gridCol w:w="60"/>
        <w:gridCol w:w="300"/>
        <w:gridCol w:w="2224"/>
        <w:gridCol w:w="60"/>
        <w:gridCol w:w="60"/>
        <w:gridCol w:w="221"/>
        <w:gridCol w:w="1268"/>
        <w:gridCol w:w="79"/>
      </w:tblGrid>
      <w:tr>
        <w:trPr/>
        <w:tc>
          <w:tcPr>
            <w:tcW w:w="2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Number of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 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 Average Remaining Contractual 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Aggregate Intrinsic Value</w:t>
            </w:r>
          </w:p>
        </w:tc>
        <w:tc>
          <w:tcPr>
            <w:tcW w:w="79" w:type="dxa"/>
            <w:tcBorders/>
            <w:vAlign w:val="center"/>
          </w:tcPr>
          <w:p>
            <w:pPr>
              <w:pStyle w:val="TableContents"/>
              <w:bidi w:val="0"/>
              <w:spacing w:before="0" w:after="283"/>
              <w:jc w:val="left"/>
              <w:rPr/>
            </w:pPr>
            <w:r>
              <w:rPr/>
              <w:t> </w:t>
            </w:r>
          </w:p>
        </w:tc>
      </w:tr>
      <w:tr>
        <w:trPr/>
        <w:tc>
          <w:tcPr>
            <w:tcW w:w="27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January 1, 2022</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587" w:name="xdx_988_eus-gaap--ShareBasedCompensation"/>
            <w:bookmarkEnd w:id="587"/>
          </w:p>
        </w:tc>
        <w:tc>
          <w:tcPr>
            <w:tcW w:w="1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bookmarkStart w:id="588" w:name="xdx_98D_eus-gaap--ShareBasedCompensation"/>
            <w:bookmarkEnd w:id="588"/>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rFonts w:ascii="Times New Roman;Times;Serif" w:hAnsi="Times New Roman;Times;Serif"/>
              </w:rPr>
            </w:pPr>
            <w:bookmarkStart w:id="589" w:name="xdx_90E_eus-gaap--SharebasedCompensation"/>
            <w:bookmarkEnd w:id="589"/>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bookmarkStart w:id="590" w:name="xdx_98A_eus-gaap--ShareBasedCompensation"/>
            <w:bookmarkEnd w:id="590"/>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591" w:name="xdx_989_eus-gaap--ShareBasedCompensation"/>
            <w:bookmarkEnd w:id="591"/>
          </w:p>
        </w:tc>
        <w:tc>
          <w:tcPr>
            <w:tcW w:w="1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w:t>
            </w:r>
            <w:bookmarkStart w:id="592" w:name="xdx_985_eus-gaap--ShareBasedCompensation"/>
            <w:bookmarkEnd w:id="592"/>
          </w:p>
        </w:tc>
        <w:tc>
          <w:tcPr>
            <w:tcW w:w="12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2224" w:type="dxa"/>
            <w:tcBorders/>
            <w:shd w:fill="FFFFFF" w:val="clear"/>
            <w:vAlign w:val="center"/>
          </w:tcPr>
          <w:p>
            <w:pPr>
              <w:pStyle w:val="TableContents"/>
              <w:bidi w:val="0"/>
              <w:spacing w:before="0" w:after="283"/>
              <w:jc w:val="right"/>
              <w:rPr>
                <w:rFonts w:ascii="Times New Roman;Times;Serif" w:hAnsi="Times New Roman;Times;Serif"/>
              </w:rPr>
            </w:pPr>
            <w:bookmarkStart w:id="593" w:name="xdx_90E_ecustom--SharebasedCompensationA"/>
            <w:bookmarkEnd w:id="593"/>
            <w:r>
              <w:rPr>
                <w:rFonts w:ascii="Times New Roman;Times;Serif" w:hAnsi="Times New Roman;Times;Serif"/>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bookmarkStart w:id="594" w:name="xdx_983_ecustom--ShareBasedCompensationA"/>
            <w:bookmarkEnd w:id="594"/>
          </w:p>
        </w:tc>
        <w:tc>
          <w:tcPr>
            <w:tcW w:w="12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595" w:name="xdx_985_eus-gaap--StockIssuedDuringPerio"/>
            <w:bookmarkEnd w:id="595"/>
          </w:p>
        </w:tc>
        <w:tc>
          <w:tcPr>
            <w:tcW w:w="1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bookmarkStart w:id="596" w:name="xdx_98B_eus-gaap--ShareBasedCompensation"/>
            <w:bookmarkEnd w:id="596"/>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bookmarkStart w:id="597" w:name="xdx_984_eus-gaap--ShareBasedCompensation"/>
            <w:bookmarkEnd w:id="597"/>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Cancelled or forfeited</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8" w:name="xdx_984_eus-gaap--ShareBasedCompensation"/>
            <w:bookmarkEnd w:id="598"/>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99" w:name="xdx_987_eus-gaap--ShareBasedCompensation"/>
            <w:bookmarkEnd w:id="599"/>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0" w:name="xdx_989_ecustom--ShareBasedCompensationA"/>
            <w:bookmarkEnd w:id="600"/>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December 31, 2022</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01" w:name="xdx_98F_eus-gaap--ShareBasedCompensation"/>
            <w:bookmarkEnd w:id="601"/>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540,523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02" w:name="xdx_98F_eus-gaap--ShareBasedCompensation"/>
            <w:bookmarkEnd w:id="602"/>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603" w:name="xdx_90D_eus-gaap--SharebasedCompensation"/>
            <w:bookmarkEnd w:id="603"/>
            <w:r>
              <w:rPr>
                <w:rFonts w:ascii="Times New Roman;Times;Serif" w:hAnsi="Times New Roman;Times;Serif"/>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04" w:name="xdx_98D_eus-gaap--ShareBasedCompensation"/>
            <w:bookmarkEnd w:id="604"/>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272,480</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as of December 31, 2022</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5" w:name="xdx_983_eus-gaap--ShareBasedCompensation"/>
            <w:bookmarkEnd w:id="605"/>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06" w:name="xdx_981_eus-gaap--ShareBasedCompensation"/>
            <w:bookmarkEnd w:id="606"/>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07" w:name="xdx_900_eus-gaap--SharebasedCompensation"/>
            <w:bookmarkEnd w:id="607"/>
            <w:r>
              <w:rPr>
                <w:rFonts w:ascii="Times New Roman;Times;Serif" w:hAnsi="Times New Roman;Times;Serif"/>
              </w:rPr>
              <w:t>4.42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08" w:name="xdx_983_eus-gaap--SharebasedCompensation"/>
            <w:bookmarkEnd w:id="608"/>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61,988</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expected to vest as of December 31, 2022</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09" w:name="xdx_986_eus-gaap--ShareBasedCompensation"/>
            <w:bookmarkEnd w:id="609"/>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303,394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10" w:name="xdx_985_eus-gaap--ShareBasedCompensation"/>
            <w:bookmarkEnd w:id="610"/>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bookmarkStart w:id="611" w:name="xdx_909_eus-gaap--SharebasedCompensation"/>
            <w:bookmarkEnd w:id="611"/>
            <w:r>
              <w:rPr>
                <w:rFonts w:ascii="Times New Roman;Times;Serif" w:hAnsi="Times New Roman;Times;Serif"/>
                <w:b/>
              </w:rPr>
              <w:t>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12" w:name="xdx_984_eus-gaap--ShareBasedCompensation"/>
            <w:bookmarkEnd w:id="612"/>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210,492</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22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January 1, 2023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613" w:name="xdx_984_eus-gaap--ShareBasedCompensation"/>
            <w:bookmarkEnd w:id="613"/>
          </w:p>
        </w:tc>
        <w:tc>
          <w:tcPr>
            <w:tcW w:w="1162"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540,523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bookmarkStart w:id="614" w:name="xdx_987_eus-gaap--ShareBasedCompensation"/>
            <w:bookmarkEnd w:id="614"/>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rFonts w:ascii="Times New Roman;Times;Serif" w:hAnsi="Times New Roman;Times;Serif"/>
              </w:rPr>
            </w:pPr>
            <w:bookmarkStart w:id="615" w:name="xdx_903_eus-gaap--SharebasedCompensation"/>
            <w:bookmarkEnd w:id="615"/>
            <w:r>
              <w:rPr>
                <w:rFonts w:ascii="Times New Roman;Times;Serif" w:hAnsi="Times New Roman;Times;Serif"/>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bookmarkStart w:id="616" w:name="xdx_98D_eus-gaap--ShareBasedCompensation"/>
            <w:bookmarkEnd w:id="616"/>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272,480</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617" w:name="xdx_988_eus-gaap--ShareBasedCompensation"/>
            <w:bookmarkEnd w:id="617"/>
          </w:p>
        </w:tc>
        <w:tc>
          <w:tcPr>
            <w:tcW w:w="1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bookmarkStart w:id="618" w:name="xdx_982_eus-gaap--ShareBasedCompensation"/>
            <w:bookmarkEnd w:id="618"/>
          </w:p>
        </w:tc>
        <w:tc>
          <w:tcPr>
            <w:tcW w:w="12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2224" w:type="dxa"/>
            <w:tcBorders/>
            <w:shd w:fill="FFFFFF" w:val="clear"/>
            <w:vAlign w:val="center"/>
          </w:tcPr>
          <w:p>
            <w:pPr>
              <w:pStyle w:val="TableContents"/>
              <w:bidi w:val="0"/>
              <w:spacing w:before="0" w:after="283"/>
              <w:jc w:val="right"/>
              <w:rPr>
                <w:rFonts w:ascii="Times New Roman;Times;Serif" w:hAnsi="Times New Roman;Times;Serif"/>
              </w:rPr>
            </w:pPr>
            <w:bookmarkStart w:id="619" w:name="xdx_904_ecustom--SharebasedCompensationA"/>
            <w:bookmarkEnd w:id="619"/>
            <w:r>
              <w:rPr>
                <w:rFonts w:ascii="Times New Roman;Times;Serif" w:hAnsi="Times New Roman;Times;Serif"/>
              </w:rPr>
              <w:t>9.17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bookmarkStart w:id="620" w:name="xdx_98C_ecustom--ShareBasedCompensationA"/>
            <w:bookmarkEnd w:id="620"/>
          </w:p>
        </w:tc>
        <w:tc>
          <w:tcPr>
            <w:tcW w:w="12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621" w:name="xdx_986_eus-gaap--StockIssuedDuringPerio"/>
            <w:bookmarkEnd w:id="621"/>
          </w:p>
        </w:tc>
        <w:tc>
          <w:tcPr>
            <w:tcW w:w="1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bookmarkStart w:id="622" w:name="xdx_98B_eus-gaap--ShareBasedCompensation"/>
            <w:bookmarkEnd w:id="622"/>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bookmarkStart w:id="623" w:name="xdx_98A_eus-gaap--ShareBasedCompensation"/>
            <w:bookmarkEnd w:id="623"/>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Cancelled or forfeited</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24" w:name="xdx_98E_eus-gaap--ShareBasedCompensation"/>
            <w:bookmarkEnd w:id="624"/>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25" w:name="xdx_988_eus-gaap--ShareBasedCompensation"/>
            <w:bookmarkEnd w:id="625"/>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26" w:name="xdx_98E_ecustom--ShareBasedCompensationA"/>
            <w:bookmarkEnd w:id="626"/>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December 31, 2023</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27" w:name="xdx_981_eus-gaap--ShareBasedCompensation"/>
            <w:bookmarkEnd w:id="627"/>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28" w:name="xdx_98E_eus-gaap--ShareBasedCompensation"/>
            <w:bookmarkEnd w:id="628"/>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629" w:name="xdx_902_eus-gaap--SharebasedCompensation"/>
            <w:bookmarkEnd w:id="629"/>
            <w:r>
              <w:rPr>
                <w:rFonts w:ascii="Times New Roman;Times;Serif" w:hAnsi="Times New Roman;Times;Serif"/>
              </w:rPr>
              <w:t>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30" w:name="xdx_980_eus-gaap--ShareBasedCompensation"/>
            <w:bookmarkEnd w:id="630"/>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67,596</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as of December 31, 2023</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1" w:name="xdx_982_eus-gaap--ShareBasedCompensation"/>
            <w:bookmarkEnd w:id="631"/>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382,785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32" w:name="xdx_98A_eus-gaap--ShareBasedCompensation"/>
            <w:bookmarkEnd w:id="632"/>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33" w:name="xdx_902_eus-gaap--SharebasedCompensation"/>
            <w:bookmarkEnd w:id="633"/>
            <w:r>
              <w:rPr>
                <w:rFonts w:ascii="Times New Roman;Times;Serif" w:hAnsi="Times New Roman;Times;Serif"/>
              </w:rPr>
              <w:t>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34" w:name="xdx_983_eus-gaap--SharebasedCompensation"/>
            <w:bookmarkEnd w:id="634"/>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33,796</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expected to vest as of December 31, 2023</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5" w:name="xdx_98C_eus-gaap--ShareBasedCompensation"/>
            <w:bookmarkEnd w:id="635"/>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204,138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36" w:name="xdx_98A_eus-gaap--ShareBasedCompensation"/>
            <w:bookmarkEnd w:id="636"/>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37" w:name="xdx_98F_eus-gaap--SharebasedCompensation"/>
            <w:bookmarkEnd w:id="637"/>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38" w:name="xdx_980_eus-gaap--ShareBasedCompensation"/>
            <w:bookmarkEnd w:id="638"/>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33,800</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12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22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6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January 1, 2024</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639" w:name="xdx_984_eus-gaap--ShareBasedCompensation"/>
            <w:bookmarkEnd w:id="639"/>
          </w:p>
        </w:tc>
        <w:tc>
          <w:tcPr>
            <w:tcW w:w="1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bookmarkStart w:id="640" w:name="xdx_987_eus-gaap--ShareBasedCompensation"/>
            <w:bookmarkEnd w:id="640"/>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rFonts w:ascii="Times New Roman;Times;Serif" w:hAnsi="Times New Roman;Times;Serif"/>
              </w:rPr>
            </w:pPr>
            <w:bookmarkStart w:id="641" w:name="xdx_903_eus-gaap--SharebasedCompensation"/>
            <w:bookmarkEnd w:id="641"/>
            <w:r>
              <w:rPr>
                <w:rFonts w:ascii="Times New Roman;Times;Serif" w:hAnsi="Times New Roman;Times;Serif"/>
              </w:rPr>
              <w:t>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bookmarkStart w:id="642" w:name="xdx_980_eus-gaap--ShareBasedCompensation"/>
            <w:bookmarkEnd w:id="642"/>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67,596</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643" w:name="xdx_98D_eus-gaap--ShareBasedCompensation"/>
            <w:bookmarkEnd w:id="643"/>
          </w:p>
        </w:tc>
        <w:tc>
          <w:tcPr>
            <w:tcW w:w="1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bookmarkStart w:id="644" w:name="xdx_98F_eus-gaap--ShareBasedCompensation"/>
            <w:bookmarkEnd w:id="644"/>
          </w:p>
        </w:tc>
        <w:tc>
          <w:tcPr>
            <w:tcW w:w="128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2224" w:type="dxa"/>
            <w:tcBorders/>
            <w:shd w:fill="FFFFFF" w:val="clear"/>
            <w:vAlign w:val="center"/>
          </w:tcPr>
          <w:p>
            <w:pPr>
              <w:pStyle w:val="TableContents"/>
              <w:bidi w:val="0"/>
              <w:spacing w:before="0" w:after="283"/>
              <w:jc w:val="right"/>
              <w:rPr>
                <w:rFonts w:ascii="Times New Roman;Times;Serif" w:hAnsi="Times New Roman;Times;Serif"/>
              </w:rPr>
            </w:pPr>
            <w:bookmarkStart w:id="645" w:name="xdx_901_ecustom--SharebasedCompensationA"/>
            <w:bookmarkEnd w:id="645"/>
            <w:r>
              <w:rPr>
                <w:rFonts w:ascii="Times New Roman;Times;Serif" w:hAnsi="Times New Roman;Times;Serif"/>
              </w:rPr>
              <w:t>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bookmarkStart w:id="646" w:name="xdx_984_ecustom--ShareBasedCompensationA"/>
            <w:bookmarkEnd w:id="646"/>
          </w:p>
        </w:tc>
        <w:tc>
          <w:tcPr>
            <w:tcW w:w="126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exercised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647" w:name="xdx_983_eus-gaap--StockIssuedDuringPerio"/>
            <w:bookmarkEnd w:id="647"/>
          </w:p>
        </w:tc>
        <w:tc>
          <w:tcPr>
            <w:tcW w:w="1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bookmarkStart w:id="648" w:name="xdx_98C_eus-gaap--ShareBasedCompensation"/>
            <w:bookmarkEnd w:id="648"/>
          </w:p>
        </w:tc>
        <w:tc>
          <w:tcPr>
            <w:tcW w:w="128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bookmarkStart w:id="649" w:name="xdx_987_eus-gaap--ShareBasedCompensation"/>
            <w:bookmarkEnd w:id="649"/>
          </w:p>
        </w:tc>
        <w:tc>
          <w:tcPr>
            <w:tcW w:w="12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Cancelled or forfeited</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0" w:name="xdx_98D_eus-gaap--ShareBasedCompensation"/>
            <w:bookmarkEnd w:id="650"/>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(204,265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1" w:name="xdx_987_eus-gaap--ShareBasedCompensation"/>
            <w:bookmarkEnd w:id="651"/>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2" w:name="xdx_98E_ecustom--ShareBasedCompensationA"/>
            <w:bookmarkEnd w:id="652"/>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December 31, 2024</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53" w:name="xdx_98B_eus-gaap--ShareBasedCompensation"/>
            <w:bookmarkEnd w:id="653"/>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970,308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54" w:name="xdx_986_eus-gaap--ShareBasedCompensation"/>
            <w:bookmarkEnd w:id="654"/>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655" w:name="xdx_90C_eus-gaap--SharebasedCompensation"/>
            <w:bookmarkEnd w:id="655"/>
            <w:r>
              <w:rPr>
                <w:rFonts w:ascii="Times New Roman;Times;Serif" w:hAnsi="Times New Roman;Times;Serif"/>
              </w:rPr>
              <w:t>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56" w:name="xdx_98F_eus-gaap--ShareBasedCompensation"/>
            <w:bookmarkEnd w:id="656"/>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706,366</w:t>
            </w:r>
          </w:p>
        </w:tc>
        <w:tc>
          <w:tcPr>
            <w:tcW w:w="79" w:type="dxa"/>
            <w:tcBorders/>
            <w:shd w:fill="CCEEFF" w:val="clear"/>
            <w:vAlign w:val="center"/>
          </w:tcPr>
          <w:p>
            <w:pPr>
              <w:pStyle w:val="TableContents"/>
              <w:bidi w:val="0"/>
              <w:spacing w:before="0" w:after="283"/>
              <w:jc w:val="left"/>
              <w:rPr/>
            </w:pPr>
            <w:r>
              <w:rPr/>
              <w:t> </w:t>
            </w:r>
          </w:p>
        </w:tc>
      </w:tr>
      <w:tr>
        <w:trPr/>
        <w:tc>
          <w:tcPr>
            <w:tcW w:w="27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as of December 31, 2024</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57" w:name="xdx_986_eus-gaap--ShareBasedCompensation"/>
            <w:bookmarkEnd w:id="657"/>
          </w:p>
        </w:tc>
        <w:tc>
          <w:tcPr>
            <w:tcW w:w="1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58" w:name="xdx_981_eus-gaap--ShareBasedCompensation"/>
            <w:bookmarkEnd w:id="658"/>
          </w:p>
        </w:tc>
        <w:tc>
          <w:tcPr>
            <w:tcW w:w="12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659" w:name="xdx_909_eus-gaap--SharebasedCompensation"/>
            <w:bookmarkEnd w:id="659"/>
            <w:r>
              <w:rPr>
                <w:rFonts w:ascii="Times New Roman;Times;Serif" w:hAnsi="Times New Roman;Times;Serif"/>
              </w:rPr>
              <w:t>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660" w:name="xdx_982_eus-gaap--SharebasedCompensation"/>
            <w:bookmarkEnd w:id="660"/>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199,667</w:t>
            </w:r>
          </w:p>
        </w:tc>
        <w:tc>
          <w:tcPr>
            <w:tcW w:w="79" w:type="dxa"/>
            <w:tcBorders/>
            <w:shd w:fill="FFFFFF" w:val="clear"/>
            <w:vAlign w:val="center"/>
          </w:tcPr>
          <w:p>
            <w:pPr>
              <w:pStyle w:val="TableContents"/>
              <w:bidi w:val="0"/>
              <w:spacing w:before="0" w:after="283"/>
              <w:jc w:val="left"/>
              <w:rPr/>
            </w:pPr>
            <w:r>
              <w:rPr/>
              <w:t> </w:t>
            </w:r>
          </w:p>
        </w:tc>
      </w:tr>
      <w:tr>
        <w:trPr/>
        <w:tc>
          <w:tcPr>
            <w:tcW w:w="273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Outstanding, expected to vest as of December 31, 2024</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1" w:name="xdx_988_eus-gaap--ShareBasedCompensation"/>
            <w:bookmarkEnd w:id="661"/>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456,098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62" w:name="xdx_983_eus-gaap--ShareBasedCompensation"/>
            <w:bookmarkEnd w:id="662"/>
          </w:p>
        </w:tc>
        <w:tc>
          <w:tcPr>
            <w:tcW w:w="12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63" w:name="xdx_983_eus-gaap--SharebasedCompensation"/>
            <w:bookmarkEnd w:id="663"/>
          </w:p>
        </w:tc>
        <w:tc>
          <w:tcPr>
            <w:tcW w:w="2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664" w:name="xdx_98F_eus-gaap--ShareBasedCompensation"/>
            <w:bookmarkEnd w:id="664"/>
          </w:p>
        </w:tc>
        <w:tc>
          <w:tcPr>
            <w:tcW w:w="12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506,699</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5" w:name="xdx_8AB_z0WXlem5bft7"/>
      <w:bookmarkEnd w:id="66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the fair value of stock option awards granted to employees and non-employees using the Black-Scholes option-pricing method. If the Company determines that other methods are more reasonable, or other methods for calculating these assumptions are prescribed by regulators, the fair value calculated for the Company’s stock options could change significantly. Higher volatility and longer expected lives would result in an increase to share-based compensation expense to non-employees determined at the date of grant. Share-based compensation expense to non-employees affects the Company’s general and administrative expenses, and the Company’s research and development expenses, depending on the non-employee’s function.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calculated the share compensation expense for the options granted by utilizing the Black Scholes method with the following inputs for each of the stock grants in March 2023, July 2022, and April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exercise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expected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share’s current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share’s expected price volatility during the option’s expected (or in certain cases, contractual) term, or in cases where calculated value is used, the historical volatility of an appropriate industry sector index.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underlying shares’ expected dividends during the option’s expected (or in certain cases, contractual) term, except cases such as when dividend protection is provided;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during the option’s expected (or in certain cases, contractual) term.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66" w:name="xdx_89F_eus-gaap--ScheduleOfEmployeeServ"/>
      <w:bookmarkEnd w:id="666"/>
      <w:r>
        <w:rPr>
          <w:rFonts w:ascii="Times New Roman;Times;Serif" w:hAnsi="Times New Roman;Times;Serif"/>
          <w:b w:val="false"/>
          <w:i w:val="false"/>
          <w:caps w:val="false"/>
          <w:smallCaps w:val="false"/>
          <w:sz w:val="20"/>
        </w:rPr>
        <w:t>The Company’s share-based compensation expense for the years ended December 31, 2024, 2023, and 2022 is represented by the following table:</w:t>
      </w:r>
    </w:p>
    <w:p>
      <w:pPr>
        <w:pStyle w:val="TextBody"/>
        <w:bidi w:val="0"/>
        <w:spacing w:before="0" w:after="0"/>
        <w:ind w:left="0" w:right="0" w:firstLine="720"/>
        <w:jc w:val="both"/>
        <w:rPr>
          <w:caps w:val="false"/>
          <w:smallCaps w:val="false"/>
        </w:rPr>
      </w:pPr>
      <w:r>
        <w:rPr>
          <w:caps w:val="false"/>
          <w:smallCaps w:val="false"/>
        </w:rPr>
        <w:t> </w:t>
      </w:r>
      <w:bookmarkStart w:id="667" w:name="xdx_8B9_z3Tmzbbv95R3"/>
      <w:bookmarkEnd w:id="667"/>
      <w:r>
        <w:rPr>
          <w:rFonts w:ascii="Times New Roman;Times;Serif" w:hAnsi="Times New Roman;Times;Serif"/>
          <w:b w:val="false"/>
          <w:i w:val="false"/>
          <w:caps w:val="false"/>
          <w:smallCaps w:val="false"/>
          <w:sz w:val="20"/>
        </w:rPr>
        <w:t>Schedule of share based compensation expenses </w:t>
      </w:r>
    </w:p>
    <w:tbl>
      <w:tblPr>
        <w:tblW w:w="8165" w:type="dxa"/>
        <w:jc w:val="left"/>
        <w:tblInd w:w="0" w:type="dxa"/>
        <w:tblLayout w:type="fixed"/>
        <w:tblCellMar>
          <w:top w:w="0" w:type="dxa"/>
          <w:left w:w="0" w:type="dxa"/>
          <w:bottom w:w="0" w:type="dxa"/>
          <w:right w:w="0" w:type="dxa"/>
        </w:tblCellMar>
      </w:tblPr>
      <w:tblGrid>
        <w:gridCol w:w="4610"/>
        <w:gridCol w:w="60"/>
        <w:gridCol w:w="140"/>
        <w:gridCol w:w="980"/>
        <w:gridCol w:w="60"/>
        <w:gridCol w:w="60"/>
        <w:gridCol w:w="140"/>
        <w:gridCol w:w="800"/>
        <w:gridCol w:w="60"/>
        <w:gridCol w:w="60"/>
        <w:gridCol w:w="140"/>
        <w:gridCol w:w="980"/>
        <w:gridCol w:w="75"/>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8" w:name="xdx_498_20240101__20241231_zqKYwwKRMBRl"/>
            <w:bookmarkEnd w:id="668"/>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69" w:name="xdx_498_20230101__20231231_zIc0jG2rhqxb"/>
            <w:bookmarkEnd w:id="669"/>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70" w:name="xdx_49C_20220101__20221231_z7yMLOqmwFJi"/>
            <w:bookmarkEnd w:id="67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 December 31</w:t>
            </w:r>
          </w:p>
        </w:tc>
        <w:tc>
          <w:tcPr>
            <w:tcW w:w="75"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 Euros)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71" w:name="xdx_405_eus-gaap--AllocatedShareBasedCom"/>
            <w:bookmarkEnd w:id="671"/>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&amp; development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35,164</w:t>
            </w:r>
          </w:p>
        </w:tc>
        <w:tc>
          <w:tcPr>
            <w:tcW w:w="75" w:type="dxa"/>
            <w:tcBorders/>
            <w:shd w:fill="FFFFFF" w:val="clear"/>
            <w:vAlign w:val="center"/>
          </w:tcPr>
          <w:p>
            <w:pPr>
              <w:pStyle w:val="TableContents"/>
              <w:bidi w:val="0"/>
              <w:spacing w:before="0" w:after="283"/>
              <w:jc w:val="left"/>
              <w:rPr/>
            </w:pPr>
            <w:r>
              <w:rPr/>
              <w:t> </w:t>
            </w:r>
            <w:bookmarkStart w:id="672" w:name="xdx_406_eus-gaap--AllocatedShareBasedCom"/>
            <w:bookmarkEnd w:id="672"/>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&amp; development expense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673" w:name="xdx_402_eus-gaap--AllocatedShareBasedCom"/>
            <w:bookmarkEnd w:id="673"/>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&amp; administrative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505,828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486,962</w:t>
            </w:r>
          </w:p>
        </w:tc>
        <w:tc>
          <w:tcPr>
            <w:tcW w:w="75" w:type="dxa"/>
            <w:tcBorders/>
            <w:shd w:fill="FFFFFF" w:val="clear"/>
            <w:vAlign w:val="center"/>
          </w:tcPr>
          <w:p>
            <w:pPr>
              <w:pStyle w:val="TableContents"/>
              <w:bidi w:val="0"/>
              <w:spacing w:before="0" w:after="283"/>
              <w:jc w:val="left"/>
              <w:rPr/>
            </w:pPr>
            <w:r>
              <w:rPr/>
              <w:t> </w:t>
            </w:r>
            <w:bookmarkStart w:id="674" w:name="xdx_402_eus-gaap--AllocatedShareBasedCom"/>
            <w:bookmarkEnd w:id="674"/>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&amp; administrative expense -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254,046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200,609</w:t>
            </w:r>
          </w:p>
        </w:tc>
        <w:tc>
          <w:tcPr>
            <w:tcW w:w="75" w:type="dxa"/>
            <w:tcBorders/>
            <w:shd w:fill="CCEEFF" w:val="clear"/>
            <w:vAlign w:val="center"/>
          </w:tcPr>
          <w:p>
            <w:pPr>
              <w:pStyle w:val="TableContents"/>
              <w:bidi w:val="0"/>
              <w:spacing w:before="0" w:after="283"/>
              <w:jc w:val="left"/>
              <w:rPr/>
            </w:pPr>
            <w:r>
              <w:rPr/>
              <w:t> </w:t>
            </w:r>
            <w:bookmarkStart w:id="675" w:name="xdx_40E_eus-gaap--AllocatedShareBasedCom"/>
            <w:bookmarkEnd w:id="675"/>
          </w:p>
        </w:tc>
      </w:tr>
      <w:tr>
        <w:trPr/>
        <w:tc>
          <w:tcPr>
            <w:tcW w:w="46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739,884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722,735</w:t>
            </w:r>
          </w:p>
        </w:tc>
        <w:tc>
          <w:tcPr>
            <w:tcW w:w="75"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Unrecognized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76" w:name="xdx_987_eus-gaap--EmployeeServiceShareBa"/>
            <w:bookmarkEnd w:id="676"/>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77" w:name="xdx_989_eus-gaap--EmployeeServiceShareBa"/>
            <w:bookmarkEnd w:id="677"/>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907,683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678" w:name="xdx_98A_eus-gaap--EmployeeServiceShareBa"/>
            <w:bookmarkEnd w:id="678"/>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1,639,082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679" w:name="xdx_8A9_zKRbWVbl4Mwf"/>
      <w:bookmarkEnd w:id="679"/>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2023, and 2022, the Company recorded €</w:t>
      </w:r>
      <w:bookmarkStart w:id="680" w:name="xdx_90A_eus-gaap--SharebasedCompensation"/>
      <w:bookmarkEnd w:id="680"/>
      <w:r>
        <w:rPr>
          <w:rFonts w:ascii="Times New Roman;Times;Serif" w:hAnsi="Times New Roman;Times;Serif"/>
          <w:b w:val="false"/>
          <w:i w:val="false"/>
          <w:caps w:val="false"/>
          <w:smallCaps w:val="false"/>
          <w:sz w:val="20"/>
        </w:rPr>
        <w:t>847,255, €</w:t>
      </w:r>
      <w:bookmarkStart w:id="681" w:name="xdx_903_eus-gaap--SharebasedCompensation"/>
      <w:bookmarkEnd w:id="681"/>
      <w:r>
        <w:rPr>
          <w:rFonts w:ascii="Times New Roman;Times;Serif" w:hAnsi="Times New Roman;Times;Serif"/>
          <w:b w:val="false"/>
          <w:i w:val="false"/>
          <w:caps w:val="false"/>
          <w:smallCaps w:val="false"/>
          <w:sz w:val="20"/>
        </w:rPr>
        <w:t>739,884, and €</w:t>
      </w:r>
      <w:bookmarkStart w:id="682" w:name="xdx_90F_eus-gaap--SharebasedCompensation"/>
      <w:bookmarkEnd w:id="682"/>
      <w:r>
        <w:rPr>
          <w:rFonts w:ascii="Times New Roman;Times;Serif" w:hAnsi="Times New Roman;Times;Serif"/>
          <w:b w:val="false"/>
          <w:i w:val="false"/>
          <w:caps w:val="false"/>
          <w:smallCaps w:val="false"/>
          <w:sz w:val="20"/>
        </w:rPr>
        <w:t>722,735, respectively, as the fair value of the stock options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unrecognized expense at December 31, 2024, 2023, and 2022 was €</w:t>
      </w:r>
      <w:bookmarkStart w:id="683" w:name="xdx_90E_eus-gaap--EmployeeServiceShareBa"/>
      <w:bookmarkEnd w:id="683"/>
      <w:r>
        <w:rPr>
          <w:rFonts w:ascii="Times New Roman;Times;Serif" w:hAnsi="Times New Roman;Times;Serif"/>
          <w:b w:val="false"/>
          <w:i w:val="false"/>
          <w:caps w:val="false"/>
          <w:smallCaps w:val="false"/>
          <w:sz w:val="20"/>
        </w:rPr>
        <w:t>1,404,415, €</w:t>
      </w:r>
      <w:bookmarkStart w:id="684" w:name="xdx_909_eus-gaap--EmployeeServiceShareBa"/>
      <w:bookmarkEnd w:id="684"/>
      <w:r>
        <w:rPr>
          <w:rFonts w:ascii="Times New Roman;Times;Serif" w:hAnsi="Times New Roman;Times;Serif"/>
          <w:b w:val="false"/>
          <w:i w:val="false"/>
          <w:caps w:val="false"/>
          <w:smallCaps w:val="false"/>
          <w:sz w:val="20"/>
        </w:rPr>
        <w:t>907,683, and €</w:t>
      </w:r>
      <w:bookmarkStart w:id="685" w:name="xdx_905_eus-gaap--EmployeeServiceShareBa"/>
      <w:bookmarkEnd w:id="685"/>
      <w:r>
        <w:rPr>
          <w:rFonts w:ascii="Times New Roman;Times;Serif" w:hAnsi="Times New Roman;Times;Serif"/>
          <w:b w:val="false"/>
          <w:i w:val="false"/>
          <w:caps w:val="false"/>
          <w:smallCaps w:val="false"/>
          <w:sz w:val="20"/>
        </w:rPr>
        <w:t>1,639,082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fair value of the options granted during the period ended December 31, 2024, 2023 and 2022 was €</w:t>
      </w:r>
      <w:bookmarkStart w:id="686" w:name="xdx_905_eus-gaap--ShareBasedCompensation"/>
      <w:bookmarkEnd w:id="686"/>
      <w:r>
        <w:rPr>
          <w:rFonts w:ascii="Times New Roman;Times;Serif" w:hAnsi="Times New Roman;Times;Serif"/>
          <w:b w:val="false"/>
          <w:i w:val="false"/>
          <w:caps w:val="false"/>
          <w:smallCaps w:val="false"/>
          <w:sz w:val="20"/>
        </w:rPr>
        <w:t>2.87, €</w:t>
      </w:r>
      <w:bookmarkStart w:id="687" w:name="xdx_902_eus-gaap--ShareBasedCompensation"/>
      <w:bookmarkEnd w:id="687"/>
      <w:r>
        <w:rPr>
          <w:rFonts w:ascii="Times New Roman;Times;Serif" w:hAnsi="Times New Roman;Times;Serif"/>
          <w:b w:val="false"/>
          <w:i w:val="false"/>
          <w:caps w:val="false"/>
          <w:smallCaps w:val="false"/>
          <w:sz w:val="20"/>
        </w:rPr>
        <w:t>5.30 and €</w:t>
      </w:r>
      <w:bookmarkStart w:id="688" w:name="xdx_90D_eus-gaap--ShareBasedCompensation"/>
      <w:bookmarkEnd w:id="688"/>
      <w:r>
        <w:rPr>
          <w:rFonts w:ascii="Times New Roman;Times;Serif" w:hAnsi="Times New Roman;Times;Serif"/>
          <w:b w:val="false"/>
          <w:i w:val="false"/>
          <w:caps w:val="false"/>
          <w:smallCaps w:val="false"/>
          <w:sz w:val="20"/>
        </w:rPr>
        <w:t>4.99 per share respectively.</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9" w:name="xdx_808_eus-gaap--ComprehensiveIncomeNot"/>
      <w:bookmarkEnd w:id="689"/>
      <w:r>
        <w:rPr>
          <w:rFonts w:ascii="Times New Roman;Times;Serif" w:hAnsi="Times New Roman;Times;Serif"/>
          <w:b/>
          <w:i w:val="false"/>
          <w:caps w:val="false"/>
          <w:smallCaps w:val="false"/>
          <w:sz w:val="20"/>
        </w:rPr>
        <w:t xml:space="preserve">13. </w:t>
      </w:r>
      <w:bookmarkStart w:id="690" w:name="xdx_824_zELSB7fWmui9"/>
      <w:bookmarkEnd w:id="690"/>
      <w:r>
        <w:rPr>
          <w:rFonts w:ascii="Times New Roman;Times;Serif" w:hAnsi="Times New Roman;Times;Serif"/>
          <w:b/>
          <w:i w:val="false"/>
          <w:caps w:val="false"/>
          <w:smallCaps w:val="false"/>
          <w:sz w:val="20"/>
        </w:rPr>
        <w:t>Accumulated other comprehensive income</w:t>
      </w:r>
    </w:p>
    <w:p>
      <w:pPr>
        <w:pStyle w:val="TextBody"/>
        <w:bidi w:val="0"/>
        <w:spacing w:before="0" w:after="0"/>
        <w:ind w:left="0" w:right="0" w:hanging="0"/>
        <w:jc w:val="left"/>
        <w:rPr>
          <w:caps w:val="false"/>
          <w:smallCaps w:val="false"/>
        </w:rPr>
      </w:pPr>
      <w:bookmarkStart w:id="691" w:name="xdx_892_eus-gaap--ScheduleOfAccumulatedO"/>
      <w:bookmarkEnd w:id="691"/>
      <w:r>
        <w:rPr>
          <w:caps w:val="false"/>
          <w:smallCaps w:val="false"/>
        </w:rPr>
        <w:t> </w:t>
      </w:r>
      <w:bookmarkStart w:id="692" w:name="xdx_8BE_zzWOKmeS8D4"/>
      <w:bookmarkEnd w:id="692"/>
      <w:r>
        <w:rPr>
          <w:rFonts w:ascii="Times New Roman;Times;Serif" w:hAnsi="Times New Roman;Times;Serif"/>
          <w:b w:val="false"/>
          <w:i w:val="false"/>
          <w:caps w:val="false"/>
          <w:smallCaps w:val="false"/>
          <w:sz w:val="20"/>
        </w:rPr>
        <w:t>Schedule of Accumulated Other Comprehensive Income </w:t>
      </w:r>
    </w:p>
    <w:tbl>
      <w:tblPr>
        <w:tblW w:w="10205" w:type="dxa"/>
        <w:jc w:val="left"/>
        <w:tblInd w:w="0" w:type="dxa"/>
        <w:tblLayout w:type="fixed"/>
        <w:tblCellMar>
          <w:top w:w="0" w:type="dxa"/>
          <w:left w:w="0" w:type="dxa"/>
          <w:bottom w:w="0" w:type="dxa"/>
          <w:right w:w="0" w:type="dxa"/>
        </w:tblCellMar>
      </w:tblPr>
      <w:tblGrid>
        <w:gridCol w:w="2774"/>
        <w:gridCol w:w="60"/>
        <w:gridCol w:w="470"/>
        <w:gridCol w:w="2947"/>
        <w:gridCol w:w="95"/>
        <w:gridCol w:w="60"/>
        <w:gridCol w:w="369"/>
        <w:gridCol w:w="2002"/>
        <w:gridCol w:w="95"/>
        <w:gridCol w:w="60"/>
        <w:gridCol w:w="140"/>
        <w:gridCol w:w="875"/>
        <w:gridCol w:w="258"/>
      </w:tblGrid>
      <w:tr>
        <w:trPr/>
        <w:tc>
          <w:tcPr>
            <w:tcW w:w="2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3" w:name="xdx_498_20240101__20241231__us-gaap--Sta"/>
            <w:bookmarkEnd w:id="693"/>
          </w:p>
        </w:tc>
        <w:tc>
          <w:tcPr>
            <w:tcW w:w="34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Unrealized gains and losses on available-for-sale debt 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4" w:name="xdx_498_20240101__20241231__us-gaap--Sta"/>
            <w:bookmarkEnd w:id="694"/>
          </w:p>
        </w:tc>
        <w:tc>
          <w:tcPr>
            <w:tcW w:w="23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Foreign Currency Translation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5" w:name="xdx_490_20240101__20241231_z8ymYCxqcL0c"/>
            <w:bookmarkEnd w:id="695"/>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258" w:type="dxa"/>
            <w:tcBorders/>
            <w:vAlign w:val="center"/>
          </w:tcPr>
          <w:p>
            <w:pPr>
              <w:pStyle w:val="TableContents"/>
              <w:bidi w:val="0"/>
              <w:spacing w:before="0" w:after="283"/>
              <w:jc w:val="left"/>
              <w:rPr/>
            </w:pPr>
            <w:r>
              <w:rPr/>
              <w:t> </w:t>
            </w:r>
          </w:p>
        </w:tc>
      </w:tr>
      <w:tr>
        <w:trPr/>
        <w:tc>
          <w:tcPr>
            <w:tcW w:w="2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3" w:type="dxa"/>
            <w:gridSpan w:val="1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Changes in Accumulated Other Comprehensive Income</w:t>
            </w:r>
          </w:p>
        </w:tc>
        <w:tc>
          <w:tcPr>
            <w:tcW w:w="258" w:type="dxa"/>
            <w:tcBorders/>
            <w:vAlign w:val="center"/>
          </w:tcPr>
          <w:p>
            <w:pPr>
              <w:pStyle w:val="TableContents"/>
              <w:bidi w:val="0"/>
              <w:spacing w:before="0" w:after="283"/>
              <w:jc w:val="left"/>
              <w:rPr/>
            </w:pPr>
            <w:r>
              <w:rPr/>
              <w:t> </w:t>
            </w:r>
          </w:p>
        </w:tc>
      </w:tr>
      <w:tr>
        <w:trPr/>
        <w:tc>
          <w:tcPr>
            <w:tcW w:w="2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2024</w:t>
            </w:r>
          </w:p>
        </w:tc>
        <w:tc>
          <w:tcPr>
            <w:tcW w:w="258" w:type="dxa"/>
            <w:tcBorders/>
            <w:vAlign w:val="center"/>
          </w:tcPr>
          <w:p>
            <w:pPr>
              <w:pStyle w:val="TableContents"/>
              <w:bidi w:val="0"/>
              <w:spacing w:before="0" w:after="283"/>
              <w:jc w:val="left"/>
              <w:rPr/>
            </w:pPr>
            <w:r>
              <w:rPr/>
              <w:t> </w:t>
            </w:r>
          </w:p>
        </w:tc>
      </w:tr>
      <w:tr>
        <w:trPr/>
        <w:tc>
          <w:tcPr>
            <w:tcW w:w="2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Unrealized gains and losses on available-for-sale debt securities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Foreign Currency Translation 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258" w:type="dxa"/>
            <w:tcBorders/>
            <w:vAlign w:val="center"/>
          </w:tcPr>
          <w:p>
            <w:pPr>
              <w:pStyle w:val="TableContents"/>
              <w:bidi w:val="0"/>
              <w:spacing w:before="0" w:after="283"/>
              <w:jc w:val="left"/>
              <w:rPr/>
            </w:pPr>
            <w:r>
              <w:rPr/>
              <w:t> </w:t>
            </w:r>
          </w:p>
        </w:tc>
      </w:tr>
      <w:tr>
        <w:trPr/>
        <w:tc>
          <w:tcPr>
            <w:tcW w:w="2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1"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258" w:type="dxa"/>
            <w:tcBorders/>
            <w:vAlign w:val="center"/>
          </w:tcPr>
          <w:p>
            <w:pPr>
              <w:pStyle w:val="TableContents"/>
              <w:bidi w:val="0"/>
              <w:spacing w:before="0" w:after="283"/>
              <w:jc w:val="left"/>
              <w:rPr/>
            </w:pPr>
            <w:r>
              <w:rPr/>
              <w:t> </w:t>
            </w:r>
            <w:bookmarkStart w:id="696" w:name="xdx_406_eus-gaap--AccumulatedOtherCompre"/>
            <w:bookmarkEnd w:id="696"/>
          </w:p>
        </w:tc>
      </w:tr>
      <w:tr>
        <w:trPr/>
        <w:tc>
          <w:tcPr>
            <w:tcW w:w="27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Balance</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p>
        </w:tc>
        <w:tc>
          <w:tcPr>
            <w:tcW w:w="29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w:t>
            </w:r>
          </w:p>
        </w:tc>
        <w:tc>
          <w:tcPr>
            <w:tcW w:w="20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231,142</w:t>
            </w:r>
          </w:p>
        </w:tc>
        <w:tc>
          <w:tcPr>
            <w:tcW w:w="258" w:type="dxa"/>
            <w:tcBorders/>
            <w:shd w:fill="CCEEFF" w:val="clear"/>
            <w:vAlign w:val="center"/>
          </w:tcPr>
          <w:p>
            <w:pPr>
              <w:pStyle w:val="TableContents"/>
              <w:bidi w:val="0"/>
              <w:spacing w:before="0" w:after="283"/>
              <w:jc w:val="left"/>
              <w:rPr/>
            </w:pPr>
            <w:r>
              <w:rPr/>
              <w:t> </w:t>
            </w:r>
            <w:bookmarkStart w:id="697" w:name="xdx_40B_eus-gaap--OtherComprehensiveInco"/>
            <w:bookmarkEnd w:id="697"/>
          </w:p>
        </w:tc>
      </w:tr>
      <w:tr>
        <w:trPr/>
        <w:tc>
          <w:tcPr>
            <w:tcW w:w="27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 for net (gain) loss on marketable securities</w:t>
            </w:r>
          </w:p>
        </w:tc>
        <w:tc>
          <w:tcPr>
            <w:tcW w:w="60"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294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20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(214,984</w:t>
            </w:r>
          </w:p>
        </w:tc>
        <w:tc>
          <w:tcPr>
            <w:tcW w:w="2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8" w:name="xdx_40B_eus-gaap--MarketableSecuritiesGa"/>
            <w:bookmarkEnd w:id="698"/>
          </w:p>
        </w:tc>
      </w:tr>
      <w:tr>
        <w:trPr/>
        <w:tc>
          <w:tcPr>
            <w:tcW w:w="27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marketable securities</w:t>
            </w:r>
          </w:p>
        </w:tc>
        <w:tc>
          <w:tcPr>
            <w:tcW w:w="6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c>
          <w:tcPr>
            <w:tcW w:w="294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96,234</w:t>
            </w:r>
          </w:p>
        </w:tc>
        <w:tc>
          <w:tcPr>
            <w:tcW w:w="258" w:type="dxa"/>
            <w:tcBorders/>
            <w:shd w:fill="CCEEFF" w:val="clear"/>
            <w:vAlign w:val="center"/>
          </w:tcPr>
          <w:p>
            <w:pPr>
              <w:pStyle w:val="TableContents"/>
              <w:bidi w:val="0"/>
              <w:spacing w:before="0" w:after="283"/>
              <w:ind w:left="0" w:right="0" w:firstLine="180"/>
              <w:jc w:val="left"/>
              <w:rPr/>
            </w:pPr>
            <w:r>
              <w:rPr/>
              <w:t> </w:t>
            </w:r>
            <w:bookmarkStart w:id="699" w:name="xdx_404_eus-gaap--CumulativeTranslationA"/>
            <w:bookmarkEnd w:id="699"/>
          </w:p>
        </w:tc>
      </w:tr>
      <w:tr>
        <w:trPr/>
        <w:tc>
          <w:tcPr>
            <w:tcW w:w="27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4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9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(23,446</w:t>
            </w:r>
          </w:p>
        </w:tc>
        <w:tc>
          <w:tcPr>
            <w:tcW w:w="2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00" w:name="xdx_40A_eus-gaap--AccumulatedOtherCompre"/>
            <w:bookmarkEnd w:id="700"/>
          </w:p>
        </w:tc>
      </w:tr>
      <w:tr>
        <w:trPr/>
        <w:tc>
          <w:tcPr>
            <w:tcW w:w="27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9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88,946</w:t>
            </w:r>
          </w:p>
        </w:tc>
        <w:tc>
          <w:tcPr>
            <w:tcW w:w="25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01" w:name="xdx_8A8_zz4hlWTFKQi2"/>
      <w:bookmarkEnd w:id="701"/>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relates to marketable securities fair value measurement reserve and cumulative translation adjustment reserve as reported in the above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realized gain for the year ended December 31, 2024, from the Company’s investing activity was approximately €</w:t>
      </w:r>
      <w:bookmarkStart w:id="702" w:name="xdx_90D_eus-gaap--RealizedInvestmentGain"/>
      <w:bookmarkEnd w:id="702"/>
      <w:r>
        <w:rPr>
          <w:rFonts w:ascii="Times New Roman;Times;Serif" w:hAnsi="Times New Roman;Times;Serif"/>
          <w:b w:val="false"/>
          <w:i w:val="false"/>
          <w:caps w:val="false"/>
          <w:smallCaps w:val="false"/>
          <w:sz w:val="20"/>
        </w:rPr>
        <w:t>0.4 million. The unrealized net gain on marketable securities not matured at December 31, 2024, was approximately €</w:t>
      </w:r>
      <w:bookmarkStart w:id="703" w:name="xdx_90F_eus-gaap--MarketableSecuritiesUn"/>
      <w:bookmarkEnd w:id="703"/>
      <w:r>
        <w:rPr>
          <w:rFonts w:ascii="Times New Roman;Times;Serif" w:hAnsi="Times New Roman;Times;Serif"/>
          <w:b w:val="false"/>
          <w:i w:val="false"/>
          <w:caps w:val="false"/>
          <w:smallCaps w:val="false"/>
          <w:sz w:val="20"/>
        </w:rPr>
        <w:t>0.1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cumulative translation adjustments reserve was not material, and it mainly included the effect of the translation of U.S. dollars held by the U.S. Subsidiary into Euros as the consolidated financial statements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4" w:name="xdx_80B_eus-gaap--RelatedPartyTransactio"/>
      <w:bookmarkEnd w:id="704"/>
      <w:r>
        <w:rPr>
          <w:rFonts w:ascii="Times New Roman;Times;Serif" w:hAnsi="Times New Roman;Times;Serif"/>
          <w:b/>
          <w:i w:val="false"/>
          <w:caps w:val="false"/>
          <w:smallCaps w:val="false"/>
          <w:sz w:val="20"/>
        </w:rPr>
        <w:t xml:space="preserve">14. </w:t>
      </w:r>
      <w:bookmarkStart w:id="705" w:name="xdx_821_z5lTe12Asdo1"/>
      <w:bookmarkEnd w:id="705"/>
      <w:r>
        <w:rPr>
          <w:rFonts w:ascii="Times New Roman;Times;Serif" w:hAnsi="Times New Roman;Times;Serif"/>
          <w:b/>
          <w:i w:val="false"/>
          <w:caps w:val="false"/>
          <w:smallCaps w:val="false"/>
          <w:sz w:val="20"/>
        </w:rPr>
        <w:t>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06" w:name="xdx_898_eus-gaap--ScheduleOfRelatedParty"/>
      <w:bookmarkEnd w:id="706"/>
      <w:r>
        <w:rPr>
          <w:rFonts w:ascii="Times New Roman;Times;Serif" w:hAnsi="Times New Roman;Times;Serif"/>
          <w:b w:val="false"/>
          <w:i w:val="false"/>
          <w:caps w:val="false"/>
          <w:smallCaps w:val="false"/>
          <w:sz w:val="20"/>
        </w:rPr>
        <w:t>The Company’s research and development expenses are a combination of third-party expenses, and related party expenses, as detailed below:</w:t>
      </w:r>
    </w:p>
    <w:p>
      <w:pPr>
        <w:pStyle w:val="TextBody"/>
        <w:bidi w:val="0"/>
        <w:spacing w:before="0" w:after="0"/>
        <w:ind w:left="0" w:right="0" w:firstLine="720"/>
        <w:jc w:val="both"/>
        <w:rPr>
          <w:caps w:val="false"/>
          <w:smallCaps w:val="false"/>
        </w:rPr>
      </w:pPr>
      <w:r>
        <w:rPr>
          <w:caps w:val="false"/>
          <w:smallCaps w:val="false"/>
        </w:rPr>
        <w:t> </w:t>
      </w:r>
      <w:bookmarkStart w:id="707" w:name="xdx_8B8_z9DenjDk5j23"/>
      <w:bookmarkEnd w:id="707"/>
      <w:r>
        <w:rPr>
          <w:rFonts w:ascii="Times New Roman;Times;Serif" w:hAnsi="Times New Roman;Times;Serif"/>
          <w:b w:val="false"/>
          <w:i w:val="false"/>
          <w:caps w:val="false"/>
          <w:smallCaps w:val="false"/>
          <w:sz w:val="20"/>
        </w:rPr>
        <w:t>Schedule of third party and related party expenses </w:t>
      </w:r>
    </w:p>
    <w:tbl>
      <w:tblPr>
        <w:tblW w:w="7864" w:type="dxa"/>
        <w:jc w:val="left"/>
        <w:tblInd w:w="0" w:type="dxa"/>
        <w:tblLayout w:type="fixed"/>
        <w:tblCellMar>
          <w:top w:w="0" w:type="dxa"/>
          <w:left w:w="0" w:type="dxa"/>
          <w:bottom w:w="0" w:type="dxa"/>
          <w:right w:w="0" w:type="dxa"/>
        </w:tblCellMar>
      </w:tblPr>
      <w:tblGrid>
        <w:gridCol w:w="3665"/>
        <w:gridCol w:w="60"/>
        <w:gridCol w:w="155"/>
        <w:gridCol w:w="1092"/>
        <w:gridCol w:w="60"/>
        <w:gridCol w:w="60"/>
        <w:gridCol w:w="180"/>
        <w:gridCol w:w="1265"/>
        <w:gridCol w:w="60"/>
        <w:gridCol w:w="60"/>
        <w:gridCol w:w="141"/>
        <w:gridCol w:w="991"/>
        <w:gridCol w:w="75"/>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08" w:name="xdx_49E_20240101__20241231__us-gaap--Rel"/>
            <w:bookmarkEnd w:id="708"/>
          </w:p>
        </w:tc>
        <w:tc>
          <w:tcPr>
            <w:tcW w:w="12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Third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09" w:name="xdx_491_20240101__20241231__us-gaap--Rel"/>
            <w:bookmarkEnd w:id="709"/>
          </w:p>
        </w:tc>
        <w:tc>
          <w:tcPr>
            <w:tcW w:w="14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Related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10" w:name="xdx_49E_20240101__20241231_zTemS0PrEAC3"/>
            <w:bookmarkEnd w:id="710"/>
          </w:p>
        </w:tc>
        <w:tc>
          <w:tcPr>
            <w:tcW w:w="11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75" w:type="dxa"/>
            <w:tcBorders/>
            <w:vAlign w:val="center"/>
          </w:tcPr>
          <w:p>
            <w:pPr>
              <w:pStyle w:val="TableContents"/>
              <w:bidi w:val="0"/>
              <w:spacing w:before="0" w:after="283"/>
              <w:jc w:val="center"/>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2024</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Third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Related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75" w:type="dxa"/>
            <w:tcBorders/>
            <w:vAlign w:val="center"/>
          </w:tcPr>
          <w:p>
            <w:pPr>
              <w:pStyle w:val="TableContents"/>
              <w:bidi w:val="0"/>
              <w:spacing w:before="0" w:after="283"/>
              <w:jc w:val="center"/>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 Euros)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11" w:name="xdx_405_eus-gaap--ResearchAndDevelopment"/>
            <w:bookmarkEnd w:id="711"/>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Consultants &amp; other third parties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0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1,015,908</w:t>
            </w:r>
          </w:p>
        </w:tc>
        <w:tc>
          <w:tcPr>
            <w:tcW w:w="75" w:type="dxa"/>
            <w:tcBorders/>
            <w:shd w:fill="FFFFFF" w:val="clear"/>
            <w:vAlign w:val="center"/>
          </w:tcPr>
          <w:p>
            <w:pPr>
              <w:pStyle w:val="TableContents"/>
              <w:bidi w:val="0"/>
              <w:spacing w:before="0" w:after="283"/>
              <w:jc w:val="left"/>
              <w:rPr/>
            </w:pPr>
            <w:r>
              <w:rPr/>
              <w:t> </w:t>
            </w:r>
            <w:bookmarkStart w:id="712" w:name="xdx_40E_eus-gaap--ResearchAndDevelopment"/>
            <w:bookmarkEnd w:id="712"/>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Materials &amp; supplies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2,301,038</w:t>
            </w:r>
          </w:p>
        </w:tc>
        <w:tc>
          <w:tcPr>
            <w:tcW w:w="75" w:type="dxa"/>
            <w:tcBorders/>
            <w:shd w:fill="CCEEFF" w:val="clear"/>
            <w:vAlign w:val="center"/>
          </w:tcPr>
          <w:p>
            <w:pPr>
              <w:pStyle w:val="TableContents"/>
              <w:bidi w:val="0"/>
              <w:spacing w:before="0" w:after="283"/>
              <w:jc w:val="left"/>
              <w:rPr/>
            </w:pPr>
            <w:r>
              <w:rPr/>
              <w:t> </w:t>
            </w:r>
            <w:bookmarkStart w:id="713" w:name="xdx_40E_eus-gaap--ResearchAndDevelopment"/>
            <w:bookmarkEnd w:id="713"/>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(including share-based)</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744,959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695,764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1,440,723</w:t>
            </w:r>
          </w:p>
        </w:tc>
        <w:tc>
          <w:tcPr>
            <w:tcW w:w="75" w:type="dxa"/>
            <w:tcBorders/>
            <w:shd w:fill="FFFFFF" w:val="clear"/>
            <w:vAlign w:val="center"/>
          </w:tcPr>
          <w:p>
            <w:pPr>
              <w:pStyle w:val="TableContents"/>
              <w:bidi w:val="0"/>
              <w:spacing w:before="0" w:after="283"/>
              <w:jc w:val="left"/>
              <w:rPr/>
            </w:pPr>
            <w:r>
              <w:rPr/>
              <w:t> </w:t>
            </w:r>
            <w:bookmarkStart w:id="714" w:name="xdx_404_eus-gaap--ResearchAndDevelopment"/>
            <w:bookmarkEnd w:id="714"/>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Travel &amp; entertainment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29,137</w:t>
            </w:r>
          </w:p>
        </w:tc>
        <w:tc>
          <w:tcPr>
            <w:tcW w:w="75" w:type="dxa"/>
            <w:tcBorders/>
            <w:shd w:fill="CCEEFF" w:val="clear"/>
            <w:vAlign w:val="center"/>
          </w:tcPr>
          <w:p>
            <w:pPr>
              <w:pStyle w:val="TableContents"/>
              <w:bidi w:val="0"/>
              <w:spacing w:before="0" w:after="283"/>
              <w:jc w:val="left"/>
              <w:rPr/>
            </w:pPr>
            <w:r>
              <w:rPr/>
              <w:t> </w:t>
            </w:r>
            <w:bookmarkStart w:id="715" w:name="xdx_40C_eus-gaap--ResearchAndDevelopment"/>
            <w:bookmarkEnd w:id="715"/>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26,048</w:t>
            </w:r>
          </w:p>
        </w:tc>
        <w:tc>
          <w:tcPr>
            <w:tcW w:w="75" w:type="dxa"/>
            <w:tcBorders/>
            <w:shd w:fill="FFFFFF" w:val="clear"/>
            <w:vAlign w:val="center"/>
          </w:tcPr>
          <w:p>
            <w:pPr>
              <w:pStyle w:val="TableContents"/>
              <w:bidi w:val="0"/>
              <w:spacing w:before="0" w:after="283"/>
              <w:jc w:val="left"/>
              <w:rPr/>
            </w:pPr>
            <w:r>
              <w:rPr/>
              <w:t> </w:t>
            </w:r>
            <w:bookmarkStart w:id="716" w:name="xdx_402_eus-gaap--ResearchAndDevelopment"/>
            <w:bookmarkEnd w:id="716"/>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3,363,410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1,449,443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4,812,854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7864" w:type="dxa"/>
        <w:jc w:val="left"/>
        <w:tblInd w:w="0" w:type="dxa"/>
        <w:tblLayout w:type="fixed"/>
        <w:tblCellMar>
          <w:top w:w="0" w:type="dxa"/>
          <w:left w:w="0" w:type="dxa"/>
          <w:bottom w:w="0" w:type="dxa"/>
          <w:right w:w="0" w:type="dxa"/>
        </w:tblCellMar>
      </w:tblPr>
      <w:tblGrid>
        <w:gridCol w:w="3665"/>
        <w:gridCol w:w="60"/>
        <w:gridCol w:w="155"/>
        <w:gridCol w:w="1092"/>
        <w:gridCol w:w="60"/>
        <w:gridCol w:w="60"/>
        <w:gridCol w:w="180"/>
        <w:gridCol w:w="1265"/>
        <w:gridCol w:w="60"/>
        <w:gridCol w:w="60"/>
        <w:gridCol w:w="141"/>
        <w:gridCol w:w="991"/>
        <w:gridCol w:w="75"/>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17" w:name="xdx_493_20230101__20231231__us-gaap--Rel"/>
            <w:bookmarkEnd w:id="717"/>
          </w:p>
        </w:tc>
        <w:tc>
          <w:tcPr>
            <w:tcW w:w="12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Third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18" w:name="xdx_491_20230101__20231231__us-gaap--Rel"/>
            <w:bookmarkEnd w:id="718"/>
          </w:p>
        </w:tc>
        <w:tc>
          <w:tcPr>
            <w:tcW w:w="14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Related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19" w:name="xdx_492_20230101__20231231_zkGmDbI2HP3b"/>
            <w:bookmarkEnd w:id="719"/>
          </w:p>
        </w:tc>
        <w:tc>
          <w:tcPr>
            <w:tcW w:w="11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75" w:type="dxa"/>
            <w:tcBorders/>
            <w:vAlign w:val="center"/>
          </w:tcPr>
          <w:p>
            <w:pPr>
              <w:pStyle w:val="TableContents"/>
              <w:bidi w:val="0"/>
              <w:spacing w:before="0" w:after="283"/>
              <w:jc w:val="center"/>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2023</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Third Parties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Related Parties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 Euros)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20" w:name="xdx_405_eus-gaap--ResearchAndDevelopment"/>
            <w:bookmarkEnd w:id="720"/>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Consultants &amp; other third parties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10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1,636,455</w:t>
            </w:r>
          </w:p>
        </w:tc>
        <w:tc>
          <w:tcPr>
            <w:tcW w:w="75" w:type="dxa"/>
            <w:tcBorders/>
            <w:shd w:fill="FFFFFF" w:val="clear"/>
            <w:vAlign w:val="center"/>
          </w:tcPr>
          <w:p>
            <w:pPr>
              <w:pStyle w:val="TableContents"/>
              <w:bidi w:val="0"/>
              <w:spacing w:before="0" w:after="283"/>
              <w:jc w:val="left"/>
              <w:rPr/>
            </w:pPr>
            <w:r>
              <w:rPr/>
              <w:t> </w:t>
            </w:r>
            <w:bookmarkStart w:id="721" w:name="xdx_40E_eus-gaap--ResearchAndDevelopment"/>
            <w:bookmarkEnd w:id="721"/>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Materials &amp; supplies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3,639,920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3,639,920</w:t>
            </w:r>
          </w:p>
        </w:tc>
        <w:tc>
          <w:tcPr>
            <w:tcW w:w="75" w:type="dxa"/>
            <w:tcBorders/>
            <w:shd w:fill="CCEEFF" w:val="clear"/>
            <w:vAlign w:val="center"/>
          </w:tcPr>
          <w:p>
            <w:pPr>
              <w:pStyle w:val="TableContents"/>
              <w:bidi w:val="0"/>
              <w:spacing w:before="0" w:after="283"/>
              <w:jc w:val="left"/>
              <w:rPr/>
            </w:pPr>
            <w:r>
              <w:rPr/>
              <w:t> </w:t>
            </w:r>
            <w:bookmarkStart w:id="722" w:name="xdx_40E_eus-gaap--ResearchAndDevelopment"/>
            <w:bookmarkEnd w:id="722"/>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(including share-based)</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467,557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1,113,489</w:t>
            </w:r>
          </w:p>
        </w:tc>
        <w:tc>
          <w:tcPr>
            <w:tcW w:w="75" w:type="dxa"/>
            <w:tcBorders/>
            <w:shd w:fill="FFFFFF" w:val="clear"/>
            <w:vAlign w:val="center"/>
          </w:tcPr>
          <w:p>
            <w:pPr>
              <w:pStyle w:val="TableContents"/>
              <w:bidi w:val="0"/>
              <w:spacing w:before="0" w:after="283"/>
              <w:jc w:val="left"/>
              <w:rPr/>
            </w:pPr>
            <w:r>
              <w:rPr/>
              <w:t> </w:t>
            </w:r>
            <w:bookmarkStart w:id="723" w:name="xdx_404_eus-gaap--ResearchAndDevelopment"/>
            <w:bookmarkEnd w:id="723"/>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Travel &amp; entertainment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44,243</w:t>
            </w:r>
          </w:p>
        </w:tc>
        <w:tc>
          <w:tcPr>
            <w:tcW w:w="75" w:type="dxa"/>
            <w:tcBorders/>
            <w:shd w:fill="CCEEFF" w:val="clear"/>
            <w:vAlign w:val="center"/>
          </w:tcPr>
          <w:p>
            <w:pPr>
              <w:pStyle w:val="TableContents"/>
              <w:bidi w:val="0"/>
              <w:spacing w:before="0" w:after="283"/>
              <w:jc w:val="left"/>
              <w:rPr/>
            </w:pPr>
            <w:r>
              <w:rPr/>
              <w:t> </w:t>
            </w:r>
            <w:bookmarkStart w:id="724" w:name="xdx_40C_eus-gaap--ResearchAndDevelopment"/>
            <w:bookmarkEnd w:id="724"/>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40,334</w:t>
            </w:r>
          </w:p>
        </w:tc>
        <w:tc>
          <w:tcPr>
            <w:tcW w:w="75" w:type="dxa"/>
            <w:tcBorders/>
            <w:shd w:fill="FFFFFF" w:val="clear"/>
            <w:vAlign w:val="center"/>
          </w:tcPr>
          <w:p>
            <w:pPr>
              <w:pStyle w:val="TableContents"/>
              <w:bidi w:val="0"/>
              <w:spacing w:before="0" w:after="283"/>
              <w:jc w:val="left"/>
              <w:rPr/>
            </w:pPr>
            <w:r>
              <w:rPr/>
              <w:t> </w:t>
            </w:r>
            <w:bookmarkStart w:id="725" w:name="xdx_402_eus-gaap--ResearchAndDevelopment"/>
            <w:bookmarkEnd w:id="725"/>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4,496,974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1,977,467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6,474,441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20" w:type="dxa"/>
        <w:jc w:val="left"/>
        <w:tblInd w:w="0" w:type="dxa"/>
        <w:tblLayout w:type="fixed"/>
        <w:tblCellMar>
          <w:top w:w="0" w:type="dxa"/>
          <w:left w:w="0" w:type="dxa"/>
          <w:bottom w:w="0" w:type="dxa"/>
          <w:right w:w="0" w:type="dxa"/>
        </w:tblCellMar>
      </w:tblPr>
      <w:tblGrid>
        <w:gridCol w:w="3665"/>
        <w:gridCol w:w="60"/>
        <w:gridCol w:w="172"/>
        <w:gridCol w:w="1212"/>
        <w:gridCol w:w="60"/>
        <w:gridCol w:w="60"/>
        <w:gridCol w:w="194"/>
        <w:gridCol w:w="1370"/>
        <w:gridCol w:w="60"/>
        <w:gridCol w:w="60"/>
        <w:gridCol w:w="141"/>
        <w:gridCol w:w="991"/>
        <w:gridCol w:w="75"/>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26" w:name="xdx_495_20220101__20221231__us-gaap--Rel"/>
            <w:bookmarkEnd w:id="726"/>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Third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27" w:name="xdx_495_20220101__20221231__us-gaap--Rel"/>
            <w:bookmarkEnd w:id="727"/>
          </w:p>
        </w:tc>
        <w:tc>
          <w:tcPr>
            <w:tcW w:w="15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Related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28" w:name="xdx_490_20220101__20221231_zmlWe5rjgoU6"/>
            <w:bookmarkEnd w:id="728"/>
          </w:p>
        </w:tc>
        <w:tc>
          <w:tcPr>
            <w:tcW w:w="11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75" w:type="dxa"/>
            <w:tcBorders/>
            <w:vAlign w:val="center"/>
          </w:tcPr>
          <w:p>
            <w:pPr>
              <w:pStyle w:val="TableContents"/>
              <w:bidi w:val="0"/>
              <w:spacing w:before="0" w:after="283"/>
              <w:jc w:val="center"/>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2022</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Related Parties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center"/>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729" w:name="xdx_405_eus-gaap--ResearchAndDevelopment"/>
            <w:bookmarkEnd w:id="729"/>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Consultants &amp; other third parties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804,341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1,530,423</w:t>
            </w:r>
          </w:p>
        </w:tc>
        <w:tc>
          <w:tcPr>
            <w:tcW w:w="75" w:type="dxa"/>
            <w:tcBorders/>
            <w:shd w:fill="CCEEFF" w:val="clear"/>
            <w:vAlign w:val="center"/>
          </w:tcPr>
          <w:p>
            <w:pPr>
              <w:pStyle w:val="TableContents"/>
              <w:bidi w:val="0"/>
              <w:spacing w:before="0" w:after="283"/>
              <w:jc w:val="left"/>
              <w:rPr/>
            </w:pPr>
            <w:r>
              <w:rPr/>
              <w:t> </w:t>
            </w:r>
            <w:bookmarkStart w:id="730" w:name="xdx_40E_eus-gaap--ResearchAndDevelopment"/>
            <w:bookmarkEnd w:id="730"/>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Materials &amp; supplies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2,790,982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3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2,790,982</w:t>
            </w:r>
          </w:p>
        </w:tc>
        <w:tc>
          <w:tcPr>
            <w:tcW w:w="75" w:type="dxa"/>
            <w:tcBorders/>
            <w:shd w:fill="FFFFFF" w:val="clear"/>
            <w:vAlign w:val="center"/>
          </w:tcPr>
          <w:p>
            <w:pPr>
              <w:pStyle w:val="TableContents"/>
              <w:bidi w:val="0"/>
              <w:spacing w:before="0" w:after="283"/>
              <w:jc w:val="left"/>
              <w:rPr/>
            </w:pPr>
            <w:r>
              <w:rPr/>
              <w:t> </w:t>
            </w:r>
            <w:bookmarkStart w:id="731" w:name="xdx_40E_eus-gaap--ResearchAndDevelopment"/>
            <w:bookmarkEnd w:id="731"/>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(including share-based)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992,281</w:t>
            </w:r>
          </w:p>
        </w:tc>
        <w:tc>
          <w:tcPr>
            <w:tcW w:w="75" w:type="dxa"/>
            <w:tcBorders/>
            <w:shd w:fill="CCEEFF" w:val="clear"/>
            <w:vAlign w:val="center"/>
          </w:tcPr>
          <w:p>
            <w:pPr>
              <w:pStyle w:val="TableContents"/>
              <w:bidi w:val="0"/>
              <w:spacing w:before="0" w:after="283"/>
              <w:jc w:val="left"/>
              <w:rPr/>
            </w:pPr>
            <w:r>
              <w:rPr/>
              <w:t> </w:t>
            </w:r>
            <w:bookmarkStart w:id="732" w:name="xdx_40C_eus-gaap--ResearchAndDevelopment"/>
            <w:bookmarkEnd w:id="732"/>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25,276</w:t>
            </w:r>
          </w:p>
        </w:tc>
        <w:tc>
          <w:tcPr>
            <w:tcW w:w="75" w:type="dxa"/>
            <w:tcBorders/>
            <w:shd w:fill="FFFFFF" w:val="clear"/>
            <w:vAlign w:val="center"/>
          </w:tcPr>
          <w:p>
            <w:pPr>
              <w:pStyle w:val="TableContents"/>
              <w:bidi w:val="0"/>
              <w:spacing w:before="0" w:after="283"/>
              <w:jc w:val="left"/>
              <w:rPr/>
            </w:pPr>
            <w:r>
              <w:rPr/>
              <w:t> </w:t>
            </w:r>
            <w:bookmarkStart w:id="733" w:name="xdx_402_eus-gaap--ResearchAndDevelopment"/>
            <w:bookmarkEnd w:id="733"/>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4,032,684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1,306,278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5,338,962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34" w:name="xdx_8A0_zxQXUi2OwWSl"/>
      <w:bookmarkEnd w:id="73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R&amp;D expenses for consultants &amp; other third parties refer mainly to the costs of preclinical and clinical activities charged by OSR. R&amp;D costs for materials &amp; supplies relate mainly to manufacturing costs charged by the Company’s main manufacturing vendor, AGC Biologics. Compensation costs relate to R&amp;D personnel wages, salaries, and share-based compensation including social contribution and other related personnel costs. Travel &amp; entertainment expenses relate mainly to business trips and scientific conferences. Other R&amp;D expenses relate to minor general operating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research and development expenses of approximately €</w:t>
      </w:r>
      <w:bookmarkStart w:id="735" w:name="xdx_907_eus-gaap--ResearchAndDevelopment"/>
      <w:bookmarkEnd w:id="735"/>
      <w:r>
        <w:rPr>
          <w:rFonts w:ascii="Times New Roman;Times;Serif" w:hAnsi="Times New Roman;Times;Serif"/>
          <w:b w:val="false"/>
          <w:i w:val="false"/>
          <w:caps w:val="false"/>
          <w:smallCaps w:val="false"/>
          <w:sz w:val="20"/>
        </w:rPr>
        <w:t>4.8 million in 2024, €</w:t>
      </w:r>
      <w:bookmarkStart w:id="736" w:name="xdx_90F_eus-gaap--ResearchAndDevelopment"/>
      <w:bookmarkEnd w:id="736"/>
      <w:r>
        <w:rPr>
          <w:rFonts w:ascii="Times New Roman;Times;Serif" w:hAnsi="Times New Roman;Times;Serif"/>
          <w:b w:val="false"/>
          <w:i w:val="false"/>
          <w:caps w:val="false"/>
          <w:smallCaps w:val="false"/>
          <w:sz w:val="20"/>
        </w:rPr>
        <w:t>6.5 million in 2023, and €</w:t>
      </w:r>
      <w:bookmarkStart w:id="737" w:name="xdx_90C_eus-gaap--ResearchAndDevelopment"/>
      <w:bookmarkEnd w:id="737"/>
      <w:r>
        <w:rPr>
          <w:rFonts w:ascii="Times New Roman;Times;Serif" w:hAnsi="Times New Roman;Times;Serif"/>
          <w:b w:val="false"/>
          <w:i w:val="false"/>
          <w:caps w:val="false"/>
          <w:smallCaps w:val="false"/>
          <w:sz w:val="20"/>
        </w:rPr>
        <w:t>5.3 million in 2022. The tax credit compensation effect was approximately €</w:t>
      </w:r>
      <w:bookmarkStart w:id="738" w:name="xdx_90D_eus-gaap--DeferredTaxAssetsTaxCr"/>
      <w:bookmarkEnd w:id="738"/>
      <w:r>
        <w:rPr>
          <w:rFonts w:ascii="Times New Roman;Times;Serif" w:hAnsi="Times New Roman;Times;Serif"/>
          <w:b w:val="false"/>
          <w:i w:val="false"/>
          <w:caps w:val="false"/>
          <w:smallCaps w:val="false"/>
          <w:sz w:val="20"/>
        </w:rPr>
        <w:t>0.5 million in 2024, €</w:t>
      </w:r>
      <w:bookmarkStart w:id="739" w:name="xdx_90C_eus-gaap--DeferredTaxAssetsTaxCr"/>
      <w:bookmarkEnd w:id="739"/>
      <w:r>
        <w:rPr>
          <w:rFonts w:ascii="Times New Roman;Times;Serif" w:hAnsi="Times New Roman;Times;Serif"/>
          <w:b w:val="false"/>
          <w:i w:val="false"/>
          <w:caps w:val="false"/>
          <w:smallCaps w:val="false"/>
          <w:sz w:val="20"/>
        </w:rPr>
        <w:t>0.4 million in 2023, and €</w:t>
      </w:r>
      <w:bookmarkStart w:id="740" w:name="xdx_90D_eus-gaap--DeferredTaxAssetsTaxCr"/>
      <w:bookmarkEnd w:id="740"/>
      <w:r>
        <w:rPr>
          <w:rFonts w:ascii="Times New Roman;Times;Serif" w:hAnsi="Times New Roman;Times;Serif"/>
          <w:b w:val="false"/>
          <w:i w:val="false"/>
          <w:caps w:val="false"/>
          <w:smallCaps w:val="false"/>
          <w:sz w:val="20"/>
        </w:rPr>
        <w:t>0.7 million in 2022. Net of tax credit compensation effect, during 2024, the Company had a decrease in research and development expenses of approximately €</w:t>
      </w:r>
      <w:bookmarkStart w:id="741" w:name="xdx_90B_eus-gaap--ResearchAndDevelopment"/>
      <w:bookmarkEnd w:id="741"/>
      <w:r>
        <w:rPr>
          <w:rFonts w:ascii="Times New Roman;Times;Serif" w:hAnsi="Times New Roman;Times;Serif"/>
          <w:b w:val="false"/>
          <w:i w:val="false"/>
          <w:caps w:val="false"/>
          <w:smallCaps w:val="false"/>
          <w:sz w:val="20"/>
        </w:rPr>
        <w:t>1.7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R&amp;D expenses of approximately €</w:t>
      </w:r>
      <w:bookmarkStart w:id="742" w:name="xdx_904_ecustom--IncreaseDecreaseInResea"/>
      <w:bookmarkEnd w:id="742"/>
      <w:r>
        <w:rPr>
          <w:rFonts w:ascii="Times New Roman;Times;Serif" w:hAnsi="Times New Roman;Times;Serif"/>
          <w:b w:val="false"/>
          <w:i w:val="false"/>
          <w:caps w:val="false"/>
          <w:smallCaps w:val="false"/>
          <w:sz w:val="20"/>
        </w:rPr>
        <w:t xml:space="preserve">1.7 million was mainly due to several factors as explained above under the section </w:t>
      </w:r>
      <w:r>
        <w:rPr>
          <w:rFonts w:ascii="Times New Roman;Times;Serif" w:hAnsi="Times New Roman;Times;Serif"/>
          <w:b w:val="false"/>
          <w:i/>
          <w:caps w:val="false"/>
          <w:smallCaps w:val="false"/>
          <w:sz w:val="20"/>
        </w:rPr>
        <w:t>Results of Operations Comparison of Year Ended December 31, 2024 to Year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research and development expenses related parties for the year ended December 31, 2023, compared to the year ended December 31, 2022, was due to the increase in the number of treated patients and related clinical trial activities. Furthermore, the increase was also determined by the reduction in the offsetting effect of research and development tax credits as a consequence of the reduction from </w:t>
      </w:r>
      <w:bookmarkStart w:id="743" w:name="xdx_907_ecustom--ResearchAndDevelopmentT"/>
      <w:bookmarkEnd w:id="743"/>
      <w:r>
        <w:rPr>
          <w:rFonts w:ascii="Times New Roman;Times;Serif" w:hAnsi="Times New Roman;Times;Serif"/>
          <w:b w:val="false"/>
          <w:i w:val="false"/>
          <w:caps w:val="false"/>
          <w:smallCaps w:val="false"/>
          <w:sz w:val="20"/>
        </w:rPr>
        <w:t xml:space="preserve">20% to </w:t>
      </w:r>
      <w:bookmarkStart w:id="744" w:name="xdx_90D_ecustom--ResearchAndDevelopmentT"/>
      <w:bookmarkEnd w:id="744"/>
      <w:r>
        <w:rPr>
          <w:rFonts w:ascii="Times New Roman;Times;Serif" w:hAnsi="Times New Roman;Times;Serif"/>
          <w:b w:val="false"/>
          <w:i w:val="false"/>
          <w:caps w:val="false"/>
          <w:smallCaps w:val="false"/>
          <w:sz w:val="20"/>
        </w:rPr>
        <w:t>10% of the calculation percentage to apply to the relevant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45" w:name="xdx_89C_eus-gaap--ScheduleOfRelatedParty"/>
      <w:bookmarkEnd w:id="745"/>
      <w:r>
        <w:rPr>
          <w:rFonts w:ascii="Times New Roman;Times;Serif" w:hAnsi="Times New Roman;Times;Serif"/>
          <w:b w:val="false"/>
          <w:i w:val="false"/>
          <w:caps w:val="false"/>
          <w:smallCaps w:val="false"/>
          <w:sz w:val="20"/>
        </w:rPr>
        <w:t>The Company’s general and administrative expenses are also a combination of third-party and related party expenses, as detailed below:</w:t>
      </w:r>
    </w:p>
    <w:p>
      <w:pPr>
        <w:pStyle w:val="TextBody"/>
        <w:bidi w:val="0"/>
        <w:spacing w:before="0" w:after="0"/>
        <w:ind w:left="0" w:right="0" w:firstLine="720"/>
        <w:jc w:val="both"/>
        <w:rPr>
          <w:caps w:val="false"/>
          <w:smallCaps w:val="false"/>
        </w:rPr>
      </w:pPr>
      <w:r>
        <w:rPr>
          <w:caps w:val="false"/>
          <w:smallCaps w:val="false"/>
        </w:rPr>
        <w:t> </w:t>
      </w:r>
      <w:bookmarkStart w:id="746" w:name="xdx_8B4_z7BcJLFVCxi6"/>
      <w:bookmarkEnd w:id="746"/>
      <w:r>
        <w:rPr>
          <w:rFonts w:ascii="Times New Roman;Times;Serif" w:hAnsi="Times New Roman;Times;Serif"/>
          <w:b w:val="false"/>
          <w:i w:val="false"/>
          <w:caps w:val="false"/>
          <w:smallCaps w:val="false"/>
          <w:sz w:val="20"/>
        </w:rPr>
        <w:t>Schedule of third party and general and administrative expenses</w:t>
      </w:r>
    </w:p>
    <w:tbl>
      <w:tblPr>
        <w:tblW w:w="8311" w:type="dxa"/>
        <w:jc w:val="left"/>
        <w:tblInd w:w="0" w:type="dxa"/>
        <w:tblLayout w:type="fixed"/>
        <w:tblCellMar>
          <w:top w:w="0" w:type="dxa"/>
          <w:left w:w="0" w:type="dxa"/>
          <w:bottom w:w="0" w:type="dxa"/>
          <w:right w:w="0" w:type="dxa"/>
        </w:tblCellMar>
      </w:tblPr>
      <w:tblGrid>
        <w:gridCol w:w="3695"/>
        <w:gridCol w:w="60"/>
        <w:gridCol w:w="172"/>
        <w:gridCol w:w="1212"/>
        <w:gridCol w:w="67"/>
        <w:gridCol w:w="67"/>
        <w:gridCol w:w="195"/>
        <w:gridCol w:w="1369"/>
        <w:gridCol w:w="67"/>
        <w:gridCol w:w="67"/>
        <w:gridCol w:w="158"/>
        <w:gridCol w:w="1107"/>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2024</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Third Parties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Related Parties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 Euros)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(including share-based)</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bookmarkStart w:id="747" w:name="xdx_985_eus-gaap--GeneralAndAdministrati"/>
            <w:bookmarkEnd w:id="747"/>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1,019,056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bookmarkStart w:id="748" w:name="xdx_98E_eus-gaap--GeneralAndAdministrati"/>
            <w:bookmarkEnd w:id="748"/>
          </w:p>
        </w:tc>
        <w:tc>
          <w:tcPr>
            <w:tcW w:w="13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1,459,302</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bookmarkStart w:id="749" w:name="xdx_98C_eus-gaap--GeneralAndAdministrati"/>
            <w:bookmarkEnd w:id="749"/>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2,478,358</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legal &amp; other professional</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750" w:name="xdx_982_eus-gaap--GeneralAndAdministrati"/>
            <w:bookmarkEnd w:id="750"/>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828,592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751" w:name="xdx_98C_eus-gaap--GeneralAndAdministrati"/>
            <w:bookmarkEnd w:id="751"/>
          </w:p>
        </w:tc>
        <w:tc>
          <w:tcPr>
            <w:tcW w:w="13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752" w:name="xdx_983_eus-gaap--GeneralAndAdministrati"/>
            <w:bookmarkEnd w:id="752"/>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828,592</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 &amp; IT related Facility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753" w:name="xdx_987_eus-gaap--GeneralAndAdministrati"/>
            <w:bookmarkEnd w:id="753"/>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188,951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754" w:name="xdx_98B_eus-gaap--GeneralAndAdministrati"/>
            <w:bookmarkEnd w:id="754"/>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188,951</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Facility &amp; insurance related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755" w:name="xdx_98A_eus-gaap--GeneralAndAdministrati"/>
            <w:bookmarkEnd w:id="755"/>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3,348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756" w:name="xdx_98B_eus-gaap--GeneralAndAdministrati"/>
            <w:bookmarkEnd w:id="756"/>
          </w:p>
        </w:tc>
        <w:tc>
          <w:tcPr>
            <w:tcW w:w="13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14,795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757" w:name="xdx_989_eus-gaap--GeneralAndAdministrati"/>
            <w:bookmarkEnd w:id="757"/>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18,143</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Consultants &amp; other third parties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758" w:name="xdx_988_eus-gaap--GeneralAndAdministrati"/>
            <w:bookmarkEnd w:id="758"/>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561,458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759" w:name="xdx_980_eus-gaap--GeneralAndAdministrati"/>
            <w:bookmarkEnd w:id="759"/>
          </w:p>
        </w:tc>
        <w:tc>
          <w:tcPr>
            <w:tcW w:w="13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760" w:name="xdx_98E_eus-gaap--GeneralAndAdministrati"/>
            <w:bookmarkEnd w:id="760"/>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561,458</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61" w:name="xdx_981_eus-gaap--GeneralAndAdministrati"/>
            <w:bookmarkEnd w:id="761"/>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874,165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62" w:name="xdx_988_eus-gaap--GeneralAndAdministrati"/>
            <w:bookmarkEnd w:id="762"/>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63" w:name="xdx_981_eus-gaap--GeneralAndAdministrati"/>
            <w:bookmarkEnd w:id="763"/>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875,954</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64" w:name="xdx_982_eus-gaap--GeneralAndAdministrati"/>
            <w:bookmarkEnd w:id="764"/>
          </w:p>
        </w:tc>
        <w:tc>
          <w:tcPr>
            <w:tcW w:w="12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3,475,570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65" w:name="xdx_98D_eus-gaap--GeneralAndAdministrati"/>
            <w:bookmarkEnd w:id="765"/>
          </w:p>
        </w:tc>
        <w:tc>
          <w:tcPr>
            <w:tcW w:w="13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1,475,886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66" w:name="xdx_987_eus-gaap--GeneralAndAdministrati"/>
            <w:bookmarkEnd w:id="766"/>
          </w:p>
        </w:tc>
        <w:tc>
          <w:tcPr>
            <w:tcW w:w="11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4,951,456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8311" w:type="dxa"/>
        <w:jc w:val="left"/>
        <w:tblInd w:w="0" w:type="dxa"/>
        <w:tblLayout w:type="fixed"/>
        <w:tblCellMar>
          <w:top w:w="0" w:type="dxa"/>
          <w:left w:w="0" w:type="dxa"/>
          <w:bottom w:w="0" w:type="dxa"/>
          <w:right w:w="0" w:type="dxa"/>
        </w:tblCellMar>
      </w:tblPr>
      <w:tblGrid>
        <w:gridCol w:w="3695"/>
        <w:gridCol w:w="60"/>
        <w:gridCol w:w="172"/>
        <w:gridCol w:w="1212"/>
        <w:gridCol w:w="67"/>
        <w:gridCol w:w="67"/>
        <w:gridCol w:w="195"/>
        <w:gridCol w:w="1369"/>
        <w:gridCol w:w="67"/>
        <w:gridCol w:w="67"/>
        <w:gridCol w:w="158"/>
        <w:gridCol w:w="1107"/>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2023</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Third Parties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Related Parties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 Euros)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369"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(including share-based)</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bookmarkStart w:id="767" w:name="xdx_985_eus-gaap--GeneralAndAdministrati"/>
            <w:bookmarkEnd w:id="767"/>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1,218,299</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bookmarkStart w:id="768" w:name="xdx_98C_eus-gaap--GeneralAndAdministrati"/>
            <w:bookmarkEnd w:id="768"/>
          </w:p>
        </w:tc>
        <w:tc>
          <w:tcPr>
            <w:tcW w:w="13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1,317,068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bookmarkStart w:id="769" w:name="xdx_989_eus-gaap--GeneralAndAdministrati"/>
            <w:bookmarkEnd w:id="769"/>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2,535,367</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legal &amp; other professional</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770" w:name="xdx_982_eus-gaap--GeneralAndAdministrati"/>
            <w:bookmarkEnd w:id="770"/>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1,026,534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771" w:name="xdx_982_eus-gaap--GeneralAndAdministrati"/>
            <w:bookmarkEnd w:id="771"/>
          </w:p>
        </w:tc>
        <w:tc>
          <w:tcPr>
            <w:tcW w:w="13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772" w:name="xdx_984_eus-gaap--GeneralAndAdministrati"/>
            <w:bookmarkEnd w:id="772"/>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1,026,534</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 &amp; IT related Facility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773" w:name="xdx_98E_eus-gaap--GeneralAndAdministrati"/>
            <w:bookmarkEnd w:id="773"/>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166,416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69"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774" w:name="xdx_98E_eus-gaap--GeneralAndAdministrati"/>
            <w:bookmarkEnd w:id="774"/>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166,416</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Facility &amp; insurance related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775" w:name="xdx_982_eus-gaap--GeneralAndAdministrati"/>
            <w:bookmarkEnd w:id="775"/>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6,180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776" w:name="xdx_983_eus-gaap--GeneralAndAdministrati"/>
            <w:bookmarkEnd w:id="776"/>
          </w:p>
        </w:tc>
        <w:tc>
          <w:tcPr>
            <w:tcW w:w="13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15,731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777" w:name="xdx_98E_eus-gaap--GeneralAndAdministrati"/>
            <w:bookmarkEnd w:id="777"/>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21,911</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Consultants &amp; other third parties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778" w:name="xdx_982_eus-gaap--GeneralAndAdministrati"/>
            <w:bookmarkEnd w:id="778"/>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610,103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779" w:name="xdx_980_eus-gaap--GeneralAndAdministrati"/>
            <w:bookmarkEnd w:id="779"/>
          </w:p>
        </w:tc>
        <w:tc>
          <w:tcPr>
            <w:tcW w:w="13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780" w:name="xdx_987_eus-gaap--GeneralAndAdministrati"/>
            <w:bookmarkEnd w:id="780"/>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610,103</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81" w:name="xdx_98E_eus-gaap--GeneralAndAdministrati"/>
            <w:bookmarkEnd w:id="781"/>
          </w:p>
        </w:tc>
        <w:tc>
          <w:tcPr>
            <w:tcW w:w="121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896,018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82" w:name="xdx_98C_eus-gaap--GeneralAndAdministrati"/>
            <w:bookmarkEnd w:id="782"/>
          </w:p>
        </w:tc>
        <w:tc>
          <w:tcPr>
            <w:tcW w:w="13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2,152</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83" w:name="xdx_98B_eus-gaap--GeneralAndAdministrati"/>
            <w:bookmarkEnd w:id="783"/>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898,170</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84" w:name="xdx_989_eus-gaap--GeneralAndAdministrati"/>
            <w:bookmarkEnd w:id="784"/>
          </w:p>
        </w:tc>
        <w:tc>
          <w:tcPr>
            <w:tcW w:w="121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3,923,550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85" w:name="xdx_983_eus-gaap--GeneralAndAdministrati"/>
            <w:bookmarkEnd w:id="785"/>
          </w:p>
        </w:tc>
        <w:tc>
          <w:tcPr>
            <w:tcW w:w="13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1,334,951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786" w:name="xdx_98C_eus-gaap--GeneralAndAdministrati"/>
            <w:bookmarkEnd w:id="786"/>
          </w:p>
        </w:tc>
        <w:tc>
          <w:tcPr>
            <w:tcW w:w="11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5,258,501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311" w:type="dxa"/>
        <w:jc w:val="left"/>
        <w:tblInd w:w="0" w:type="dxa"/>
        <w:tblLayout w:type="fixed"/>
        <w:tblCellMar>
          <w:top w:w="0" w:type="dxa"/>
          <w:left w:w="0" w:type="dxa"/>
          <w:bottom w:w="0" w:type="dxa"/>
          <w:right w:w="0" w:type="dxa"/>
        </w:tblCellMar>
      </w:tblPr>
      <w:tblGrid>
        <w:gridCol w:w="3695"/>
        <w:gridCol w:w="60"/>
        <w:gridCol w:w="172"/>
        <w:gridCol w:w="1212"/>
        <w:gridCol w:w="67"/>
        <w:gridCol w:w="67"/>
        <w:gridCol w:w="195"/>
        <w:gridCol w:w="1369"/>
        <w:gridCol w:w="67"/>
        <w:gridCol w:w="67"/>
        <w:gridCol w:w="158"/>
        <w:gridCol w:w="1107"/>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8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Year Ended December 31, 2022</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Third Parties</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Related Parties</w:t>
            </w:r>
          </w:p>
        </w:tc>
        <w:tc>
          <w:tcPr>
            <w:tcW w:w="67"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center"/>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center"/>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righ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Euros)</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(including share-based)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bookmarkStart w:id="787" w:name="xdx_985_eus-gaap--GeneralAndAdministrati"/>
            <w:bookmarkEnd w:id="787"/>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1,293,880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bookmarkStart w:id="788" w:name="xdx_98A_eus-gaap--GeneralAndAdministrati"/>
            <w:bookmarkEnd w:id="788"/>
          </w:p>
        </w:tc>
        <w:tc>
          <w:tcPr>
            <w:tcW w:w="13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1,268,974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bookmarkStart w:id="789" w:name="xdx_985_eus-gaap--GeneralAndAdministrati"/>
            <w:bookmarkEnd w:id="789"/>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2,562,854</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legal &amp; other professional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790" w:name="xdx_983_eus-gaap--GeneralAndAdministrati"/>
            <w:bookmarkEnd w:id="790"/>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781,817</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791" w:name="xdx_980_eus-gaap--GeneralAndAdministrati"/>
            <w:bookmarkEnd w:id="791"/>
          </w:p>
        </w:tc>
        <w:tc>
          <w:tcPr>
            <w:tcW w:w="13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792" w:name="xdx_986_eus-gaap--GeneralAndAdministrati"/>
            <w:bookmarkEnd w:id="792"/>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781,817</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Communication &amp; IT related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793" w:name="xdx_987_eus-gaap--GeneralAndAdministrati"/>
            <w:bookmarkEnd w:id="793"/>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171,380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794" w:name="xdx_98A_eus-gaap--GeneralAndAdministrati"/>
            <w:bookmarkEnd w:id="794"/>
          </w:p>
        </w:tc>
        <w:tc>
          <w:tcPr>
            <w:tcW w:w="13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795" w:name="xdx_98D_eus-gaap--GeneralAndAdministrati"/>
            <w:bookmarkEnd w:id="795"/>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171,380</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Facility &amp; insurance related</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bookmarkStart w:id="796" w:name="xdx_988_eus-gaap--GeneralAndAdministrati"/>
            <w:bookmarkEnd w:id="796"/>
          </w:p>
        </w:tc>
        <w:tc>
          <w:tcPr>
            <w:tcW w:w="12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1,241,692</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bookmarkStart w:id="797" w:name="xdx_986_eus-gaap--GeneralAndAdministrati"/>
            <w:bookmarkEnd w:id="797"/>
          </w:p>
        </w:tc>
        <w:tc>
          <w:tcPr>
            <w:tcW w:w="136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14,815</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798" w:name="xdx_98C_eus-gaap--GeneralAndAdministrati"/>
            <w:bookmarkEnd w:id="798"/>
          </w:p>
        </w:tc>
        <w:tc>
          <w:tcPr>
            <w:tcW w:w="110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1,256,507</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Consultants &amp; other third parties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bookmarkStart w:id="799" w:name="xdx_989_eus-gaap--GeneralAndAdministrati"/>
            <w:bookmarkEnd w:id="799"/>
          </w:p>
        </w:tc>
        <w:tc>
          <w:tcPr>
            <w:tcW w:w="12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593,788</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bookmarkStart w:id="800" w:name="xdx_989_eus-gaap--GeneralAndAdministrati"/>
            <w:bookmarkEnd w:id="800"/>
          </w:p>
        </w:tc>
        <w:tc>
          <w:tcPr>
            <w:tcW w:w="13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bookmarkStart w:id="801" w:name="xdx_98B_eus-gaap--GeneralAndAdministrati"/>
            <w:bookmarkEnd w:id="801"/>
          </w:p>
        </w:tc>
        <w:tc>
          <w:tcPr>
            <w:tcW w:w="110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593,788</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02" w:name="xdx_982_eus-gaap--GeneralAndAdministrati"/>
            <w:bookmarkEnd w:id="802"/>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331,824</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03" w:name="xdx_98C_eus-gaap--GeneralAndAdministrati"/>
            <w:bookmarkEnd w:id="803"/>
          </w:p>
        </w:tc>
        <w:tc>
          <w:tcPr>
            <w:tcW w:w="13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04" w:name="xdx_982_eus-gaap--GeneralAndAdministrati"/>
            <w:bookmarkEnd w:id="804"/>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338,684</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05" w:name="xdx_98D_eus-gaap--GeneralAndAdministrati"/>
            <w:bookmarkEnd w:id="805"/>
          </w:p>
        </w:tc>
        <w:tc>
          <w:tcPr>
            <w:tcW w:w="12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4,414,381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06" w:name="xdx_983_eus-gaap--GeneralAndAdministrati"/>
            <w:bookmarkEnd w:id="806"/>
          </w:p>
        </w:tc>
        <w:tc>
          <w:tcPr>
            <w:tcW w:w="13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1,290,649</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807" w:name="xdx_981_eus-gaap--GeneralAndAdministrati"/>
            <w:bookmarkEnd w:id="807"/>
          </w:p>
        </w:tc>
        <w:tc>
          <w:tcPr>
            <w:tcW w:w="11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5,705,030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08" w:name="xdx_8AE_zox1P83GU0qd"/>
      <w:bookmarkEnd w:id="808"/>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approximately €</w:t>
      </w:r>
      <w:bookmarkStart w:id="809" w:name="xdx_901_eus-gaap--GeneralAndAdministrati"/>
      <w:bookmarkEnd w:id="809"/>
      <w:r>
        <w:rPr>
          <w:rFonts w:ascii="Times New Roman;Times;Serif" w:hAnsi="Times New Roman;Times;Serif"/>
          <w:b w:val="false"/>
          <w:i w:val="false"/>
          <w:caps w:val="false"/>
          <w:smallCaps w:val="false"/>
          <w:sz w:val="20"/>
        </w:rPr>
        <w:t>5.0 million for the year ended December 31, 2024, as compared to approximately €</w:t>
      </w:r>
      <w:bookmarkStart w:id="810" w:name="xdx_90D_eus-gaap--GeneralAndAdministrati"/>
      <w:bookmarkEnd w:id="810"/>
      <w:r>
        <w:rPr>
          <w:rFonts w:ascii="Times New Roman;Times;Serif" w:hAnsi="Times New Roman;Times;Serif"/>
          <w:b w:val="false"/>
          <w:i w:val="false"/>
          <w:caps w:val="false"/>
          <w:smallCaps w:val="false"/>
          <w:sz w:val="20"/>
        </w:rPr>
        <w:t>5.3 million for the year ended December 31, 2023. The decrease of approximately €</w:t>
      </w:r>
      <w:bookmarkStart w:id="811" w:name="xdx_90B_ecustom--DecreaseInGeneralAndAdm"/>
      <w:bookmarkEnd w:id="811"/>
      <w:r>
        <w:rPr>
          <w:rFonts w:ascii="Times New Roman;Times;Serif" w:hAnsi="Times New Roman;Times;Serif"/>
          <w:b w:val="false"/>
          <w:i w:val="false"/>
          <w:caps w:val="false"/>
          <w:smallCaps w:val="false"/>
          <w:sz w:val="20"/>
        </w:rPr>
        <w:t>0.3 million was primarily due to the combined effect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net decrease in accounting, legal and other professional (approximately €</w:t>
            </w:r>
            <w:bookmarkStart w:id="812" w:name="xdx_900_ecustom--DecreaseInAccountingLeg"/>
            <w:bookmarkEnd w:id="812"/>
            <w:r>
              <w:rPr>
                <w:rFonts w:ascii="Times New Roman;Times;Serif" w:hAnsi="Times New Roman;Times;Serif"/>
                <w:b w:val="false"/>
                <w:i w:val="false"/>
                <w:caps w:val="false"/>
                <w:smallCaps w:val="false"/>
                <w:sz w:val="20"/>
              </w:rPr>
              <w:t>62,000) as the combined effect of the following main changes in the costs category: a decrease in external audit expenses due to the change of the audit company in the second half of 2023 (approximately €</w:t>
            </w:r>
            <w:bookmarkStart w:id="813" w:name="xdx_905_ecustom--DecreaseInAuditExpenses"/>
            <w:bookmarkEnd w:id="813"/>
            <w:r>
              <w:rPr>
                <w:rFonts w:ascii="Times New Roman;Times;Serif" w:hAnsi="Times New Roman;Times;Serif"/>
                <w:b w:val="false"/>
                <w:i w:val="false"/>
                <w:caps w:val="false"/>
                <w:smallCaps w:val="false"/>
                <w:sz w:val="20"/>
              </w:rPr>
              <w:t>167,000); an increase in legal fees due to the amendment of the Sales Agent Agreement related to the ATM Offering program (approximately €</w:t>
            </w:r>
            <w:bookmarkStart w:id="814" w:name="xdx_907_ecustom--IncreaseInLegalFees_c20"/>
            <w:bookmarkEnd w:id="814"/>
            <w:r>
              <w:rPr>
                <w:rFonts w:ascii="Times New Roman;Times;Serif" w:hAnsi="Times New Roman;Times;Serif"/>
                <w:b w:val="false"/>
                <w:i w:val="false"/>
                <w:caps w:val="false"/>
                <w:smallCaps w:val="false"/>
                <w:sz w:val="20"/>
              </w:rPr>
              <w:t>130,000), and other minor costs decrease (approximately €</w:t>
            </w:r>
            <w:bookmarkStart w:id="815" w:name="xdx_906_ecustom--DecreaseInOtherMinorCos"/>
            <w:bookmarkEnd w:id="815"/>
            <w:r>
              <w:rPr>
                <w:rFonts w:ascii="Times New Roman;Times;Serif" w:hAnsi="Times New Roman;Times;Serif"/>
                <w:b w:val="false"/>
                <w:i w:val="false"/>
                <w:caps w:val="false"/>
                <w:smallCaps w:val="false"/>
                <w:sz w:val="20"/>
              </w:rPr>
              <w:t>25,000);</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communication and IT related costs (approximately €</w:t>
            </w:r>
            <w:bookmarkStart w:id="816" w:name="xdx_90B_ecustom--IncreaseInCommunication"/>
            <w:bookmarkEnd w:id="816"/>
            <w:r>
              <w:rPr>
                <w:rFonts w:ascii="Times New Roman;Times;Serif" w:hAnsi="Times New Roman;Times;Serif"/>
                <w:b w:val="false"/>
                <w:i w:val="false"/>
                <w:caps w:val="false"/>
                <w:smallCaps w:val="false"/>
                <w:sz w:val="20"/>
              </w:rPr>
              <w:t>23,000) mainly due to the cybersecurity system implementation;</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net decrease in consultants and other third party costs (approximately €</w:t>
            </w:r>
            <w:bookmarkStart w:id="817" w:name="xdx_904_ecustom--DecreaseInConsultantsAn"/>
            <w:bookmarkEnd w:id="817"/>
            <w:r>
              <w:rPr>
                <w:rFonts w:ascii="Times New Roman;Times;Serif" w:hAnsi="Times New Roman;Times;Serif"/>
                <w:b w:val="false"/>
                <w:i w:val="false"/>
                <w:caps w:val="false"/>
                <w:smallCaps w:val="false"/>
                <w:sz w:val="20"/>
              </w:rPr>
              <w:t>26,000) as result of the combined effect of the reclassification of Board of Director cost from payroll expense to consultant expense (approximately €</w:t>
            </w:r>
            <w:bookmarkStart w:id="818" w:name="xdx_906_ecustom--ConsultantExpense_c2024"/>
            <w:bookmarkEnd w:id="818"/>
            <w:r>
              <w:rPr>
                <w:rFonts w:ascii="Times New Roman;Times;Serif" w:hAnsi="Times New Roman;Times;Serif"/>
                <w:b w:val="false"/>
                <w:i w:val="false"/>
                <w:caps w:val="false"/>
                <w:smallCaps w:val="false"/>
                <w:sz w:val="20"/>
              </w:rPr>
              <w:t>60,000), and the termination of some consultancy agreements (approximately €</w:t>
            </w:r>
            <w:bookmarkStart w:id="819" w:name="xdx_905_ecustom--ConsultantExpense_c2024"/>
            <w:bookmarkEnd w:id="819"/>
            <w:r>
              <w:rPr>
                <w:rFonts w:ascii="Times New Roman;Times;Serif" w:hAnsi="Times New Roman;Times;Serif"/>
                <w:b w:val="false"/>
                <w:i w:val="false"/>
                <w:caps w:val="false"/>
                <w:smallCaps w:val="false"/>
                <w:sz w:val="20"/>
              </w:rPr>
              <w:t>86,000); and,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net decrease in other general and administrative costs (approximately €</w:t>
            </w:r>
            <w:bookmarkStart w:id="820" w:name="xdx_904_ecustom--DecreaseInOtherGeneralA"/>
            <w:bookmarkEnd w:id="820"/>
            <w:r>
              <w:rPr>
                <w:rFonts w:ascii="Times New Roman;Times;Serif" w:hAnsi="Times New Roman;Times;Serif"/>
                <w:b w:val="false"/>
                <w:i w:val="false"/>
                <w:caps w:val="false"/>
                <w:smallCaps w:val="false"/>
                <w:sz w:val="20"/>
              </w:rPr>
              <w:t>22,000) as a combined effect of: a decrease in the limited liability (“D&amp;O”) insurance cost (approximately €</w:t>
            </w:r>
            <w:bookmarkStart w:id="821" w:name="xdx_90E_ecustom--DecreaseInLimitedLiabil"/>
            <w:bookmarkEnd w:id="821"/>
            <w:r>
              <w:rPr>
                <w:rFonts w:ascii="Times New Roman;Times;Serif" w:hAnsi="Times New Roman;Times;Serif"/>
                <w:b w:val="false"/>
                <w:i w:val="false"/>
                <w:caps w:val="false"/>
                <w:smallCaps w:val="false"/>
                <w:sz w:val="20"/>
              </w:rPr>
              <w:t>259,000); an increase in patent maintenance costs (approximately €</w:t>
            </w:r>
            <w:bookmarkStart w:id="822" w:name="xdx_905_ecustom--IncreaseInPatentMainten"/>
            <w:bookmarkEnd w:id="822"/>
            <w:r>
              <w:rPr>
                <w:rFonts w:ascii="Times New Roman;Times;Serif" w:hAnsi="Times New Roman;Times;Serif"/>
                <w:b w:val="false"/>
                <w:i w:val="false"/>
                <w:caps w:val="false"/>
                <w:smallCaps w:val="false"/>
                <w:sz w:val="20"/>
              </w:rPr>
              <w:t>134,000), and several other cumulative change (approximately €</w:t>
            </w:r>
            <w:bookmarkStart w:id="823" w:name="xdx_908_ecustom--OtherCumulativeChange_c"/>
            <w:bookmarkEnd w:id="823"/>
            <w:r>
              <w:rPr>
                <w:rFonts w:ascii="Times New Roman;Times;Serif" w:hAnsi="Times New Roman;Times;Serif"/>
                <w:b w:val="false"/>
                <w:i w:val="false"/>
                <w:caps w:val="false"/>
                <w:smallCaps w:val="false"/>
                <w:sz w:val="20"/>
              </w:rPr>
              <w:t>100,000).</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changes in general and administrative expenses related parties during the year ended December 31, 2023, compared to the year ended December 31, 2022. General and administrative expenses, other than related party, decreased mainly because of the decrease in the Company’s limited liability insurance cost, aka director and officer (“D&amp;O”) insurance.</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24" w:name="xdx_894_ecustom--ScheduleOfAccountsPayab"/>
      <w:bookmarkEnd w:id="824"/>
      <w:r>
        <w:rPr>
          <w:rFonts w:ascii="Times New Roman;Times;Serif" w:hAnsi="Times New Roman;Times;Serif"/>
          <w:b w:val="false"/>
          <w:i w:val="false"/>
          <w:caps w:val="false"/>
          <w:smallCaps w:val="false"/>
          <w:sz w:val="20"/>
        </w:rPr>
        <w:t>The Company’s accounts payable to related parties are comprised as follows:</w:t>
      </w:r>
    </w:p>
    <w:p>
      <w:pPr>
        <w:pStyle w:val="TextBody"/>
        <w:bidi w:val="0"/>
        <w:spacing w:before="0" w:after="0"/>
        <w:ind w:left="0" w:right="0" w:firstLine="720"/>
        <w:jc w:val="both"/>
        <w:rPr>
          <w:caps w:val="false"/>
          <w:smallCaps w:val="false"/>
        </w:rPr>
      </w:pPr>
      <w:r>
        <w:rPr>
          <w:caps w:val="false"/>
          <w:smallCaps w:val="false"/>
        </w:rPr>
        <w:t> </w:t>
      </w:r>
      <w:bookmarkStart w:id="825" w:name="xdx_8B1_zS0aj0NOlWQ6"/>
      <w:bookmarkEnd w:id="825"/>
      <w:r>
        <w:rPr>
          <w:rFonts w:ascii="Times New Roman;Times;Serif" w:hAnsi="Times New Roman;Times;Serif"/>
          <w:b w:val="false"/>
          <w:i w:val="false"/>
          <w:caps w:val="false"/>
          <w:smallCaps w:val="false"/>
          <w:sz w:val="20"/>
        </w:rPr>
        <w:t>Schedule of accounts payable to related parties</w:t>
      </w:r>
    </w:p>
    <w:tbl>
      <w:tblPr>
        <w:tblW w:w="5990" w:type="dxa"/>
        <w:jc w:val="left"/>
        <w:tblInd w:w="0" w:type="dxa"/>
        <w:tblLayout w:type="fixed"/>
        <w:tblCellMar>
          <w:top w:w="0" w:type="dxa"/>
          <w:left w:w="0" w:type="dxa"/>
          <w:bottom w:w="0" w:type="dxa"/>
          <w:right w:w="0" w:type="dxa"/>
        </w:tblCellMar>
      </w:tblPr>
      <w:tblGrid>
        <w:gridCol w:w="2795"/>
        <w:gridCol w:w="60"/>
        <w:gridCol w:w="140"/>
        <w:gridCol w:w="800"/>
        <w:gridCol w:w="60"/>
        <w:gridCol w:w="60"/>
        <w:gridCol w:w="140"/>
        <w:gridCol w:w="800"/>
        <w:gridCol w:w="60"/>
        <w:gridCol w:w="60"/>
        <w:gridCol w:w="140"/>
        <w:gridCol w:w="80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6" w:name="xdx_499_20241231_zpVwkuacXffb"/>
            <w:bookmarkEnd w:id="826"/>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7" w:name="xdx_491_20231231_ztUbJ0f14SHe"/>
            <w:bookmarkEnd w:id="827"/>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8" w:name="xdx_49B_20221231_zXt3VkZ6l9n6"/>
            <w:bookmarkEnd w:id="828"/>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Euros)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829" w:name="xdx_400_eus-gaap--AccountsPayableCurrent"/>
            <w:bookmarkEnd w:id="829"/>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 Raffaele Hospital (OSR)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150,206</w:t>
            </w:r>
          </w:p>
        </w:tc>
        <w:tc>
          <w:tcPr>
            <w:tcW w:w="75" w:type="dxa"/>
            <w:tcBorders/>
            <w:shd w:fill="CCEEFF" w:val="clear"/>
            <w:vAlign w:val="center"/>
          </w:tcPr>
          <w:p>
            <w:pPr>
              <w:pStyle w:val="TableContents"/>
              <w:bidi w:val="0"/>
              <w:spacing w:before="0" w:after="283"/>
              <w:jc w:val="left"/>
              <w:rPr/>
            </w:pPr>
            <w:r>
              <w:rPr/>
              <w:t> </w:t>
            </w:r>
            <w:bookmarkStart w:id="830" w:name="xdx_408_eus-gaap--AccountsPayableCurrent"/>
            <w:bookmarkEnd w:id="830"/>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Carlo Russo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75" w:type="dxa"/>
            <w:tcBorders/>
            <w:shd w:fill="FFFFFF" w:val="clear"/>
            <w:vAlign w:val="center"/>
          </w:tcPr>
          <w:p>
            <w:pPr>
              <w:pStyle w:val="TableContents"/>
              <w:bidi w:val="0"/>
              <w:spacing w:before="0" w:after="283"/>
              <w:jc w:val="left"/>
              <w:rPr/>
            </w:pPr>
            <w:r>
              <w:rPr/>
              <w:t> </w:t>
            </w:r>
            <w:bookmarkStart w:id="831" w:name="xdx_409_eus-gaap--AccountsPayableCurrent"/>
            <w:bookmarkEnd w:id="831"/>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Richard Slansky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1,584</w:t>
            </w:r>
          </w:p>
        </w:tc>
        <w:tc>
          <w:tcPr>
            <w:tcW w:w="75" w:type="dxa"/>
            <w:tcBorders/>
            <w:shd w:fill="CCEEFF" w:val="clear"/>
            <w:vAlign w:val="center"/>
          </w:tcPr>
          <w:p>
            <w:pPr>
              <w:pStyle w:val="TableContents"/>
              <w:bidi w:val="0"/>
              <w:spacing w:before="0" w:after="283"/>
              <w:jc w:val="left"/>
              <w:rPr/>
            </w:pPr>
            <w:r>
              <w:rPr/>
              <w:t> </w:t>
            </w:r>
            <w:bookmarkStart w:id="832" w:name="xdx_404_eus-gaap--AccountsPayableCurrent"/>
            <w:bookmarkEnd w:id="832"/>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151,988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833" w:name="xdx_8A2_z6FROdQETeO7"/>
      <w:bookmarkEnd w:id="83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34" w:name="xdx_89E_ecustom--ScheduleOfAccruedExpens"/>
      <w:bookmarkEnd w:id="834"/>
      <w:r>
        <w:rPr>
          <w:rFonts w:ascii="Times New Roman;Times;Serif" w:hAnsi="Times New Roman;Times;Serif"/>
          <w:b w:val="false"/>
          <w:i w:val="false"/>
          <w:caps w:val="false"/>
          <w:smallCaps w:val="false"/>
          <w:sz w:val="20"/>
        </w:rPr>
        <w:t>The Company’s accrued expenses to related parties are comprised as follows:</w:t>
      </w:r>
    </w:p>
    <w:p>
      <w:pPr>
        <w:pStyle w:val="TextBody"/>
        <w:bidi w:val="0"/>
        <w:spacing w:before="0" w:after="0"/>
        <w:ind w:left="0" w:right="0" w:firstLine="720"/>
        <w:jc w:val="both"/>
        <w:rPr>
          <w:caps w:val="false"/>
          <w:smallCaps w:val="false"/>
        </w:rPr>
      </w:pPr>
      <w:r>
        <w:rPr>
          <w:caps w:val="false"/>
          <w:smallCaps w:val="false"/>
        </w:rPr>
        <w:t> </w:t>
      </w:r>
      <w:bookmarkStart w:id="835" w:name="xdx_8B9_zNQZJBo3kCcc"/>
      <w:bookmarkEnd w:id="835"/>
      <w:r>
        <w:rPr>
          <w:rFonts w:ascii="Times New Roman;Times;Serif" w:hAnsi="Times New Roman;Times;Serif"/>
          <w:b w:val="false"/>
          <w:i w:val="false"/>
          <w:caps w:val="false"/>
          <w:smallCaps w:val="false"/>
          <w:sz w:val="20"/>
        </w:rPr>
        <w:t>Schedule of accrued expenses to related parties</w:t>
      </w:r>
    </w:p>
    <w:tbl>
      <w:tblPr>
        <w:tblW w:w="6170" w:type="dxa"/>
        <w:jc w:val="left"/>
        <w:tblInd w:w="0" w:type="dxa"/>
        <w:tblLayout w:type="fixed"/>
        <w:tblCellMar>
          <w:top w:w="0" w:type="dxa"/>
          <w:left w:w="0" w:type="dxa"/>
          <w:bottom w:w="0" w:type="dxa"/>
          <w:right w:w="0" w:type="dxa"/>
        </w:tblCellMar>
      </w:tblPr>
      <w:tblGrid>
        <w:gridCol w:w="2795"/>
        <w:gridCol w:w="60"/>
        <w:gridCol w:w="140"/>
        <w:gridCol w:w="980"/>
        <w:gridCol w:w="60"/>
        <w:gridCol w:w="60"/>
        <w:gridCol w:w="140"/>
        <w:gridCol w:w="800"/>
        <w:gridCol w:w="60"/>
        <w:gridCol w:w="60"/>
        <w:gridCol w:w="140"/>
        <w:gridCol w:w="80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6" w:name="xdx_499_20241231_zmM7HEDlsa7"/>
            <w:bookmarkEnd w:id="836"/>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7" w:name="xdx_491_20231231_zz7WHYZGp3rf"/>
            <w:bookmarkEnd w:id="837"/>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8" w:name="xdx_49B_20221231_zscqFf9AFu51"/>
            <w:bookmarkEnd w:id="838"/>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At December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2022</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Euros)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839" w:name="xdx_40D_eus-gaap--AccruedLiabilitiesCurr"/>
            <w:bookmarkEnd w:id="839"/>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 Raffaele Hospital (OSR)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413,935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176,559</w:t>
            </w:r>
          </w:p>
        </w:tc>
        <w:tc>
          <w:tcPr>
            <w:tcW w:w="75" w:type="dxa"/>
            <w:tcBorders/>
            <w:shd w:fill="CCEEFF" w:val="clear"/>
            <w:vAlign w:val="center"/>
          </w:tcPr>
          <w:p>
            <w:pPr>
              <w:pStyle w:val="TableContents"/>
              <w:bidi w:val="0"/>
              <w:spacing w:before="0" w:after="283"/>
              <w:jc w:val="left"/>
              <w:rPr/>
            </w:pPr>
            <w:r>
              <w:rPr/>
              <w:t> </w:t>
            </w:r>
            <w:bookmarkStart w:id="840" w:name="xdx_407_eus-gaap--AccruedLiabilitiesCurr"/>
            <w:bookmarkEnd w:id="840"/>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Pierluigi Paracchi</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112,501</w:t>
            </w:r>
          </w:p>
        </w:tc>
        <w:tc>
          <w:tcPr>
            <w:tcW w:w="75" w:type="dxa"/>
            <w:tcBorders/>
            <w:shd w:fill="FFFFFF" w:val="clear"/>
            <w:vAlign w:val="center"/>
          </w:tcPr>
          <w:p>
            <w:pPr>
              <w:pStyle w:val="TableContents"/>
              <w:bidi w:val="0"/>
              <w:spacing w:before="0" w:after="283"/>
              <w:jc w:val="left"/>
              <w:rPr/>
            </w:pPr>
            <w:r>
              <w:rPr/>
              <w:t> </w:t>
            </w:r>
            <w:bookmarkStart w:id="841" w:name="xdx_401_eus-gaap--AccruedLiabilitiesCurr"/>
            <w:bookmarkEnd w:id="841"/>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Richard Slansky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243,101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81,369</w:t>
            </w:r>
          </w:p>
        </w:tc>
        <w:tc>
          <w:tcPr>
            <w:tcW w:w="75" w:type="dxa"/>
            <w:tcBorders/>
            <w:shd w:fill="CCEEFF" w:val="clear"/>
            <w:vAlign w:val="center"/>
          </w:tcPr>
          <w:p>
            <w:pPr>
              <w:pStyle w:val="TableContents"/>
              <w:bidi w:val="0"/>
              <w:spacing w:before="0" w:after="283"/>
              <w:jc w:val="left"/>
              <w:rPr/>
            </w:pPr>
            <w:r>
              <w:rPr/>
              <w:t> </w:t>
            </w:r>
            <w:bookmarkStart w:id="842" w:name="xdx_40F_eus-gaap--AccruedLiabilitiesCurr"/>
            <w:bookmarkEnd w:id="842"/>
          </w:p>
        </w:tc>
      </w:tr>
      <w:tr>
        <w:trPr/>
        <w:tc>
          <w:tcPr>
            <w:tcW w:w="27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Carlo Russo</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155,651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118,778</w:t>
            </w:r>
          </w:p>
        </w:tc>
        <w:tc>
          <w:tcPr>
            <w:tcW w:w="75" w:type="dxa"/>
            <w:tcBorders/>
            <w:shd w:fill="FFFFFF" w:val="clear"/>
            <w:vAlign w:val="center"/>
          </w:tcPr>
          <w:p>
            <w:pPr>
              <w:pStyle w:val="TableContents"/>
              <w:bidi w:val="0"/>
              <w:spacing w:before="0" w:after="283"/>
              <w:jc w:val="left"/>
              <w:rPr/>
            </w:pPr>
            <w:r>
              <w:rPr/>
              <w:t> </w:t>
            </w:r>
            <w:bookmarkStart w:id="843" w:name="xdx_406_eus-gaap--AccruedLiabilitiesCurr"/>
            <w:bookmarkEnd w:id="843"/>
          </w:p>
        </w:tc>
      </w:tr>
      <w:tr>
        <w:trPr/>
        <w:tc>
          <w:tcPr>
            <w:tcW w:w="27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1,031,345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489,207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844" w:name="xdx_8AD_zoTxKOX7JJv7"/>
      <w:bookmarkEnd w:id="844"/>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the following related parties: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Pierluigi Paracchi</w:t>
            </w:r>
            <w:r>
              <w:rPr>
                <w:rFonts w:ascii="Times New Roman;Times;Serif" w:hAnsi="Times New Roman;Times;Serif"/>
                <w:b w:val="false"/>
                <w:i w:val="false"/>
                <w:caps w:val="false"/>
                <w:smallCaps w:val="false"/>
                <w:sz w:val="20"/>
              </w:rPr>
              <w:t xml:space="preserve"> (director and co-founder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Luigi Naldini</w:t>
            </w:r>
            <w:r>
              <w:rPr>
                <w:rFonts w:ascii="Times New Roman;Times;Serif" w:hAnsi="Times New Roman;Times;Serif"/>
                <w:b w:val="false"/>
                <w:i w:val="false"/>
                <w:caps w:val="false"/>
                <w:smallCaps w:val="false"/>
                <w:sz w:val="20"/>
              </w:rPr>
              <w:t xml:space="preserve"> (co-founder of the Company and chair of the scientific advisory board);</w:t>
            </w:r>
          </w:p>
        </w:tc>
      </w:tr>
    </w:tbl>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Bernhard Rudolph Gentner</w:t>
            </w:r>
            <w:r>
              <w:rPr>
                <w:rFonts w:ascii="Times New Roman;Times;Serif" w:hAnsi="Times New Roman;Times;Serif"/>
                <w:b w:val="false"/>
                <w:i w:val="false"/>
                <w:caps w:val="false"/>
                <w:smallCaps w:val="false"/>
                <w:sz w:val="20"/>
              </w:rPr>
              <w:t xml:space="preserve"> (co- founder of the Company and member of the scientific advisory board);</w:t>
            </w:r>
          </w:p>
        </w:tc>
      </w:tr>
    </w:tbl>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Carlo Russo</w:t>
            </w:r>
            <w:r>
              <w:rPr>
                <w:rFonts w:ascii="Times New Roman;Times;Serif" w:hAnsi="Times New Roman;Times;Serif"/>
                <w:b w:val="false"/>
                <w:i w:val="false"/>
                <w:caps w:val="false"/>
                <w:smallCaps w:val="false"/>
                <w:sz w:val="20"/>
              </w:rPr>
              <w:t xml:space="preserve"> (former XDG Biomed - chief medical officer); and,</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170"/>
        <w:gridCol w:w="3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Richard Slansky</w:t>
            </w:r>
            <w:r>
              <w:rPr>
                <w:rFonts w:ascii="Times New Roman;Times;Serif" w:hAnsi="Times New Roman;Times;Serif"/>
                <w:b w:val="false"/>
                <w:i w:val="false"/>
                <w:caps w:val="false"/>
                <w:smallCaps w:val="false"/>
                <w:sz w:val="20"/>
              </w:rPr>
              <w:t xml:space="preserve">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OSR - San Raffaele Hospital</w:t>
            </w:r>
            <w:r>
              <w:rPr>
                <w:rFonts w:ascii="Times New Roman;Times;Serif" w:hAnsi="Times New Roman;Times;Serif"/>
                <w:b w:val="false"/>
                <w:i w:val="false"/>
                <w:caps w:val="false"/>
                <w:smallCaps w:val="false"/>
                <w:sz w:val="20"/>
              </w:rPr>
              <w:t xml:space="preserve"> (co-founder of the Company, shareholder, main service provider for clinical activity and licensor of brands of any product that can be obtained through research).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nature of the transactions between the Company and these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Pierluigi Paracchi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Pierluigi Paracchi is the Chief Executive Officer, Chairman and co-founder of the Company. Prior to the Company’s conversion, he was the Chief Executive Officer, Vice-Chairman, and co-founder. His current employment arrangement with the Company provides an annual gross salary of €</w:t>
      </w:r>
      <w:bookmarkStart w:id="845" w:name="xdx_902_eus-gaap--SalariesWagesAndOffice"/>
      <w:bookmarkEnd w:id="845"/>
      <w:r>
        <w:rPr>
          <w:rFonts w:ascii="Times New Roman;Times;Serif" w:hAnsi="Times New Roman;Times;Serif"/>
          <w:b w:val="false"/>
          <w:i w:val="false"/>
          <w:caps w:val="false"/>
          <w:smallCaps w:val="false"/>
          <w:sz w:val="20"/>
        </w:rPr>
        <w:t xml:space="preserve">420,000 plus a </w:t>
      </w:r>
      <w:bookmarkStart w:id="846" w:name="xdx_901_ecustom--PercentageOfAnnualBonus"/>
      <w:bookmarkEnd w:id="846"/>
      <w:r>
        <w:rPr>
          <w:rFonts w:ascii="Times New Roman;Times;Serif" w:hAnsi="Times New Roman;Times;Serif"/>
          <w:b w:val="false"/>
          <w:i w:val="false"/>
          <w:caps w:val="false"/>
          <w:smallCaps w:val="false"/>
          <w:sz w:val="20"/>
        </w:rPr>
        <w:t>40% annual bonus subject to Board approval. Mr. Paracchi also has use of a Company car, for which the Company entered an operating lease agreement in February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2023, and 2022, the Company expensed approximately €</w:t>
      </w:r>
      <w:bookmarkStart w:id="847" w:name="xdx_906_eus-gaap--EmployeeBenefitsAndSha"/>
      <w:bookmarkEnd w:id="847"/>
      <w:r>
        <w:rPr>
          <w:rFonts w:ascii="Times New Roman;Times;Serif" w:hAnsi="Times New Roman;Times;Serif"/>
          <w:b w:val="false"/>
          <w:i w:val="false"/>
          <w:caps w:val="false"/>
          <w:smallCaps w:val="false"/>
          <w:sz w:val="20"/>
        </w:rPr>
        <w:t>688,000 €</w:t>
      </w:r>
      <w:bookmarkStart w:id="848" w:name="xdx_904_eus-gaap--EmployeeBenefitsAndSha"/>
      <w:bookmarkEnd w:id="848"/>
      <w:r>
        <w:rPr>
          <w:rFonts w:ascii="Times New Roman;Times;Serif" w:hAnsi="Times New Roman;Times;Serif"/>
          <w:b w:val="false"/>
          <w:i w:val="false"/>
          <w:caps w:val="false"/>
          <w:smallCaps w:val="false"/>
          <w:sz w:val="20"/>
        </w:rPr>
        <w:t>692,000, and €</w:t>
      </w:r>
      <w:bookmarkStart w:id="849" w:name="xdx_901_eus-gaap--EmployeeBenefitsAndSha"/>
      <w:bookmarkEnd w:id="849"/>
      <w:r>
        <w:rPr>
          <w:rFonts w:ascii="Times New Roman;Times;Serif" w:hAnsi="Times New Roman;Times;Serif"/>
          <w:b w:val="false"/>
          <w:i w:val="false"/>
          <w:caps w:val="false"/>
          <w:smallCaps w:val="false"/>
          <w:sz w:val="20"/>
        </w:rPr>
        <w:t xml:space="preserve">624,000, respectively, related to compensation for Mr. Paracchi. In July 2024, Mr. Paracchi received options on </w:t>
      </w:r>
      <w:bookmarkStart w:id="850" w:name="xdx_903_eus-gaap--SharebasedCompensation"/>
      <w:bookmarkEnd w:id="850"/>
      <w:r>
        <w:rPr>
          <w:rFonts w:ascii="Times New Roman;Times;Serif" w:hAnsi="Times New Roman;Times;Serif"/>
          <w:b w:val="false"/>
          <w:i w:val="false"/>
          <w:caps w:val="false"/>
          <w:smallCaps w:val="false"/>
          <w:sz w:val="20"/>
        </w:rPr>
        <w:t>120,000 shares of GNTA stock.</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the Company accrued €</w:t>
      </w:r>
      <w:bookmarkStart w:id="851" w:name="xdx_908_eus-gaap--AccruedBonusesCurrent_"/>
      <w:bookmarkEnd w:id="851"/>
      <w:r>
        <w:rPr>
          <w:rFonts w:ascii="Times New Roman;Times;Serif" w:hAnsi="Times New Roman;Times;Serif"/>
          <w:b w:val="false"/>
          <w:i w:val="false"/>
          <w:caps w:val="false"/>
          <w:smallCaps w:val="false"/>
          <w:sz w:val="20"/>
        </w:rPr>
        <w:t>168,000 for Mr. Paracchi’s bonus to reward the activity performed respectively in 2024 and 2023. Mr. Paracchi’s bonus for 2024 and 2023 remained unpaid at December 31, 2024 so that the bonus outstanding payment at December 31, 2024 amount to €</w:t>
      </w:r>
      <w:bookmarkStart w:id="852" w:name="xdx_900_ecustom--BonusOutstandingPaid_c2"/>
      <w:bookmarkEnd w:id="852"/>
      <w:r>
        <w:rPr>
          <w:rFonts w:ascii="Times New Roman;Times;Serif" w:hAnsi="Times New Roman;Times;Serif"/>
          <w:b w:val="false"/>
          <w:i w:val="false"/>
          <w:caps w:val="false"/>
          <w:smallCaps w:val="false"/>
          <w:sz w:val="20"/>
        </w:rPr>
        <w:t>336,000. At December 31, 2022, the Company accrued €</w:t>
      </w:r>
      <w:bookmarkStart w:id="853" w:name="xdx_90A_eus-gaap--AccruedBonusesCurrent_"/>
      <w:bookmarkEnd w:id="853"/>
      <w:r>
        <w:rPr>
          <w:rFonts w:ascii="Times New Roman;Times;Serif" w:hAnsi="Times New Roman;Times;Serif"/>
          <w:b w:val="false"/>
          <w:i w:val="false"/>
          <w:caps w:val="false"/>
          <w:smallCaps w:val="false"/>
          <w:sz w:val="20"/>
        </w:rPr>
        <w:t>112,501 for Mr. Paracchi’s bonus from July to December. Mr. Paracchi’s bonus for 2022 was paid in March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2022, Mr. Paracchi received a bonus of €</w:t>
      </w:r>
      <w:bookmarkStart w:id="854" w:name="xdx_90E_eus-gaap--AccruedBonusesCurrentA"/>
      <w:bookmarkEnd w:id="854"/>
      <w:r>
        <w:rPr>
          <w:rFonts w:ascii="Times New Roman;Times;Serif" w:hAnsi="Times New Roman;Times;Serif"/>
          <w:b w:val="false"/>
          <w:i w:val="false"/>
          <w:caps w:val="false"/>
          <w:smallCaps w:val="false"/>
          <w:sz w:val="20"/>
        </w:rPr>
        <w:t>60,000 (gross amount), of which €</w:t>
      </w:r>
      <w:bookmarkStart w:id="855" w:name="xdx_909_eus-gaap--AccruedBonusesCurrentA"/>
      <w:bookmarkEnd w:id="855"/>
      <w:r>
        <w:rPr>
          <w:rFonts w:ascii="Times New Roman;Times;Serif" w:hAnsi="Times New Roman;Times;Serif"/>
          <w:b w:val="false"/>
          <w:i w:val="false"/>
          <w:caps w:val="false"/>
          <w:smallCaps w:val="false"/>
          <w:sz w:val="20"/>
        </w:rPr>
        <w:t>23,000 related to the activity performed in the second half of 2021 and €</w:t>
      </w:r>
      <w:bookmarkStart w:id="856" w:name="xdx_90F_eus-gaap--AccruedBonusesCurrentA"/>
      <w:bookmarkEnd w:id="856"/>
      <w:r>
        <w:rPr>
          <w:rFonts w:ascii="Times New Roman;Times;Serif" w:hAnsi="Times New Roman;Times;Serif"/>
          <w:b w:val="false"/>
          <w:i w:val="false"/>
          <w:caps w:val="false"/>
          <w:smallCaps w:val="false"/>
          <w:sz w:val="20"/>
        </w:rPr>
        <w:t xml:space="preserve">37,000 for the activity performed following the IPO in the first few months of 2022. In July 2022, the Board approved an increase in Mr. Paracchi’s bonus from </w:t>
      </w:r>
      <w:bookmarkStart w:id="857" w:name="xdx_90E_ecustom--PercentageOfAnnualBonus"/>
      <w:bookmarkEnd w:id="857"/>
      <w:r>
        <w:rPr>
          <w:rFonts w:ascii="Times New Roman;Times;Serif" w:hAnsi="Times New Roman;Times;Serif"/>
          <w:b w:val="false"/>
          <w:i w:val="false"/>
          <w:caps w:val="false"/>
          <w:smallCaps w:val="false"/>
          <w:sz w:val="20"/>
        </w:rPr>
        <w:t xml:space="preserve">20% to </w:t>
      </w:r>
      <w:bookmarkStart w:id="858" w:name="xdx_90C_ecustom--PercentageOfAnnualBonus"/>
      <w:bookmarkEnd w:id="858"/>
      <w:r>
        <w:rPr>
          <w:rFonts w:ascii="Times New Roman;Times;Serif" w:hAnsi="Times New Roman;Times;Serif"/>
          <w:b w:val="false"/>
          <w:i w:val="false"/>
          <w:caps w:val="false"/>
          <w:smallCaps w:val="false"/>
          <w:sz w:val="20"/>
        </w:rPr>
        <w:t>40% to begin effective January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Luigi Naldini/Bernhard Rudolph Gentner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Drs. Naldini and Gentner are co-founders of Genenta and part of the SAB – Scientific Advisory Board, with Dr. Naldini as Chairman, and Dr. Gentner as a member. Dr. Naldini has an advisory agreement approved by the Board of Directors and performs pre-clinical studies for the Company. In particular, the pre-clinical experiments are in solid tumor indications. The last consulting agreement with Dr. Naldini was signed on June 20, 2022, which included an annual fee of €</w:t>
      </w:r>
      <w:bookmarkStart w:id="859" w:name="xdx_907_ecustom--AnnualFee_c20220701__20"/>
      <w:bookmarkEnd w:id="859"/>
      <w:r>
        <w:rPr>
          <w:rFonts w:ascii="Times New Roman;Times;Serif" w:hAnsi="Times New Roman;Times;Serif"/>
          <w:b w:val="false"/>
          <w:i w:val="false"/>
          <w:caps w:val="false"/>
          <w:smallCaps w:val="false"/>
          <w:sz w:val="20"/>
        </w:rPr>
        <w:t>100,000 starting July 1,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Dr. Naldini billed €</w:t>
      </w:r>
      <w:bookmarkStart w:id="860" w:name="xdx_901_eus-gaap--EmployeeBenefitsAndSha"/>
      <w:bookmarkEnd w:id="860"/>
      <w:r>
        <w:rPr>
          <w:rFonts w:ascii="Times New Roman;Times;Serif" w:hAnsi="Times New Roman;Times;Serif"/>
          <w:b w:val="false"/>
          <w:i w:val="false"/>
          <w:caps w:val="false"/>
          <w:smallCaps w:val="false"/>
          <w:sz w:val="20"/>
        </w:rPr>
        <w:t>100,000, respectively, and all the issued invoices were paid before December 31</w:t>
      </w:r>
      <w:r>
        <w:rPr>
          <w:rFonts w:ascii="Times New Roman;Times;Serif" w:hAnsi="Times New Roman;Times;Serif"/>
          <w:b w:val="false"/>
          <w:i w:val="false"/>
          <w:caps w:val="false"/>
          <w:smallCaps w:val="false"/>
          <w:position w:val="7"/>
          <w:sz w:val="16"/>
          <w:sz w:val="20"/>
        </w:rPr>
        <w:t xml:space="preserve">st </w:t>
      </w:r>
      <w:r>
        <w:rPr>
          <w:rFonts w:ascii="Times New Roman;Times;Serif" w:hAnsi="Times New Roman;Times;Serif"/>
          <w:b w:val="false"/>
          <w:i w:val="false"/>
          <w:caps w:val="false"/>
          <w:smallCaps w:val="false"/>
          <w:sz w:val="20"/>
        </w:rPr>
        <w:t>of each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Gentner, like Dr. Naldini, oversees pre-clinical research related to the Company’s platform technology. In addition, he analyzes clinical biological data. The last agreement with Dr. Gentner started on July 1, 2022, and provided fees in the amount of €</w:t>
      </w:r>
      <w:bookmarkStart w:id="861" w:name="xdx_90A_ecustom--AnnualFee_c20220701__20"/>
      <w:bookmarkEnd w:id="861"/>
      <w:r>
        <w:rPr>
          <w:rFonts w:ascii="Times New Roman;Times;Serif" w:hAnsi="Times New Roman;Times;Serif"/>
          <w:b w:val="false"/>
          <w:i w:val="false"/>
          <w:caps w:val="false"/>
          <w:smallCaps w:val="false"/>
          <w:sz w:val="20"/>
        </w:rPr>
        <w:t>45,000 per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and 2023, Dr. Gentner billed €</w:t>
      </w:r>
      <w:bookmarkStart w:id="862" w:name="xdx_90D_eus-gaap--EmployeeBenefitsAndSha"/>
      <w:bookmarkEnd w:id="862"/>
      <w:r>
        <w:rPr>
          <w:rFonts w:ascii="Times New Roman;Times;Serif" w:hAnsi="Times New Roman;Times;Serif"/>
          <w:b w:val="false"/>
          <w:i w:val="false"/>
          <w:caps w:val="false"/>
          <w:smallCaps w:val="false"/>
          <w:sz w:val="20"/>
        </w:rPr>
        <w:t>45,000, respectively, and all the issued invoices were paid before December 31</w:t>
      </w:r>
      <w:r>
        <w:rPr>
          <w:rFonts w:ascii="Times New Roman;Times;Serif" w:hAnsi="Times New Roman;Times;Serif"/>
          <w:b w:val="false"/>
          <w:i w:val="false"/>
          <w:caps w:val="false"/>
          <w:smallCaps w:val="false"/>
          <w:position w:val="7"/>
          <w:sz w:val="16"/>
          <w:sz w:val="20"/>
        </w:rPr>
        <w:t xml:space="preserve">st </w:t>
      </w:r>
      <w:r>
        <w:rPr>
          <w:rFonts w:ascii="Times New Roman;Times;Serif" w:hAnsi="Times New Roman;Times;Serif"/>
          <w:b w:val="false"/>
          <w:i w:val="false"/>
          <w:caps w:val="false"/>
          <w:smallCaps w:val="false"/>
          <w:sz w:val="20"/>
        </w:rPr>
        <w:t>of each year. In addition, during 2024, Dr. Gentner billed €</w:t>
      </w:r>
      <w:bookmarkStart w:id="863" w:name="xdx_908_eus-gaap--EmployeeBenefitsAndSha"/>
      <w:bookmarkEnd w:id="863"/>
      <w:r>
        <w:rPr>
          <w:rFonts w:ascii="Times New Roman;Times;Serif" w:hAnsi="Times New Roman;Times;Serif"/>
          <w:b w:val="false"/>
          <w:i w:val="false"/>
          <w:caps w:val="false"/>
          <w:smallCaps w:val="false"/>
          <w:sz w:val="20"/>
        </w:rPr>
        <w:t>5,000 for other consultancy activities and those invoices were paid in the same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Carlo Russo – former XDG Biomed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XDG Biomed (XDG) is Dr. Carlo Russo’s LLC. Dr. Russo had a contract with XDG, and the Company’s Board of Directors approved the agreement along with multiple amendments. Dr. Russo, via XDG, served as the Company’s Chief Medical Officer and Head of Development. Dr. Russo is responsible for the clinical development of Temferon™, the Company’s gene therapy platform. The applicable recurring fees under XDG were €</w:t>
      </w:r>
      <w:bookmarkStart w:id="864" w:name="xdx_909_ecustom--RecurringFees_c20240101"/>
      <w:bookmarkEnd w:id="864"/>
      <w:r>
        <w:rPr>
          <w:rFonts w:ascii="Times New Roman;Times;Serif" w:hAnsi="Times New Roman;Times;Serif"/>
          <w:b w:val="false"/>
          <w:i w:val="false"/>
          <w:caps w:val="false"/>
          <w:smallCaps w:val="false"/>
          <w:sz w:val="20"/>
        </w:rPr>
        <w:t>300,000 per year, plus a performance bonus of €</w:t>
      </w:r>
      <w:bookmarkStart w:id="865" w:name="xdx_90F_eus-gaap--EmployeeRelatedLiabili"/>
      <w:bookmarkEnd w:id="865"/>
      <w:r>
        <w:rPr>
          <w:rFonts w:ascii="Times New Roman;Times;Serif" w:hAnsi="Times New Roman;Times;Serif"/>
          <w:b w:val="false"/>
          <w:i w:val="false"/>
          <w:caps w:val="false"/>
          <w:smallCaps w:val="false"/>
          <w:sz w:val="20"/>
        </w:rPr>
        <w:t>50,000 for the period July-June of each year and payable after Board of Directors approval. This agreement continued until the Company’s IPO. Since the IPO date, December 15, 2021, Dr. Russo has been employed by Genenta Science, Inc. with the same role and responsibilities under an employment agreement. The annual gross salary of Dr. Russo, as an employee, is $</w:t>
      </w:r>
      <w:bookmarkStart w:id="866" w:name="xdx_902_eus-gaap--SalariesAndWages_uUSD_"/>
      <w:bookmarkEnd w:id="866"/>
      <w:r>
        <w:rPr>
          <w:rFonts w:ascii="Times New Roman;Times;Serif" w:hAnsi="Times New Roman;Times;Serif"/>
          <w:b w:val="false"/>
          <w:i w:val="false"/>
          <w:caps w:val="false"/>
          <w:smallCaps w:val="false"/>
          <w:sz w:val="20"/>
        </w:rPr>
        <w:t xml:space="preserve">500,000 per year plus a </w:t>
      </w:r>
      <w:bookmarkStart w:id="867" w:name="xdx_902_ecustom--PercentageOfAnnualBonus"/>
      <w:bookmarkEnd w:id="867"/>
      <w:r>
        <w:rPr>
          <w:rFonts w:ascii="Times New Roman;Times;Serif" w:hAnsi="Times New Roman;Times;Serif"/>
          <w:b w:val="false"/>
          <w:i w:val="false"/>
          <w:caps w:val="false"/>
          <w:smallCaps w:val="false"/>
          <w:sz w:val="20"/>
        </w:rPr>
        <w:t>30% annual bonus subject to Board of Director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2023, and 2022, the Company expensed approximately €</w:t>
      </w:r>
      <w:bookmarkStart w:id="868" w:name="xdx_90E_eus-gaap--AllocatedShareBasedCom"/>
      <w:bookmarkEnd w:id="868"/>
      <w:r>
        <w:rPr>
          <w:rFonts w:ascii="Times New Roman;Times;Serif" w:hAnsi="Times New Roman;Times;Serif"/>
          <w:b w:val="false"/>
          <w:i w:val="false"/>
          <w:caps w:val="false"/>
          <w:smallCaps w:val="false"/>
          <w:sz w:val="20"/>
        </w:rPr>
        <w:t>611,000, €</w:t>
      </w:r>
      <w:bookmarkStart w:id="869" w:name="xdx_909_eus-gaap--AllocatedShareBasedCom"/>
      <w:bookmarkEnd w:id="869"/>
      <w:r>
        <w:rPr>
          <w:rFonts w:ascii="Times New Roman;Times;Serif" w:hAnsi="Times New Roman;Times;Serif"/>
          <w:b w:val="false"/>
          <w:i w:val="false"/>
          <w:caps w:val="false"/>
          <w:smallCaps w:val="false"/>
          <w:sz w:val="20"/>
        </w:rPr>
        <w:t>592,000 and €</w:t>
      </w:r>
      <w:bookmarkStart w:id="870" w:name="xdx_906_eus-gaap--AllocatedShareBasedCom"/>
      <w:bookmarkEnd w:id="870"/>
      <w:r>
        <w:rPr>
          <w:rFonts w:ascii="Times New Roman;Times;Serif" w:hAnsi="Times New Roman;Times;Serif"/>
          <w:b w:val="false"/>
          <w:i w:val="false"/>
          <w:caps w:val="false"/>
          <w:smallCaps w:val="false"/>
          <w:sz w:val="20"/>
        </w:rPr>
        <w:t xml:space="preserve">580,000, respectively, related to compensation for Dr. Russo. In July 2024 Mr. Russo received options on </w:t>
      </w:r>
      <w:bookmarkStart w:id="871" w:name="xdx_904_eus-gaap--SharebasedCompensation"/>
      <w:bookmarkEnd w:id="871"/>
      <w:r>
        <w:rPr>
          <w:rFonts w:ascii="Times New Roman;Times;Serif" w:hAnsi="Times New Roman;Times;Serif"/>
          <w:b w:val="false"/>
          <w:i w:val="false"/>
          <w:caps w:val="false"/>
          <w:smallCaps w:val="false"/>
          <w:sz w:val="20"/>
        </w:rPr>
        <w:t>100,000 shares of GNTA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December 31, 2024 and 2023, the Company accrued approximately € </w:t>
      </w:r>
      <w:bookmarkStart w:id="872" w:name="xdx_909_eus-gaap--AccruedBonusesCurrentA"/>
      <w:bookmarkEnd w:id="872"/>
      <w:r>
        <w:rPr>
          <w:rFonts w:ascii="Times New Roman;Times;Serif" w:hAnsi="Times New Roman;Times;Serif"/>
          <w:b w:val="false"/>
          <w:i w:val="false"/>
          <w:caps w:val="false"/>
          <w:smallCaps w:val="false"/>
          <w:sz w:val="20"/>
        </w:rPr>
        <w:t>145,000 and €</w:t>
      </w:r>
      <w:bookmarkStart w:id="873" w:name="xdx_90C_eus-gaap--AccruedBonusesCurrentA"/>
      <w:bookmarkEnd w:id="873"/>
      <w:r>
        <w:rPr>
          <w:rFonts w:ascii="Times New Roman;Times;Serif" w:hAnsi="Times New Roman;Times;Serif"/>
          <w:b w:val="false"/>
          <w:i w:val="false"/>
          <w:caps w:val="false"/>
          <w:smallCaps w:val="false"/>
          <w:sz w:val="20"/>
        </w:rPr>
        <w:t>156,000, respectively, for Dr. Russo’s bonus to reward the activity performed in 2024 and 2023. Dr. Russo’s bonus for 2024 and 2023 remained unpaid at December 31, 2024. At December 31, 2022, the Company accrued approximately €</w:t>
      </w:r>
      <w:bookmarkStart w:id="874" w:name="xdx_909_eus-gaap--AccruedBonusesCurrentA"/>
      <w:bookmarkEnd w:id="874"/>
      <w:r>
        <w:rPr>
          <w:rFonts w:ascii="Times New Roman;Times;Serif" w:hAnsi="Times New Roman;Times;Serif"/>
          <w:b w:val="false"/>
          <w:i w:val="false"/>
          <w:caps w:val="false"/>
          <w:smallCaps w:val="false"/>
          <w:sz w:val="20"/>
        </w:rPr>
        <w:t>112,000 for Dr. Russo’s bonus to reward the activity performed in 2022, which bonus was paid in March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Slansky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Slansky is the Chief Financial Officer of the Company. Prior the IPO, he was engaged by the Company to assist with financial, accounting, and audit support under an advisory agreement until the end of October 2021. On November 1, 2021, he joined the Company full-time and has been employed as Chief Financial Officer. Under his employment agreement, Mr. Slansky was entitled to receive a gross annual compensation of $</w:t>
      </w:r>
      <w:bookmarkStart w:id="875" w:name="xdx_90D_eus-gaap--DeferredCompensationAr"/>
      <w:bookmarkEnd w:id="875"/>
      <w:r>
        <w:rPr>
          <w:rFonts w:ascii="Times New Roman;Times;Serif" w:hAnsi="Times New Roman;Times;Serif"/>
          <w:b w:val="false"/>
          <w:i w:val="false"/>
          <w:caps w:val="false"/>
          <w:smallCaps w:val="false"/>
          <w:sz w:val="20"/>
        </w:rPr>
        <w:t xml:space="preserve">300,000 per year plus a </w:t>
      </w:r>
      <w:bookmarkStart w:id="876" w:name="xdx_905_ecustom--PercentageOfAnnualBonus"/>
      <w:bookmarkEnd w:id="876"/>
      <w:r>
        <w:rPr>
          <w:rFonts w:ascii="Times New Roman;Times;Serif" w:hAnsi="Times New Roman;Times;Serif"/>
          <w:b w:val="false"/>
          <w:i w:val="false"/>
          <w:caps w:val="false"/>
          <w:smallCaps w:val="false"/>
          <w:sz w:val="20"/>
        </w:rPr>
        <w:t>30% annual bonus subject to Board of Director approval. Beginning January 1, 2023, his gross annual compensation was increased to $</w:t>
      </w:r>
      <w:bookmarkStart w:id="877" w:name="xdx_904_eus-gaap--DeferredCompensationAr"/>
      <w:bookmarkEnd w:id="877"/>
      <w:r>
        <w:rPr>
          <w:rFonts w:ascii="Times New Roman;Times;Serif" w:hAnsi="Times New Roman;Times;Serif"/>
          <w:b w:val="false"/>
          <w:i w:val="false"/>
          <w:caps w:val="false"/>
          <w:smallCaps w:val="false"/>
          <w:sz w:val="20"/>
        </w:rPr>
        <w:t xml:space="preserve">375,000 plus a </w:t>
      </w:r>
      <w:bookmarkStart w:id="878" w:name="xdx_907_ecustom--PercentageOfAnnualBonus"/>
      <w:bookmarkEnd w:id="878"/>
      <w:r>
        <w:rPr>
          <w:rFonts w:ascii="Times New Roman;Times;Serif" w:hAnsi="Times New Roman;Times;Serif"/>
          <w:b w:val="false"/>
          <w:i w:val="false"/>
          <w:caps w:val="false"/>
          <w:smallCaps w:val="false"/>
          <w:sz w:val="20"/>
        </w:rPr>
        <w:t>30% annual bonus subject to Board of Director approval.</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2024, 2023, and 2022, the Company expensed approximately €</w:t>
      </w:r>
      <w:bookmarkStart w:id="879" w:name="xdx_900_eus-gaap--AllocatedShareBasedCom"/>
      <w:bookmarkEnd w:id="879"/>
      <w:r>
        <w:rPr>
          <w:rFonts w:ascii="Times New Roman;Times;Serif" w:hAnsi="Times New Roman;Times;Serif"/>
          <w:b w:val="false"/>
          <w:i w:val="false"/>
          <w:caps w:val="false"/>
          <w:smallCaps w:val="false"/>
          <w:sz w:val="20"/>
        </w:rPr>
        <w:t>458,000, €</w:t>
      </w:r>
      <w:bookmarkStart w:id="880" w:name="xdx_908_eus-gaap--AllocatedShareBasedCom"/>
      <w:bookmarkEnd w:id="880"/>
      <w:r>
        <w:rPr>
          <w:rFonts w:ascii="Times New Roman;Times;Serif" w:hAnsi="Times New Roman;Times;Serif"/>
          <w:b w:val="false"/>
          <w:i w:val="false"/>
          <w:caps w:val="false"/>
          <w:smallCaps w:val="false"/>
          <w:sz w:val="20"/>
        </w:rPr>
        <w:t>456,000, and €</w:t>
      </w:r>
      <w:bookmarkStart w:id="881" w:name="xdx_90F_eus-gaap--AllocatedShareBasedCom"/>
      <w:bookmarkEnd w:id="881"/>
      <w:r>
        <w:rPr>
          <w:rFonts w:ascii="Times New Roman;Times;Serif" w:hAnsi="Times New Roman;Times;Serif"/>
          <w:b w:val="false"/>
          <w:i w:val="false"/>
          <w:caps w:val="false"/>
          <w:smallCaps w:val="false"/>
          <w:sz w:val="20"/>
        </w:rPr>
        <w:t>445,000, respectively, related to compensation for Mr. Slansky. At December 31, 2024 and 2023, the Company accrued approximately €</w:t>
      </w:r>
      <w:bookmarkStart w:id="882" w:name="xdx_90C_eus-gaap--AccruedBonusesCurrentA"/>
      <w:bookmarkEnd w:id="882"/>
      <w:r>
        <w:rPr>
          <w:rFonts w:ascii="Times New Roman;Times;Serif" w:hAnsi="Times New Roman;Times;Serif"/>
          <w:b w:val="false"/>
          <w:i w:val="false"/>
          <w:caps w:val="false"/>
          <w:smallCaps w:val="false"/>
          <w:sz w:val="20"/>
        </w:rPr>
        <w:t>108,000 and €</w:t>
      </w:r>
      <w:bookmarkStart w:id="883" w:name="xdx_901_eus-gaap--AccruedBonusesCurrentA"/>
      <w:bookmarkEnd w:id="883"/>
      <w:r>
        <w:rPr>
          <w:rFonts w:ascii="Times New Roman;Times;Serif" w:hAnsi="Times New Roman;Times;Serif"/>
          <w:b w:val="false"/>
          <w:i w:val="false"/>
          <w:caps w:val="false"/>
          <w:smallCaps w:val="false"/>
          <w:sz w:val="20"/>
        </w:rPr>
        <w:t>116,000, respectively, for Mr. Slansky’s bonus to reward the activity performed in 2024 and 2023. Mr. Slansky’s bonus for 2024 and 2023 remained unpaid at December 31, 2024. At December 31, 2022, the Company accrued approximately €</w:t>
      </w:r>
      <w:bookmarkStart w:id="884" w:name="xdx_900_eus-gaap--AccruedBonusesCurrentA"/>
      <w:bookmarkEnd w:id="884"/>
      <w:r>
        <w:rPr>
          <w:rFonts w:ascii="Times New Roman;Times;Serif" w:hAnsi="Times New Roman;Times;Serif"/>
          <w:b w:val="false"/>
          <w:i w:val="false"/>
          <w:caps w:val="false"/>
          <w:smallCaps w:val="false"/>
          <w:sz w:val="20"/>
        </w:rPr>
        <w:t xml:space="preserve">77,000 for Mr. Slansky’s bonus to reward the activity performed in 2022, which bonus was paid in March 2023. In July 2024 Mr. Slansky received options on </w:t>
      </w:r>
      <w:bookmarkStart w:id="885" w:name="xdx_904_eus-gaap--SharebasedCompensation"/>
      <w:bookmarkEnd w:id="885"/>
      <w:r>
        <w:rPr>
          <w:rFonts w:ascii="Times New Roman;Times;Serif" w:hAnsi="Times New Roman;Times;Serif"/>
          <w:b w:val="false"/>
          <w:i w:val="false"/>
          <w:caps w:val="false"/>
          <w:smallCaps w:val="false"/>
          <w:sz w:val="20"/>
        </w:rPr>
        <w:t>100,000 shares of GNTA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2022, Mr. Slansky was awarded a stock option grant and part of it was immediately vested, with value accrued into the Company’s Consolidated Statements of Operations and Comprehensive Loss of approximately €</w:t>
      </w:r>
      <w:bookmarkStart w:id="886" w:name="xdx_909_eus-gaap--OtherComprehensiveInco"/>
      <w:bookmarkEnd w:id="886"/>
      <w:r>
        <w:rPr>
          <w:rFonts w:ascii="Times New Roman;Times;Serif" w:hAnsi="Times New Roman;Times;Serif"/>
          <w:b w:val="false"/>
          <w:i w:val="false"/>
          <w:caps w:val="false"/>
          <w:smallCaps w:val="false"/>
          <w:sz w:val="20"/>
        </w:rPr>
        <w:t>201,000.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OSR – San Raffaele Hospital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OSR - San Raffaele Hospital is a co-founder of the Company, and the Company is a corporate and research spin-off of OSR.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in an OSR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OSR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Amended and Restated License Agreement (the “ARLA”) with OSR in March 2023.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ARLA was subject to Italy’s Law Decree No. 21 of March 15, 2012 (i.e., the Italian Golden Power regulations), as subsequently amended and supplemented, and would not become effective until the applicable Italian governmental authority consented to the ARLA. On April 20, 2023, such consent was received and the ARLA became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ARLA, OSR has granted the Company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based-hematopoietic stem and progenitor cells (“HSPC”) gene transfer with respect to any solid cancer indication (including glioblastoma and solid liver cancer) and/or (b) any lympho-hematopoietic indication for which the Company exercises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the Company granted OSR a perpetual, worldwide, royalty-free, non-exclusive license to any improvement generated by the Company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the Company regarding the Lentigen know-how are non-exclusive and cannot be sublicensed due to a pre-existing nonexclusive sublicense to these rights between OSR and GlaxoSmithKline Intellectual Property Development Limited.</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the Company has an exclusive option exercisable until April 20, 2026 to any OSR product improvements at no additional cost, which could be useful for the development and/or commercialization of licensed products in the field of use. The Company also has an exclusive option exercisable until April 20, 2026 (the “LHI Option Period”) to any lympho-hematopoietic indication(s) to be included as part of the field of use, on an indication-by-indication basis, subject to the payment of specified option fees and milestone payments:</w:t>
      </w:r>
    </w:p>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185"/>
        <w:gridCol w:w="54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caps w:val="false"/>
                <w:smallCaps w:val="false"/>
              </w:rPr>
            </w:pPr>
            <w:r>
              <w:rPr>
                <w:caps w:val="false"/>
                <w:smallCaps w:val="false"/>
              </w:rPr>
              <w:t>€</w:t>
            </w:r>
            <w:bookmarkStart w:id="887" w:name="xdx_908_ecustom--FutureOptionFees_pn5n6_"/>
            <w:bookmarkEnd w:id="887"/>
            <w:r>
              <w:rPr>
                <w:rFonts w:ascii="Times New Roman;Times;Serif" w:hAnsi="Times New Roman;Times;Serif"/>
                <w:b w:val="false"/>
                <w:i w:val="false"/>
                <w:caps w:val="false"/>
                <w:smallCaps w:val="false"/>
                <w:sz w:val="20"/>
              </w:rPr>
              <w:t>1.0 million for the first lympho-hematopoietic indication;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5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caps w:val="false"/>
                <w:smallCaps w:val="false"/>
              </w:rPr>
            </w:pPr>
            <w:r>
              <w:rPr>
                <w:caps w:val="false"/>
                <w:smallCaps w:val="false"/>
              </w:rPr>
              <w:t>€</w:t>
            </w:r>
            <w:bookmarkStart w:id="888" w:name="xdx_903_ecustom--FutureOptionFees_pn5n6_"/>
            <w:bookmarkEnd w:id="888"/>
            <w:r>
              <w:rPr>
                <w:rFonts w:ascii="Times New Roman;Times;Serif" w:hAnsi="Times New Roman;Times;Serif"/>
                <w:b w:val="false"/>
                <w:i w:val="false"/>
                <w:caps w:val="false"/>
                <w:smallCaps w:val="false"/>
                <w:sz w:val="20"/>
              </w:rPr>
              <w:t>0.5 million for the second lympho-hematopoietic indication;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54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5435" w:type="dxa"/>
            <w:tcBorders/>
            <w:vAlign w:val="center"/>
          </w:tcPr>
          <w:p>
            <w:pPr>
              <w:pStyle w:val="TableContents"/>
              <w:bidi w:val="0"/>
              <w:spacing w:before="0" w:after="283"/>
              <w:jc w:val="left"/>
              <w:rPr>
                <w:caps w:val="false"/>
                <w:smallCaps w:val="false"/>
              </w:rPr>
            </w:pPr>
            <w:r>
              <w:rPr>
                <w:caps w:val="false"/>
                <w:smallCaps w:val="false"/>
              </w:rPr>
              <w:t>€</w:t>
            </w:r>
            <w:bookmarkStart w:id="889" w:name="xdx_904_ecustom--FutureOptionFees_pn5n6_"/>
            <w:bookmarkEnd w:id="889"/>
            <w:r>
              <w:rPr>
                <w:rFonts w:ascii="Times New Roman;Times;Serif" w:hAnsi="Times New Roman;Times;Serif"/>
                <w:b w:val="false"/>
                <w:i w:val="false"/>
                <w:caps w:val="false"/>
                <w:smallCaps w:val="false"/>
                <w:sz w:val="20"/>
              </w:rPr>
              <w:t>0.3 million for the third lympho-hematopoietic indication.</w:t>
            </w:r>
          </w:p>
        </w:tc>
      </w:tr>
    </w:tbl>
    <w:p>
      <w:pPr>
        <w:pStyle w:val="TextBody"/>
        <w:bidi w:val="0"/>
        <w:spacing w:before="0" w:after="0"/>
        <w:ind w:left="4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option fee is due for the fourth lympho-hematopoietic indication and any subsequent lympho-hematopoietic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the right to extend the LHI Option Period twice for additional 12-month periods, subject to the payment of specified extension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effective date of the ARLA, the Company paid OSR an upfront fee in amount equal to €</w:t>
      </w:r>
      <w:bookmarkStart w:id="890" w:name="xdx_90E_ecustom--UpfrontFee_c20240101__2"/>
      <w:bookmarkEnd w:id="890"/>
      <w:r>
        <w:rPr>
          <w:rFonts w:ascii="Times New Roman;Times;Serif" w:hAnsi="Times New Roman;Times;Serif"/>
          <w:b w:val="false"/>
          <w:i w:val="false"/>
          <w:caps w:val="false"/>
          <w:smallCaps w:val="false"/>
          <w:sz w:val="20"/>
        </w:rPr>
        <w:t>250,000 pursuant to the Original OSR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ARLA, as consideration, the Company agreed to pay OSR additional license fees equal to up to €</w:t>
      </w:r>
      <w:bookmarkStart w:id="891" w:name="xdx_905_eus-gaap--TaxesAndLicenses_c2023"/>
      <w:bookmarkEnd w:id="891"/>
      <w:r>
        <w:rPr>
          <w:rFonts w:ascii="Times New Roman;Times;Serif" w:hAnsi="Times New Roman;Times;Serif"/>
          <w:b w:val="false"/>
          <w:i w:val="false"/>
          <w:caps w:val="false"/>
          <w:smallCaps w:val="false"/>
          <w:sz w:val="20"/>
        </w:rPr>
        <w:t>875,000 in total, which are payable on April 20, 2023, December 31, 2023, and upon our entering into a sublicense agreement with a third party sublicensee (pursuant to which the Company is entitled to receive an upfront payment in an amount exceeding a specified threshold from such sublicensee) during the period between September 30, 2022 and April 20, 2028 (with most of these additional license fees being triggered upon our entering into such a sublicense agreement). In addition, the Company has agreed to pay OSR royalties and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our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United States and certain E.U. countries, and achievement of certain net sales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ARLA, the Company has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w:t>
      </w:r>
      <w:bookmarkStart w:id="892" w:name="xdx_909_eus-gaap--OtherCommitmentsDescri"/>
      <w:bookmarkEnd w:id="892"/>
      <w:r>
        <w:rPr>
          <w:rFonts w:ascii="Times New Roman;Times;Serif" w:hAnsi="Times New Roman;Times;Serif"/>
          <w:b w:val="false"/>
          <w:i w:val="false"/>
          <w:caps w:val="false"/>
          <w:smallCaps w:val="false"/>
          <w:sz w:val="20"/>
        </w:rPr>
        <w:t>We are also obligated to carry out our development activities using qualified and experienced professionals and sufficient level of resources. In particular, consistent with the terms of the Original OSR License Agreement, the ARLA continues to require us to invest (a) at least €5,425,000 with respect to the development of the licensed products, and (b) at least €2,420,000 with respect to the manufacturing of such licensed products (subject to certain adjustments). (See Note 14.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OSR maintains control of the preparation, prosecution and maintenance of the patents licensed. The Company is obligated to pay those costs unless additional licensees benefit from these rights, in which case the cost will be shared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OSR controls enforcement of the patents and know-how rights, at its own expense. In the event that OSR fails to file suit to enforce such rights after notice from the Company, the Company has the right to enforce the licensed technology within the field of use. Both the Company and OSR must consent to settlement of any such litigation, and all monies recovered will be shared, after reimbursement for costs, in relation to the damages suffered by each party, or failing a bona fide agreement between the Company and OSR, on a 50% - 50% basis.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ARLA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the Company fail to pay any of the upfront payment, additional license fees, sublicensing income or milestone payments within 30 days of due dates for each. In addition, OSR may terminate (with a 60-business-day prior written notice) the Company’s rights as to certain fields of use for the Company’s failure to achieve certain development milestones for specified licensed products within certain time periods, which may be subject to extension.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OSR Amended and Restated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2023, the Company and OSR entered into an amendment to the ARLA, whereby the Company and OSR agreed that the Company had fulfilled the obligations as set forth in the ARLA specific to Candidate Products 1 pursuant to the CP1 SRA. Furthermore, the amendment provides that the Company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sponsored research agreement with regards to Candidate Products 2, OSR granted the Company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the Company’s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 cumulative total amount of expense for the OSR clinical trial activity from inception amounted to approximately €</w:t>
      </w:r>
      <w:bookmarkStart w:id="893" w:name="xdx_90D_eus-gaap--OperatingCostsAndExpen"/>
      <w:bookmarkEnd w:id="893"/>
      <w:r>
        <w:rPr>
          <w:rFonts w:ascii="Times New Roman;Times;Serif" w:hAnsi="Times New Roman;Times;Serif"/>
          <w:b w:val="false"/>
          <w:i w:val="false"/>
          <w:caps w:val="false"/>
          <w:smallCaps w:val="false"/>
          <w:sz w:val="20"/>
        </w:rPr>
        <w:t>11.5 million and including the cost for the exercise of the first and the second solid cancer indication option fee of €</w:t>
      </w:r>
      <w:bookmarkStart w:id="894" w:name="xdx_90B_ecustom--OptionFee_pn5n6_c202401"/>
      <w:bookmarkEnd w:id="894"/>
      <w:r>
        <w:rPr>
          <w:rFonts w:ascii="Times New Roman;Times;Serif" w:hAnsi="Times New Roman;Times;Serif"/>
          <w:b w:val="false"/>
          <w:i w:val="false"/>
          <w:caps w:val="false"/>
          <w:smallCaps w:val="false"/>
          <w:sz w:val="20"/>
        </w:rPr>
        <w:t>1.0 million, as well as the cost for ARLA fees of approximately €</w:t>
      </w:r>
      <w:bookmarkStart w:id="895" w:name="xdx_90B_ecustom--AgreementFee_pn5n6_c202"/>
      <w:bookmarkEnd w:id="895"/>
      <w:r>
        <w:rPr>
          <w:rFonts w:ascii="Times New Roman;Times;Serif" w:hAnsi="Times New Roman;Times;Serif"/>
          <w:b w:val="false"/>
          <w:i w:val="false"/>
          <w:caps w:val="false"/>
          <w:smallCaps w:val="false"/>
          <w:sz w:val="20"/>
        </w:rPr>
        <w:t>0.4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2024, there were no pending activities with OSR related to any agreement in place prior to the ARLA effective date, except for the project called “TEM-MM unspent budget reallocated to the TEM-GBM study”, for which the last tranche of activities corresponding to the 20% of the total project of approximately €</w:t>
      </w:r>
      <w:bookmarkStart w:id="896" w:name="xdx_90E_ecustom--TotalProjectCashConside"/>
      <w:bookmarkEnd w:id="896"/>
      <w:r>
        <w:rPr>
          <w:rFonts w:ascii="Times New Roman;Times;Serif" w:hAnsi="Times New Roman;Times;Serif"/>
          <w:b w:val="false"/>
          <w:i w:val="false"/>
          <w:caps w:val="false"/>
          <w:smallCaps w:val="false"/>
          <w:sz w:val="20"/>
        </w:rPr>
        <w:t>0.2 million still pending completion.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OSR Sponsored Research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the Company entered into a Sponsored Research Agreement (“CP1 SRA”), which was contemplated under the ARLA, pursuant to which the Company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the Company and provide an estimate for completing the research.</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the date of execution from the CP1 SRA until six months from the last report delivered to the Company under the CP1 SRA (the “CP1 Option Period”), the Company has the exclusive option to include certain intellectual property related to Candidate Products 1 and Candidate Products 1 as part of the licensed patents and licensed products under the ARLA. To exercise this option, the Company must pay an option exercise fee. The Company also has the right to extend the CP1 Option Period twice for additional 24-month periods. The extension requires payment of an extension fee for each 24-month extension.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Company recorded and paid approximately €</w:t>
      </w:r>
      <w:bookmarkStart w:id="897" w:name="xdx_905_eus-gaap--PaymentsToAcquireInPro"/>
      <w:bookmarkEnd w:id="897"/>
      <w:r>
        <w:rPr>
          <w:rFonts w:ascii="Times New Roman;Times;Serif" w:hAnsi="Times New Roman;Times;Serif"/>
          <w:b w:val="false"/>
          <w:i w:val="false"/>
          <w:caps w:val="false"/>
          <w:smallCaps w:val="false"/>
          <w:sz w:val="20"/>
        </w:rPr>
        <w:t>0.4 million for the CP1 SRA studies.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non-cancelable lease agreement for office space in December 2020 (see Note 15 Commitments and contingencies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98" w:name="xdx_803_eus-gaap--CommitmentsAndContinge"/>
      <w:bookmarkEnd w:id="898"/>
      <w:r>
        <w:rPr>
          <w:rFonts w:ascii="Times New Roman;Times;Serif" w:hAnsi="Times New Roman;Times;Serif"/>
          <w:b/>
          <w:i w:val="false"/>
          <w:caps w:val="false"/>
          <w:smallCaps w:val="false"/>
          <w:sz w:val="20"/>
        </w:rPr>
        <w:t xml:space="preserve">15. </w:t>
      </w:r>
      <w:bookmarkStart w:id="899" w:name="xdx_821_zn7OmxjW9br8"/>
      <w:bookmarkEnd w:id="899"/>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900" w:name="xdx_896_esrt--ContractualObligationFisca"/>
      <w:bookmarkEnd w:id="900"/>
      <w:r>
        <w:rPr>
          <w:rFonts w:ascii="Times New Roman;Times;Serif" w:hAnsi="Times New Roman;Times;Serif"/>
          <w:b w:val="false"/>
          <w:i w:val="false"/>
          <w:caps w:val="false"/>
          <w:smallCaps w:val="false"/>
          <w:sz w:val="20"/>
        </w:rPr>
        <w:t>The following table summarizes the Company obligations by contractual maturity at December 31, 2024:</w:t>
      </w:r>
    </w:p>
    <w:p>
      <w:pPr>
        <w:pStyle w:val="TextBody"/>
        <w:bidi w:val="0"/>
        <w:spacing w:before="0" w:after="0"/>
        <w:ind w:left="0" w:right="0" w:hanging="0"/>
        <w:jc w:val="left"/>
        <w:rPr>
          <w:caps w:val="false"/>
          <w:smallCaps w:val="false"/>
        </w:rPr>
      </w:pPr>
      <w:r>
        <w:rPr>
          <w:caps w:val="false"/>
          <w:smallCaps w:val="false"/>
        </w:rPr>
        <w:t> </w:t>
      </w:r>
      <w:bookmarkStart w:id="901" w:name="xdx_8BE_zc7QAShcnqz5"/>
      <w:bookmarkEnd w:id="901"/>
      <w:r>
        <w:rPr>
          <w:rFonts w:ascii="Times New Roman;Times;Serif" w:hAnsi="Times New Roman;Times;Serif"/>
          <w:b w:val="false"/>
          <w:i w:val="false"/>
          <w:caps w:val="false"/>
          <w:smallCaps w:val="false"/>
          <w:sz w:val="20"/>
        </w:rPr>
        <w:t>Schedule of company obligations by contractual maturity</w:t>
      </w:r>
    </w:p>
    <w:tbl>
      <w:tblPr>
        <w:tblW w:w="8863" w:type="dxa"/>
        <w:jc w:val="left"/>
        <w:tblInd w:w="0" w:type="dxa"/>
        <w:tblLayout w:type="fixed"/>
        <w:tblCellMar>
          <w:top w:w="0" w:type="dxa"/>
          <w:left w:w="0" w:type="dxa"/>
          <w:bottom w:w="0" w:type="dxa"/>
          <w:right w:w="0" w:type="dxa"/>
        </w:tblCellMar>
      </w:tblPr>
      <w:tblGrid>
        <w:gridCol w:w="2780"/>
        <w:gridCol w:w="60"/>
        <w:gridCol w:w="140"/>
        <w:gridCol w:w="980"/>
        <w:gridCol w:w="60"/>
        <w:gridCol w:w="60"/>
        <w:gridCol w:w="140"/>
        <w:gridCol w:w="980"/>
        <w:gridCol w:w="60"/>
        <w:gridCol w:w="60"/>
        <w:gridCol w:w="140"/>
        <w:gridCol w:w="980"/>
        <w:gridCol w:w="60"/>
        <w:gridCol w:w="60"/>
        <w:gridCol w:w="662"/>
        <w:gridCol w:w="452"/>
        <w:gridCol w:w="60"/>
        <w:gridCol w:w="60"/>
        <w:gridCol w:w="591"/>
        <w:gridCol w:w="403"/>
        <w:gridCol w:w="7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8"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Payments by Period</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Less than 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More than</w:t>
            </w:r>
          </w:p>
        </w:tc>
        <w:tc>
          <w:tcPr>
            <w:tcW w:w="75"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(in Euros)</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year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 to 3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 to 5 years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 years</w:t>
            </w:r>
          </w:p>
        </w:tc>
        <w:tc>
          <w:tcPr>
            <w:tcW w:w="75" w:type="dxa"/>
            <w:tcBorders/>
            <w:vAlign w:val="center"/>
          </w:tcPr>
          <w:p>
            <w:pPr>
              <w:pStyle w:val="TableContents"/>
              <w:bidi w:val="0"/>
              <w:spacing w:before="0" w:after="283"/>
              <w:jc w:val="center"/>
              <w:rPr/>
            </w:pPr>
            <w:r>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OSR office rent, and parking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02" w:name="xdx_98A_eus-gaap--ContractualObligation_"/>
            <w:bookmarkEnd w:id="90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03" w:name="xdx_98A_ecustom--ContractualObligationDu"/>
            <w:bookmarkEnd w:id="90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904" w:name="xdx_985_ecustom--ContractualObligationDu"/>
            <w:bookmarkEnd w:id="90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left"/>
              <w:rPr/>
            </w:pPr>
            <w:r>
              <w:rPr/>
              <w:t>€</w:t>
            </w:r>
            <w:bookmarkStart w:id="905" w:name="xdx_982_eus-gaap--ContractualObligationD"/>
            <w:bookmarkEnd w:id="905"/>
          </w:p>
        </w:tc>
        <w:tc>
          <w:tcPr>
            <w:tcW w:w="4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w:t>
            </w:r>
            <w:bookmarkStart w:id="906" w:name="xdx_981_eus-gaap--ContractualObligationD"/>
            <w:bookmarkEnd w:id="906"/>
          </w:p>
        </w:tc>
        <w:tc>
          <w:tcPr>
            <w:tcW w:w="4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OSR- ARLA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07" w:name="xdx_98D_eus-gaap--ContractualObligation_"/>
            <w:bookmarkEnd w:id="907"/>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08" w:name="xdx_981_ecustom--ContractualObligationDu"/>
            <w:bookmarkEnd w:id="908"/>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909" w:name="xdx_98E_ecustom--ContractualObligationDu"/>
            <w:bookmarkEnd w:id="909"/>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left"/>
              <w:rPr/>
            </w:pPr>
            <w:r>
              <w:rPr/>
              <w:t> </w:t>
            </w:r>
            <w:bookmarkStart w:id="910" w:name="xdx_987_eus-gaap--ContractualObligationD"/>
            <w:bookmarkEnd w:id="910"/>
          </w:p>
        </w:tc>
        <w:tc>
          <w:tcPr>
            <w:tcW w:w="4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bookmarkStart w:id="911" w:name="xdx_983_eus-gaap--ContractualObligationD"/>
            <w:bookmarkEnd w:id="911"/>
          </w:p>
        </w:tc>
        <w:tc>
          <w:tcPr>
            <w:tcW w:w="4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AGC manufacturing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12" w:name="xdx_989_eus-gaap--ContractualObligation_"/>
            <w:bookmarkEnd w:id="912"/>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4,036,518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13" w:name="xdx_989_ecustom--ContractualObligationDu"/>
            <w:bookmarkEnd w:id="913"/>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2,414,851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914" w:name="xdx_985_ecustom--ContractualObligationDu"/>
            <w:bookmarkEnd w:id="914"/>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1,621,667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2" w:type="dxa"/>
            <w:tcBorders/>
            <w:shd w:fill="CCEEFF" w:val="clear"/>
            <w:vAlign w:val="center"/>
          </w:tcPr>
          <w:p>
            <w:pPr>
              <w:pStyle w:val="TableContents"/>
              <w:bidi w:val="0"/>
              <w:spacing w:before="0" w:after="283"/>
              <w:jc w:val="left"/>
              <w:rPr/>
            </w:pPr>
            <w:r>
              <w:rPr/>
              <w:t> </w:t>
            </w:r>
            <w:bookmarkStart w:id="915" w:name="xdx_983_eus-gaap--ContractualObligationD"/>
            <w:bookmarkEnd w:id="915"/>
          </w:p>
        </w:tc>
        <w:tc>
          <w:tcPr>
            <w:tcW w:w="4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 </w:t>
            </w:r>
            <w:bookmarkStart w:id="916" w:name="xdx_985_eus-gaap--ContractualObligationD"/>
            <w:bookmarkEnd w:id="916"/>
          </w:p>
        </w:tc>
        <w:tc>
          <w:tcPr>
            <w:tcW w:w="4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Insurance policies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7" w:name="xdx_98C_eus-gaap--ContractualObligation_"/>
            <w:bookmarkEnd w:id="917"/>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8" w:name="xdx_980_ecustom--ContractualObligationDu"/>
            <w:bookmarkEnd w:id="918"/>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19" w:name="xdx_98B_ecustom--ContractualObligationDu"/>
            <w:bookmarkEnd w:id="919"/>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0" w:name="xdx_98C_eus-gaap--ContractualObligationD"/>
            <w:bookmarkEnd w:id="920"/>
          </w:p>
        </w:tc>
        <w:tc>
          <w:tcPr>
            <w:tcW w:w="4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21" w:name="xdx_98B_eus-gaap--ContractualObligationD"/>
            <w:bookmarkEnd w:id="921"/>
          </w:p>
        </w:tc>
        <w:tc>
          <w:tcPr>
            <w:tcW w:w="4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2" w:name="xdx_98E_eus-gaap--ContractualObligation_"/>
            <w:bookmarkEnd w:id="92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4,143,527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3" w:name="xdx_989_ecustom--ContractualObligationDu"/>
            <w:bookmarkEnd w:id="923"/>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2,521,260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4" w:name="xdx_985_ecustom--ContractualObligationDu"/>
            <w:bookmarkEnd w:id="924"/>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1,622,267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5" w:name="xdx_988_eus-gaap--ContractualObligationD"/>
            <w:bookmarkEnd w:id="925"/>
          </w:p>
        </w:tc>
        <w:tc>
          <w:tcPr>
            <w:tcW w:w="4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26" w:name="xdx_988_eus-gaap--ContractualObligationD"/>
            <w:bookmarkEnd w:id="926"/>
          </w:p>
        </w:tc>
        <w:tc>
          <w:tcPr>
            <w:tcW w:w="4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27" w:name="xdx_8A4_z9VvV2v4dJze"/>
      <w:bookmarkEnd w:id="92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commitments with OSR relate to the office rent agreement and the ARLA while the commitments with AGC Biologics (“AGC”) relate to product manufacturing.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on operating leases is related to the non-lease insurance component of the Company’s auto lease agreement, which was entered into in February 2022 and has a term of four (4)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included future milestone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CMOs and CROs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 cancelable obligations of the Company’s vendors or third-party service providers, up to the date of cancellation. These payments are not included in the table above as the amount and timing of such payments are not 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OSR - San Raffaele Hospital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ARLA, the Company is obligated to carry out development activities using qualified and experienced professionals and sufficient level of resources. </w:t>
      </w:r>
      <w:bookmarkStart w:id="928" w:name="xdx_90B_eus-gaap--OtherCommitmentsDescri"/>
      <w:bookmarkEnd w:id="928"/>
      <w:r>
        <w:rPr>
          <w:rFonts w:ascii="Times New Roman;Times;Serif" w:hAnsi="Times New Roman;Times;Serif"/>
          <w:b w:val="false"/>
          <w:i w:val="false"/>
          <w:caps w:val="false"/>
          <w:smallCaps w:val="false"/>
          <w:sz w:val="20"/>
        </w:rPr>
        <w:t>In particular, consistent with the terms of the Original OSR License Agreement, the ARLA continues to require the Company to invest (a) at least €</w:t>
      </w:r>
      <w:bookmarkStart w:id="929" w:name="xdx_908_eus-gaap--InvestmentOwnedBalance"/>
      <w:bookmarkEnd w:id="929"/>
      <w:r>
        <w:rPr>
          <w:rFonts w:ascii="Times New Roman;Times;Serif" w:hAnsi="Times New Roman;Times;Serif"/>
          <w:b w:val="false"/>
          <w:i w:val="false"/>
          <w:caps w:val="false"/>
          <w:smallCaps w:val="false"/>
          <w:sz w:val="20"/>
        </w:rPr>
        <w:t>5,425,000 with respect to the development of the licensed products, and (b) at least €2,420,000 with respect to the manufacturing of such licensed products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w:t>
      </w:r>
      <w:bookmarkStart w:id="930" w:name="xdx_903_eus-gaap--CostsAndExpensesRelate"/>
      <w:bookmarkEnd w:id="930"/>
      <w:r>
        <w:rPr>
          <w:rFonts w:ascii="Times New Roman;Times;Serif" w:hAnsi="Times New Roman;Times;Serif"/>
          <w:b w:val="false"/>
          <w:i w:val="false"/>
          <w:caps w:val="false"/>
          <w:smallCaps w:val="false"/>
          <w:sz w:val="20"/>
        </w:rPr>
        <w:t>1.8 million, €</w:t>
      </w:r>
      <w:bookmarkStart w:id="931" w:name="xdx_904_eus-gaap--CostsAndExpensesRelate"/>
      <w:bookmarkEnd w:id="931"/>
      <w:r>
        <w:rPr>
          <w:rFonts w:ascii="Times New Roman;Times;Serif" w:hAnsi="Times New Roman;Times;Serif"/>
          <w:b w:val="false"/>
          <w:i w:val="false"/>
          <w:caps w:val="false"/>
          <w:smallCaps w:val="false"/>
          <w:sz w:val="20"/>
        </w:rPr>
        <w:t>2.5 million, and €</w:t>
      </w:r>
      <w:bookmarkStart w:id="932" w:name="xdx_904_eus-gaap--CostsAndExpensesRelate"/>
      <w:bookmarkEnd w:id="932"/>
      <w:r>
        <w:rPr>
          <w:rFonts w:ascii="Times New Roman;Times;Serif" w:hAnsi="Times New Roman;Times;Serif"/>
          <w:b w:val="false"/>
          <w:i w:val="false"/>
          <w:caps w:val="false"/>
          <w:smallCaps w:val="false"/>
          <w:sz w:val="20"/>
        </w:rPr>
        <w:t>1.3 million of expenses during the period ended December 31, 2024, 2023, and 2022, respectively. The cumulative expense to date is approximately €</w:t>
      </w:r>
      <w:bookmarkStart w:id="933" w:name="xdx_90C_eus-gaap--ManufacturingCosts_pn5"/>
      <w:bookmarkEnd w:id="933"/>
      <w:r>
        <w:rPr>
          <w:rFonts w:ascii="Times New Roman;Times;Serif" w:hAnsi="Times New Roman;Times;Serif"/>
          <w:b w:val="false"/>
          <w:i w:val="false"/>
          <w:caps w:val="false"/>
          <w:smallCaps w:val="false"/>
          <w:sz w:val="20"/>
        </w:rPr>
        <w:t>10.0 million, therefore, there is no residual commitment for the Company at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agreed to pay OSR royalties for four percent (</w:t>
      </w:r>
      <w:bookmarkStart w:id="934" w:name="xdx_903_ecustom--PercentageOfRoyalties_p"/>
      <w:bookmarkEnd w:id="934"/>
      <w:r>
        <w:rPr>
          <w:rFonts w:ascii="Times New Roman;Times;Serif" w:hAnsi="Times New Roman;Times;Serif"/>
          <w:b w:val="false"/>
          <w:i w:val="false"/>
          <w:caps w:val="false"/>
          <w:smallCaps w:val="false"/>
          <w:sz w:val="20"/>
        </w:rPr>
        <w:t>4%)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the Company’s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United States and certain E.U. countries, and achievement of certain net sales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events have occurred or have been achieved (and none are considered probable) to trigger any contingent payments under the ARLA during the period ended December 31, 2024. For information relating to the contingency payments or future milestones for these indications, please refer to Note 14 -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AGC Biologics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AGC agreement is non-cancelable, except in the case of breach of contract, and includes a potential milestone of €</w:t>
      </w:r>
      <w:bookmarkStart w:id="935" w:name="xdx_90E_ecustom--PotentialMilestone_pn5n"/>
      <w:bookmarkEnd w:id="935"/>
      <w:r>
        <w:rPr>
          <w:rFonts w:ascii="Times New Roman;Times;Serif" w:hAnsi="Times New Roman;Times;Serif"/>
          <w:b w:val="false"/>
          <w:i w:val="false"/>
          <w:caps w:val="false"/>
          <w:smallCaps w:val="false"/>
          <w:sz w:val="20"/>
        </w:rPr>
        <w:t xml:space="preserve">0.3 million if a phase 3 study is approved by the relevant authority, as well as potential royalty fees between </w:t>
      </w:r>
      <w:bookmarkStart w:id="936" w:name="xdx_908_ecustom--RoyaltyFeePercentage_pi"/>
      <w:bookmarkEnd w:id="936"/>
      <w:r>
        <w:rPr>
          <w:rFonts w:ascii="Times New Roman;Times;Serif" w:hAnsi="Times New Roman;Times;Serif"/>
          <w:b w:val="false"/>
          <w:i w:val="false"/>
          <w:caps w:val="false"/>
          <w:smallCaps w:val="false"/>
          <w:sz w:val="20"/>
        </w:rPr>
        <w:t xml:space="preserve">0.5% and </w:t>
      </w:r>
      <w:bookmarkStart w:id="937" w:name="xdx_90C_ecustom--RoyaltyFeePercentage_pi"/>
      <w:bookmarkEnd w:id="937"/>
      <w:r>
        <w:rPr>
          <w:rFonts w:ascii="Times New Roman;Times;Serif" w:hAnsi="Times New Roman;Times;Serif"/>
          <w:b w:val="false"/>
          <w:i w:val="false"/>
          <w:caps w:val="false"/>
          <w:smallCaps w:val="false"/>
          <w:sz w:val="20"/>
        </w:rPr>
        <w:t>1.0% depending on the volume of annual net sales of the first commercial and named patient sale of the product. In the AGC Agreement, the Company entrusts AGC with certain development activities that will allow the Company to carry out activities related to its clinical research and manufacturing. The AGC agreement also includes a technology transfer fee of €</w:t>
      </w:r>
      <w:bookmarkStart w:id="938" w:name="xdx_90D_ecustom--TechnologyTransferFee_p"/>
      <w:bookmarkEnd w:id="938"/>
      <w:r>
        <w:rPr>
          <w:rFonts w:ascii="Times New Roman;Times;Serif" w:hAnsi="Times New Roman;Times;Serif"/>
          <w:b w:val="false"/>
          <w:i w:val="false"/>
          <w:caps w:val="false"/>
          <w:smallCaps w:val="false"/>
          <w:sz w:val="20"/>
        </w:rPr>
        <w:t>0.5 million related to the transfer of the manufacturing know-how and €</w:t>
      </w:r>
      <w:bookmarkStart w:id="939" w:name="xdx_90F_eus-gaap--ManufacturingCosts_pn5"/>
      <w:bookmarkEnd w:id="939"/>
      <w:r>
        <w:rPr>
          <w:rFonts w:ascii="Times New Roman;Times;Serif" w:hAnsi="Times New Roman;Times;Serif"/>
          <w:b w:val="false"/>
          <w:i w:val="false"/>
          <w:caps w:val="false"/>
          <w:smallCaps w:val="false"/>
          <w:sz w:val="20"/>
        </w:rPr>
        <w:t>1.0 million related to the marketability approval by regulatory authorities. The agreement is a “pay-as-you-go” type arrangement with all services expensed in the period the services were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Company entered into Side Letter to the Framework Service Agreement with ACG Biologics to perform the manufacture of one (1) additional GMP batch of 24L INFa LV vector (TIA-126 LV) completed in November 2022, for €</w:t>
      </w:r>
      <w:bookmarkStart w:id="940" w:name="xdx_90C_eus-gaap--ManufacturingCosts_c20"/>
      <w:bookmarkEnd w:id="940"/>
      <w:r>
        <w:rPr>
          <w:rFonts w:ascii="Times New Roman;Times;Serif" w:hAnsi="Times New Roman;Times;Serif"/>
          <w:b w:val="false"/>
          <w:i w:val="false"/>
          <w:caps w:val="false"/>
          <w:smallCaps w:val="false"/>
          <w:sz w:val="20"/>
        </w:rPr>
        <w:t>311,280.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2022, the Company entered into Side Letter to the Master Service Agreement dated March 6, 2019 to negotiate a technology transfer agreement regarding the transfer and implementation of the manufacturing process in the AGC facility located in Bresso, Italy, including timeline, budget and the technology transfer protocol (the “Tech Transfer”) and AGC agreed with the Company to procure raw materials to be use under the Tech Transfer. At December 31, 2024, the project was completed.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2022, the Company signed respectively: (i) the Amendment No. 1 to the Master Service Agreement dated March 6, 2019 mainly to update the definition of raw materials; and (ii) a Process Transfer Agreement to agree on producing the raw materials necessary for the performance of the services related to the Tech Transfer for a total commitment of €</w:t>
      </w:r>
      <w:bookmarkStart w:id="941" w:name="xdx_900_eus-gaap--AdvancesOnInventoryPur"/>
      <w:bookmarkEnd w:id="941"/>
      <w:r>
        <w:rPr>
          <w:rFonts w:ascii="Times New Roman;Times;Serif" w:hAnsi="Times New Roman;Times;Serif"/>
          <w:b w:val="false"/>
          <w:i w:val="false"/>
          <w:caps w:val="false"/>
          <w:smallCaps w:val="false"/>
          <w:sz w:val="20"/>
        </w:rPr>
        <w:t xml:space="preserve">405,000 for raw materials, € </w:t>
      </w:r>
      <w:bookmarkStart w:id="942" w:name="xdx_90C_eus-gaap--OtherInventorySupplies"/>
      <w:bookmarkEnd w:id="942"/>
      <w:r>
        <w:rPr>
          <w:rFonts w:ascii="Times New Roman;Times;Serif" w:hAnsi="Times New Roman;Times;Serif"/>
          <w:b w:val="false"/>
          <w:i w:val="false"/>
          <w:caps w:val="false"/>
          <w:smallCaps w:val="false"/>
          <w:sz w:val="20"/>
        </w:rPr>
        <w:t>40,500 for handling and €</w:t>
      </w:r>
      <w:bookmarkStart w:id="943" w:name="xdx_907_eus-gaap--InventoryRawMaterials_"/>
      <w:bookmarkEnd w:id="943"/>
      <w:r>
        <w:rPr>
          <w:rFonts w:ascii="Times New Roman;Times;Serif" w:hAnsi="Times New Roman;Times;Serif"/>
          <w:b w:val="false"/>
          <w:i w:val="false"/>
          <w:caps w:val="false"/>
          <w:smallCaps w:val="false"/>
          <w:sz w:val="20"/>
        </w:rPr>
        <w:t>24,000 for the stability timepoints. At December 31, 2024, the project was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2023, the Company entered into a new Development and Manufacturing Service Agreement providing the framework under which AGC will provide services pursuant to one or more work statements to be entered into from time to time during the agreement term. Based on this agreement AGC will reserve slots in its facility on the basis of Genenta requirements for the product manufacturing. Each party retains sole ownership of any intellectual property owned or controlled by that party (i) as of the effective date or before the commencement of the services; or (ii) as a consequence of any activities of that party or its affiliates which are unconnected with the services performed hereunder (“Pre-Existing IPR”). The agreement may be terminated on the later of (a) the date that all stages under all work statements have been completed and (b) ten (10) years from the effective date, unless sooner terminated in case of material breach, in case of liquidation or default of any party. Genenta may also terminate the agreement or any stage of the services at any time before completion of the services or stage by giving no less than sixty (60) days’ notice in writing to AGC detailing the stages of the services that are to be terminated. In case of early termination payments are due to AGC for services performed up to and including the day of termination for all completed stages and for partially completed stages in an amount calculated on a pro-rata basis. Cancellation fees for any batch scheduled for manufacture are provided to the extent of </w:t>
      </w:r>
      <w:bookmarkStart w:id="944" w:name="xdx_90F_ecustom--CancellationFeesPercent"/>
      <w:bookmarkEnd w:id="944"/>
      <w:r>
        <w:rPr>
          <w:rFonts w:ascii="Times New Roman;Times;Serif" w:hAnsi="Times New Roman;Times;Serif"/>
          <w:b w:val="false"/>
          <w:i w:val="false"/>
          <w:caps w:val="false"/>
          <w:smallCaps w:val="false"/>
          <w:sz w:val="20"/>
        </w:rPr>
        <w:t xml:space="preserve">30% or </w:t>
      </w:r>
      <w:bookmarkStart w:id="945" w:name="xdx_903_ecustom--CancellationFeesPercent"/>
      <w:bookmarkEnd w:id="945"/>
      <w:r>
        <w:rPr>
          <w:rFonts w:ascii="Times New Roman;Times;Serif" w:hAnsi="Times New Roman;Times;Serif"/>
          <w:b w:val="false"/>
          <w:i w:val="false"/>
          <w:caps w:val="false"/>
          <w:smallCaps w:val="false"/>
          <w:sz w:val="20"/>
        </w:rPr>
        <w:t>50% of the relevant work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Manufacturing Service Agreement, work statements WS01, WS02, and WS03 have been issued for a total production value of approximately €</w:t>
      </w:r>
      <w:bookmarkStart w:id="946" w:name="xdx_907_eus-gaap--CostDirectMaterial_pn5"/>
      <w:bookmarkEnd w:id="946"/>
      <w:r>
        <w:rPr>
          <w:rFonts w:ascii="Times New Roman;Times;Serif" w:hAnsi="Times New Roman;Times;Serif"/>
          <w:b w:val="false"/>
          <w:i w:val="false"/>
          <w:caps w:val="false"/>
          <w:smallCaps w:val="false"/>
          <w:sz w:val="20"/>
        </w:rPr>
        <w:t>4.8 million, of which, as of December 31, 2024, around €</w:t>
      </w:r>
      <w:bookmarkStart w:id="947" w:name="xdx_90F_eus-gaap--InventoryRawMaterials_"/>
      <w:bookmarkEnd w:id="947"/>
      <w:r>
        <w:rPr>
          <w:rFonts w:ascii="Times New Roman;Times;Serif" w:hAnsi="Times New Roman;Times;Serif"/>
          <w:b w:val="false"/>
          <w:i w:val="false"/>
          <w:caps w:val="false"/>
          <w:smallCaps w:val="false"/>
          <w:sz w:val="20"/>
        </w:rPr>
        <w:t>0.9 million still remains to be executed.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entered into purchase orders n. 41 and 42 under the Master Service Agreement dated March 6, 2019 as amended in December 2022, for a total amount of approximately €</w:t>
      </w:r>
      <w:bookmarkStart w:id="948" w:name="xdx_90E_eus-gaap--ProductionCosts_pn5n6_"/>
      <w:bookmarkEnd w:id="948"/>
      <w:r>
        <w:rPr>
          <w:rFonts w:ascii="Times New Roman;Times;Serif" w:hAnsi="Times New Roman;Times;Serif"/>
          <w:b w:val="false"/>
          <w:i w:val="false"/>
          <w:caps w:val="false"/>
          <w:smallCaps w:val="false"/>
          <w:sz w:val="20"/>
        </w:rPr>
        <w:t>0.2 million. At December 31, 2024 the production activity was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Genenta and AGC reached an agreement to renew the Master Service Agreement (MSA) originally signed in March 2019. Initially, the same agreement was temporarily extended until June 2025 to allow for better definition of the scope and terms of the new MSA, which was signed with effect from December 24,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MSA is an open-ended agreement with no specific expiration date, as its term is tied to the completion of any service phase, or work statement (“WS”), starting with WS01.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 provided by AGC includes activities of manufacturing, testing, and release of Cell Therapy Drug Product using an Exclusive GMP Suite (“EGS”) and a dedicated team (“EGS Team”). The service is remunerated through monthly fees that primarily cover the costs of the suite and the dedicated team, in addition to direct production costs for materials and other accessories if applicable. AGC retains control over both the logistical and organizational aspects of the service, as well as the operational aspects related to the hiring, training, and coordination of personnel. AGC also remains solely responsible for fulfilling any remuneration and social security obligations toward its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WS01 includes two main phases: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initial Ramp-Up Phase with an estimated duration of 6 months, starting on February 1, 2025 (start of activities) and ending on August 1, 2025.</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Routine Phase, which is scheduled to begin on the first day of the subsequent month after the completion of the Ramp-Up Phase (specifically, after the receipt of authorization from the Regulatory Agency (“AIFA”) to use the Exclusive Suite and the successful completion of the training of personnel assigned to the dedicated team).</w:t>
            </w:r>
          </w:p>
        </w:tc>
      </w:tr>
    </w:tbl>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this schedule or work statement by providing twelve (12) months’ prior written notice to AGC. However, such notice cannot be issued before the sixth (6th) month anniversary of the Ramp-Up Phase commencement date (for clarity, the notice must not be sent before August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contractual provisions, as of December 31, 2024, the Company has a commitment of approximately €</w:t>
      </w:r>
      <w:bookmarkStart w:id="949" w:name="xdx_907_eus-gaap--ProductionCosts_pn5n6_"/>
      <w:bookmarkEnd w:id="949"/>
      <w:r>
        <w:rPr>
          <w:rFonts w:ascii="Times New Roman;Times;Serif" w:hAnsi="Times New Roman;Times;Serif"/>
          <w:b w:val="false"/>
          <w:i w:val="false"/>
          <w:caps w:val="false"/>
          <w:smallCaps w:val="false"/>
          <w:sz w:val="20"/>
        </w:rPr>
        <w:t>3.5 million, and since the agreement was signed in December 2024, the commencement date of this agreement is February 2025. The Company is determining if the agreement qualifies as an operating lease under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2019, the Company began a six-year non-cancelable (and renewable for further six (6) years until December 1, 2026) lease agreement for office space with OSR. Withdrawal is allowed from the fourth year with a notice of 12 months. After the initial expiration date, the contract is automatically renewed for an additional six (6) years. As of December 31, 2024, neither party has communicated any termination of the lease agreement, which is therefore considered renewed until December 2031, subject to any potential earlier resignation.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annual rent amounts to approximately €</w:t>
      </w:r>
      <w:bookmarkStart w:id="950" w:name="xdx_90A_eus-gaap--PaymentsForRent_c20240"/>
      <w:bookmarkEnd w:id="950"/>
      <w:r>
        <w:rPr>
          <w:rFonts w:ascii="Times New Roman;Times;Serif" w:hAnsi="Times New Roman;Times;Serif"/>
          <w:b w:val="false"/>
          <w:i w:val="false"/>
          <w:caps w:val="false"/>
          <w:smallCaps w:val="false"/>
          <w:sz w:val="20"/>
        </w:rPr>
        <w:t>15,000, at December 31, 2024, outstanding minimum payments amount to approximately €</w:t>
      </w:r>
      <w:bookmarkStart w:id="951" w:name="xdx_90B_eus-gaap--LeaseCost_c20240101__2"/>
      <w:bookmarkEnd w:id="951"/>
      <w:r>
        <w:rPr>
          <w:rFonts w:ascii="Times New Roman;Times;Serif" w:hAnsi="Times New Roman;Times;Serif"/>
          <w:b w:val="false"/>
          <w:i w:val="false"/>
          <w:caps w:val="false"/>
          <w:smallCaps w:val="false"/>
          <w:sz w:val="20"/>
        </w:rPr>
        <w:t>15,000 until December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party to any material legal proceedings. At each reporting date, the Company evaluates whether a potential loss or a potential range of loss is probable and reasonably estimable under the provisions of ASC 450,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2" w:name="xdx_80D_eus-gaap--SubsequentEventsTextBl"/>
      <w:bookmarkEnd w:id="952"/>
      <w:r>
        <w:rPr>
          <w:rFonts w:ascii="Times New Roman;Times;Serif" w:hAnsi="Times New Roman;Times;Serif"/>
          <w:b/>
          <w:i w:val="false"/>
          <w:caps w:val="false"/>
          <w:smallCaps w:val="false"/>
          <w:sz w:val="20"/>
        </w:rPr>
        <w:t xml:space="preserve">16. </w:t>
      </w:r>
      <w:bookmarkStart w:id="953" w:name="xdx_82C_zI6NhpZt07ge"/>
      <w:bookmarkEnd w:id="953"/>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AGC Biologics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and AGC Biologics S.p.A. (“AGC”) entered into a Project Change Order (“PCO”) n. 6 for Work Statement 02 (“WS02”), project number 1486-04, under the Master Service Agreement (“MSA”) dated January 20, 2023 and WS02 dated February 2, 2023. The change order consists of changes in the addition of one 24CF/48 L GMP LVV Manufacturing and Release process. The batch will be executed according to AGC platform process with an estimated timeline of six (6) months for completion, including reporting results. The activity is expected to be completed by June 2025, and the order is not cancellable. The cost of the service under this PCO, including the manufacturing and release of one additional batch, as well as materials, external testing, and other external costs, is estimated at approximately €</w:t>
      </w:r>
      <w:bookmarkStart w:id="954" w:name="xdx_90F_eus-gaap--CostOfGoodsAndServices"/>
      <w:bookmarkEnd w:id="954"/>
      <w:r>
        <w:rPr>
          <w:rFonts w:ascii="Times New Roman;Times;Serif" w:hAnsi="Times New Roman;Times;Serif"/>
          <w:b w:val="false"/>
          <w:i w:val="false"/>
          <w:caps w:val="false"/>
          <w:smallCaps w:val="false"/>
          <w:sz w:val="20"/>
        </w:rPr>
        <w:t>0.6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Mandatory Convertible Bond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the Company and Fondazione Enea Tech e Biomedical (“Enea”), a private law foundation subject to the supervision of the Ministry of Enterprises and Made in Italy, entered into a Subscription Agreement (the “Subscription Agreement”) providing for the subscription of a mandatory convertible bond loan denominated “MANDATORY CONVERTIBLE LOAN GENENTA 2025-2028” (the “Mandatory Convertible Bond”) by Enea, with an aggregate nominal value of up to €</w:t>
      </w:r>
      <w:bookmarkStart w:id="955" w:name="xdx_909_eus-gaap--DebtInstrumentFaceAmou"/>
      <w:bookmarkEnd w:id="955"/>
      <w:r>
        <w:rPr>
          <w:rFonts w:ascii="Times New Roman;Times;Serif" w:hAnsi="Times New Roman;Times;Serif"/>
          <w:b w:val="false"/>
          <w:i w:val="false"/>
          <w:caps w:val="false"/>
          <w:smallCaps w:val="false"/>
          <w:sz w:val="20"/>
        </w:rPr>
        <w:t xml:space="preserve">20 million and consisting of up to a total of </w:t>
      </w:r>
      <w:bookmarkStart w:id="956" w:name="xdx_90F_ecustom--NumberOfBonds_iI_pid_uI"/>
      <w:bookmarkEnd w:id="956"/>
      <w:r>
        <w:rPr>
          <w:rFonts w:ascii="Times New Roman;Times;Serif" w:hAnsi="Times New Roman;Times;Serif"/>
          <w:b w:val="false"/>
          <w:i w:val="false"/>
          <w:caps w:val="false"/>
          <w:smallCaps w:val="false"/>
          <w:sz w:val="20"/>
        </w:rPr>
        <w:t>2,000 bonds (the “Convertible Bonds”), each with a nominal value of €</w:t>
      </w:r>
      <w:bookmarkStart w:id="957" w:name="xdx_90E_eus-gaap--DebtInstrumentFaceAmou"/>
      <w:bookmarkEnd w:id="957"/>
      <w:r>
        <w:rPr>
          <w:rFonts w:ascii="Times New Roman;Times;Serif" w:hAnsi="Times New Roman;Times;Serif"/>
          <w:b w:val="false"/>
          <w:i w:val="false"/>
          <w:caps w:val="false"/>
          <w:smallCaps w:val="false"/>
          <w:sz w:val="20"/>
        </w:rPr>
        <w:t>10,000 (the “Nominal Value”), to be issued in two tranches by the Company at an issue price per unit equal to €</w:t>
      </w:r>
      <w:bookmarkStart w:id="958" w:name="xdx_903_ecustom--DebtInstrumentIssuePric"/>
      <w:bookmarkEnd w:id="958"/>
      <w:r>
        <w:rPr>
          <w:rFonts w:ascii="Times New Roman;Times;Serif" w:hAnsi="Times New Roman;Times;Serif"/>
          <w:b w:val="false"/>
          <w:i w:val="false"/>
          <w:caps w:val="false"/>
          <w:smallCaps w:val="false"/>
          <w:sz w:val="20"/>
        </w:rPr>
        <w:t>10,000 for 100% of the Nominal Value. The Subscription Agreement contains certain representations and warranties and covenants of the parties and conditions precedent to the issuance of the Convertible Bonds, and the terms and conditions of the Mandatory Convertible Bond are governed by the Regulation of the Mandatory Convertible Bond Loan Denominated “Mandatory Convertible Loan Genenta 2025-2028” (the “Bond Regulation”).</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consist of two tranches: an initial tranche in the amount of €</w:t>
      </w:r>
      <w:bookmarkStart w:id="959" w:name="xdx_904_ecustom--PaymentForBonds_c202505"/>
      <w:bookmarkEnd w:id="959"/>
      <w:r>
        <w:rPr>
          <w:rFonts w:ascii="Times New Roman;Times;Serif" w:hAnsi="Times New Roman;Times;Serif"/>
          <w:b w:val="false"/>
          <w:i w:val="false"/>
          <w:caps w:val="false"/>
          <w:smallCaps w:val="false"/>
          <w:sz w:val="20"/>
        </w:rPr>
        <w:t>7,500,000 (the “First Tranche”) issued on March 19, 2025 (the “First Tranche Issue Date”) and a subsequent tranche in the amount of €</w:t>
      </w:r>
      <w:bookmarkStart w:id="960" w:name="xdx_905_ecustom--PaymentForBonds_c202609"/>
      <w:bookmarkEnd w:id="960"/>
      <w:r>
        <w:rPr>
          <w:rFonts w:ascii="Times New Roman;Times;Serif" w:hAnsi="Times New Roman;Times;Serif"/>
          <w:b w:val="false"/>
          <w:i w:val="false"/>
          <w:caps w:val="false"/>
          <w:smallCaps w:val="false"/>
          <w:sz w:val="20"/>
        </w:rPr>
        <w:t>12,500,000 (the “Second Tranche”) to be issued by September 19, 2026 (the “Second Tranche Issue Date” and, together with the First Tranche Issue Date, each an “Issue Date”). The issuance of the Second Tranche on the Second Tranche Issue Date is subject to a number of conditions precedent, including: (i) the Company’s achievement of safety and tolerability on the project on research and creation of new therapeutic products for the prevention and treatment of oncological pathologies and, in particular, for the development of Temferon cell and gene therapy for the clinical indication of renal cancer in a phase 1 and phase 2 clinical trial in the so-called Renal Cell Cancer Trial by using gene-based cytokine delivery to activate the immune system within the tumor (the “Project”), which is considered to have been achieved following verification and certification by an independent scientific advisor appointed by Enea (the “Scientific Advisor”), (ii) the approval by the Italian Medicines Agency (Agenzia Italiana del Farmaco) (“AIFA”) of the phase 2 clinical trial referred to in the Project and (iii) the completion of investment transactions in the Company’s share capital through the issuance of shares, convertible bonds, warrants or similar instruments for a total aggregate amount of €</w:t>
      </w:r>
      <w:bookmarkStart w:id="961" w:name="xdx_90D_eus-gaap--Capital_iI_c20250312__"/>
      <w:bookmarkEnd w:id="961"/>
      <w:r>
        <w:rPr>
          <w:rFonts w:ascii="Times New Roman;Times;Serif" w:hAnsi="Times New Roman;Times;Serif"/>
          <w:b w:val="false"/>
          <w:i w:val="false"/>
          <w:caps w:val="false"/>
          <w:smallCaps w:val="false"/>
          <w:sz w:val="20"/>
        </w:rPr>
        <w:t>32,500,000.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will automatically convert into ordinary shares of the Company (the “Conversion Shares”) on the earlier of (i) the occurrence of either (x) a Change of Control, which is defined as an acquisition by a person or group of persons not currently controlling the Company of more than 50% of the Company’s issued share capital with voting rights or a takeover bid and/or exchange offer launched on all of the Company’s outstanding ordinary shares and American depositary shares (“ADSs”) or (y) the completion of an Investment Round, which is defined as any further investment transactions in the Company’s share capital through the issuance of shares, convertible bonds, warrants or similar instruments for a total aggregate amount of €</w:t>
      </w:r>
      <w:bookmarkStart w:id="962" w:name="xdx_902_eus-gaap--DebtInstrumentFaceAmou"/>
      <w:bookmarkEnd w:id="962"/>
      <w:r>
        <w:rPr>
          <w:rFonts w:ascii="Times New Roman;Times;Serif" w:hAnsi="Times New Roman;Times;Serif"/>
          <w:b w:val="false"/>
          <w:i w:val="false"/>
          <w:caps w:val="false"/>
          <w:smallCaps w:val="false"/>
          <w:sz w:val="20"/>
        </w:rPr>
        <w:t>50,000,000 (the “Early Conversion Date” and, together with the Maturity Date, each a “Conversion Date”) and (ii) three years after the First Tranche Issue Date (the “Maturity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Bonds will bear interest at a fixed annual nominal rate calculated on the Nominal Value before withholding tax, to be paid in arrears in a lump-sum amount no later than five business days after either the Early Conversion Date or the Maturity Date, with the Company having the option to pay Enea in (i) ordinary shares of the Company calculated at an interest rate equivalent to </w:t>
      </w:r>
      <w:bookmarkStart w:id="963" w:name="xdx_909_eus-gaap--DebtInstrumentInterest"/>
      <w:bookmarkEnd w:id="963"/>
      <w:r>
        <w:rPr>
          <w:rFonts w:ascii="Times New Roman;Times;Serif" w:hAnsi="Times New Roman;Times;Serif"/>
          <w:b w:val="false"/>
          <w:i w:val="false"/>
          <w:caps w:val="false"/>
          <w:smallCaps w:val="false"/>
          <w:sz w:val="20"/>
        </w:rPr>
        <w:t xml:space="preserve">6% on the Nominal Value or (ii) cash at an interest rate equivalent to </w:t>
      </w:r>
      <w:bookmarkStart w:id="964" w:name="xdx_90B_eus-gaap--InvestmentInterestRate"/>
      <w:bookmarkEnd w:id="964"/>
      <w:r>
        <w:rPr>
          <w:rFonts w:ascii="Times New Roman;Times;Serif" w:hAnsi="Times New Roman;Times;Serif"/>
          <w:b w:val="false"/>
          <w:i w:val="false"/>
          <w:caps w:val="false"/>
          <w:smallCaps w:val="false"/>
          <w:sz w:val="20"/>
        </w:rPr>
        <w:t>4% calculated on the Nominal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conversion of the Convertible Bonds at the Maturity Date, the conversion price (the “Ordinary Conversion Price”) will be determined as follows: </w:t>
      </w:r>
      <w:bookmarkStart w:id="965" w:name="xdx_90F_eus-gaap--DebtInstrumentDescript"/>
      <w:bookmarkEnd w:id="965"/>
      <w:r>
        <w:rPr>
          <w:rFonts w:ascii="Times New Roman;Times;Serif" w:hAnsi="Times New Roman;Times;Serif"/>
          <w:b w:val="false"/>
          <w:i w:val="false"/>
          <w:caps w:val="false"/>
          <w:smallCaps w:val="false"/>
          <w:sz w:val="20"/>
        </w:rPr>
        <w:t>(i) 55% of the Ordinary Conversion Price will be represented by the weighted average of the official prices of the Company’s ADSs recorded on the Nasdaq Capital Market in the 90 days preceding the Maturity Date; and (ii) 45% of the Ordinary Conversion Price will be represented by the fair market value of the Company’s ordinary shares determined by an independent financial advisor appointed by Enea (the “Advisor”), according to criteria used internationally for the valuation of companies comparable to the Company and, in particular, the criteria of the so-called “Free Cash Flow Method” and “Venture Capital Method” and, in any case, in compliance with the relevant provisions of Art. 2441(6) of the Italian Civil Code (“Fair Market Value”). A discount will be applied to the Ordinary Conversion Price equal to (i) 6% of the Ordinary Conversion Price, if the Ordinary Conversion Price is equal to or greater than 50% of the weighted average of the official prices of the ADSs recorded on the Nasdaq Capital Market during the 90 days preceding the First Tranche Issue Date; and (ii) 3% of the Ordinary Conversion Price, if the Ordinary Conversion Price is less than 50% of the weighted average of the official prices of the ADSs recorded on the Nasdaq Capital Market in the 90 days preceding the First Tranche Issue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conversion of the Convertible Bonds at the Early Conversion Date, the conversion price (the “Early Conversion Price” and, together with the Ordinary Conversion Price, each a “Conversion Price”) will be determined as follows: (a) in the event of a Change of Control: </w:t>
      </w:r>
      <w:bookmarkStart w:id="966" w:name="xdx_908_eus-gaap--DebtConversionDescript"/>
      <w:bookmarkEnd w:id="966"/>
      <w:r>
        <w:rPr>
          <w:rFonts w:ascii="Times New Roman;Times;Serif" w:hAnsi="Times New Roman;Times;Serif"/>
          <w:b w:val="false"/>
          <w:i w:val="false"/>
          <w:caps w:val="false"/>
          <w:smallCaps w:val="false"/>
          <w:sz w:val="20"/>
        </w:rPr>
        <w:t>(i) 55% of the Early Conversion Price will be represented by the weighted average of the official prices of the Company’s ADSs recorded on the Nasdaq Capital Market in the 90 days preceding the Early Conversion Date; and (ii) 45% of the Early Conversion Price will be represented by the official price of the takeover and/or exchange offer; and (b) in the event that, from the First Tranche Issue Date and prior to the Conversion Date, an Investment Round occurs, a discount equal to 10% of the price of the shares actually applied in the subscription and payment of the portion of the capital increase relating to the Investment Round which resulted in the aggregate amount of the Investment Round of €50,000,000 being reached or exceeded will be applied to the Early Conversion Price. In no event will the Conversion Price exceed $17.64 per ordinary share of the Company.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Conversion Shares that will be issued upon conversion of the Convertible Bonds (the “Conversion Ratio”) will be calculated by dividing the sum of the Nominal Value of and, if the Company decides to pay interest in ordinary shares as describe above, the accrued interest on the Convertible Bonds, divided by the Conversion Price. The Conversion Ratio is subject to adjustment upon certain extraordinary transactions as set forth in the Bond Regulation. Further, in no event will the application of the Conversion Ratio result in the allotment of a number of Conversion Shares representing an interest in the Company’s share capital on the Conversion Date in excess of 29%. In addition, the Bond Regulation provides that the Conversion Shares will be subject to a lock-up period of two years following the Conversion Date (the “Lock-Up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Agreement provides that the Company and Enea will establish a project committee for the purpose of monitoring and overseeing the Company’s research and development project for new therapeutic products for the prevention and treatment of renal cell cancer by using gene-based cytokine delivery to activate the immune system within the tumor, which will remain in effect until the completion of the activities related to the phase 2 trial of the Project. In addition, upon Enea receiving the Conversion Shares, the Subscription Agreement provides that Enea will have the right, but not the obligation, to appoint an observer to the Company’s Board of Directors (the “Observer”) at any time for the duration of the Lock-Up Period. The Observer will have the right to attend and participate at the Company’s meetings of its Board of Directors, and access documents presented and exchanged at such meetings, but will not have any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 Regulation contains certain events of default that entitle Enea to demand the early redemption of the Convertible Bonds for a cash amount equal to 100% of the total amount thereof. These events of default include the Company’s failure to complete an investment of up to €</w:t>
      </w:r>
      <w:bookmarkStart w:id="967" w:name="xdx_906_eus-gaap--Investments_iI_c202503"/>
      <w:bookmarkEnd w:id="967"/>
      <w:r>
        <w:rPr>
          <w:rFonts w:ascii="Times New Roman;Times;Serif" w:hAnsi="Times New Roman;Times;Serif"/>
          <w:b w:val="false"/>
          <w:i w:val="false"/>
          <w:caps w:val="false"/>
          <w:smallCaps w:val="false"/>
          <w:sz w:val="20"/>
        </w:rPr>
        <w:t>7,500,000 in accordance with the Company’s operating plan (the “Plan”) for the Project, certain suspensions or interruptions of the Project, certain failures of the Company to comply with the Plan, certain failures of the Company to comply with its reporting obligations to Enea, the delisting of the Company’s ADSs, if the Company’s auditor expresses an adverse opinion or states that it cannot express an opinion on the Company’s financial statements, certain cross defaults in excess of €</w:t>
      </w:r>
      <w:bookmarkStart w:id="968" w:name="xdx_90D_ecustom--ProvisionOfBondIndentur"/>
      <w:bookmarkEnd w:id="968"/>
      <w:r>
        <w:rPr>
          <w:rFonts w:ascii="Times New Roman;Times;Serif" w:hAnsi="Times New Roman;Times;Serif"/>
          <w:b w:val="false"/>
          <w:i w:val="false"/>
          <w:caps w:val="false"/>
          <w:smallCaps w:val="false"/>
          <w:sz w:val="20"/>
        </w:rPr>
        <w:t>1,500,000 and certain material adverse changes in relation to the continuation of the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Bonds and the Conversion Shares have been and will be issued in offshore transactions exempt for registration pursuant to Regulation 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Proceeds from ATM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20, 2025, the Company issued </w:t>
      </w:r>
      <w:bookmarkStart w:id="969" w:name="xdx_907_eus-gaap--SharesIssued_iI_c20250"/>
      <w:bookmarkEnd w:id="969"/>
      <w:r>
        <w:rPr>
          <w:rFonts w:ascii="Times New Roman;Times;Serif" w:hAnsi="Times New Roman;Times;Serif"/>
          <w:b w:val="false"/>
          <w:i w:val="false"/>
          <w:caps w:val="false"/>
          <w:smallCaps w:val="false"/>
          <w:sz w:val="20"/>
        </w:rPr>
        <w:t>856,602 ADSs for net proceeds of approximately €</w:t>
      </w:r>
      <w:bookmarkStart w:id="970" w:name="xdx_90F_eus-gaap--StockIssued1_c20250320"/>
      <w:bookmarkEnd w:id="970"/>
      <w:r>
        <w:rPr>
          <w:rFonts w:ascii="Times New Roman;Times;Serif" w:hAnsi="Times New Roman;Times;Serif"/>
          <w:b w:val="false"/>
          <w:i w:val="false"/>
          <w:caps w:val="false"/>
          <w:smallCaps w:val="false"/>
          <w:sz w:val="20"/>
        </w:rPr>
        <w:t>2,977,100 (or approximately $</w:t>
      </w:r>
      <w:bookmarkStart w:id="971" w:name="xdx_90A_eus-gaap--StockIssued1_uUSD_c202"/>
      <w:bookmarkEnd w:id="971"/>
      <w:r>
        <w:rPr>
          <w:rFonts w:ascii="Times New Roman;Times;Serif" w:hAnsi="Times New Roman;Times;Serif"/>
          <w:b w:val="false"/>
          <w:i w:val="false"/>
          <w:caps w:val="false"/>
          <w:smallCaps w:val="false"/>
          <w:sz w:val="20"/>
        </w:rPr>
        <w:t xml:space="preserve">3,222,900), bringing the total number of ordinary shares outstanding to </w:t>
      </w:r>
      <w:bookmarkStart w:id="972" w:name="xdx_909_eus-gaap--CommonStockSharesOutst"/>
      <w:bookmarkEnd w:id="972"/>
      <w:r>
        <w:rPr>
          <w:rFonts w:ascii="Times New Roman;Times;Serif" w:hAnsi="Times New Roman;Times;Serif"/>
          <w:b w:val="false"/>
          <w:i w:val="false"/>
          <w:caps w:val="false"/>
          <w:smallCaps w:val="false"/>
          <w:sz w:val="20"/>
        </w:rPr>
        <w:t>19,146,468, pursuant to the Sales Agreement in place with Rodman &amp; Renshaw and Virtu Capital.</w:t>
      </w:r>
    </w:p>
    <w:p>
      <w:pPr>
        <w:pStyle w:val="TextBody"/>
        <w:bidi w:val="0"/>
        <w:spacing w:before="0" w:after="0"/>
        <w:ind w:left="0" w:right="0" w:firstLine="720"/>
        <w:jc w:val="both"/>
        <w:rPr>
          <w:caps w:val="false"/>
          <w:smallCaps w:val="false"/>
        </w:rPr>
      </w:pPr>
      <w:bookmarkStart w:id="973" w:name="xdx_81F_zmM8MPX9Iki7"/>
      <w:bookmarkEnd w:id="97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974" w:name="ex2-4.htm"/>
      <w:bookmarkStart w:id="975" w:name="ksex24"/>
      <w:bookmarkEnd w:id="974"/>
      <w:bookmarkEnd w:id="97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SECURITIES REGISTERED UNDER SECTION 12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Genenta Science S.p.A. (the “Company,” “we,” “us,” and “our”) had the following classes of 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60"/>
        <w:gridCol w:w="5782"/>
        <w:gridCol w:w="60"/>
        <w:gridCol w:w="1417"/>
        <w:gridCol w:w="60"/>
        <w:gridCol w:w="2476"/>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2" w:type="dxa"/>
            <w:tcBorders>
              <w:bottom w:val="single" w:sz="8" w:space="0" w:color="000000"/>
            </w:tcBorders>
            <w:tcMar>
              <w:bottom w:w="28" w:type="dxa"/>
            </w:tcMar>
            <w:vAlign w:val="center"/>
          </w:tcPr>
          <w:p>
            <w:pPr>
              <w:pStyle w:val="TableContents"/>
              <w:bidi w:val="0"/>
              <w:spacing w:before="0" w:after="283"/>
              <w:jc w:val="left"/>
              <w:rPr>
                <w:b/>
              </w:rPr>
            </w:pPr>
            <w:r>
              <w:rPr>
                <w:b/>
              </w:rPr>
              <w:t>Title of each class</w:t>
            </w:r>
          </w:p>
        </w:tc>
        <w:tc>
          <w:tcPr>
            <w:tcW w:w="60" w:type="dxa"/>
            <w:tcBorders/>
            <w:vAlign w:val="center"/>
          </w:tcPr>
          <w:p>
            <w:pPr>
              <w:pStyle w:val="TableContents"/>
              <w:bidi w:val="0"/>
              <w:spacing w:before="0" w:after="283"/>
              <w:jc w:val="left"/>
              <w:rPr/>
            </w:pPr>
            <w:r>
              <w:rPr/>
              <w:t> </w:t>
            </w:r>
          </w:p>
        </w:tc>
        <w:tc>
          <w:tcPr>
            <w:tcW w:w="1417" w:type="dxa"/>
            <w:tcBorders>
              <w:bottom w:val="single" w:sz="8" w:space="0" w:color="000000"/>
            </w:tcBorders>
            <w:tcMar>
              <w:bottom w:w="28" w:type="dxa"/>
            </w:tcMar>
            <w:vAlign w:val="center"/>
          </w:tcPr>
          <w:p>
            <w:pPr>
              <w:pStyle w:val="TableContents"/>
              <w:bidi w:val="0"/>
              <w:spacing w:before="0" w:after="283"/>
              <w:jc w:val="left"/>
              <w:rPr>
                <w:b/>
              </w:rPr>
            </w:pPr>
            <w:r>
              <w:rPr>
                <w:b/>
              </w:rPr>
              <w:t>Trading symbol</w:t>
            </w:r>
          </w:p>
        </w:tc>
        <w:tc>
          <w:tcPr>
            <w:tcW w:w="60" w:type="dxa"/>
            <w:tcBorders/>
            <w:vAlign w:val="center"/>
          </w:tcPr>
          <w:p>
            <w:pPr>
              <w:pStyle w:val="TableContents"/>
              <w:bidi w:val="0"/>
              <w:spacing w:before="0" w:after="283"/>
              <w:jc w:val="left"/>
              <w:rPr/>
            </w:pPr>
            <w:r>
              <w:rPr/>
              <w:t> </w:t>
            </w:r>
          </w:p>
        </w:tc>
        <w:tc>
          <w:tcPr>
            <w:tcW w:w="2476" w:type="dxa"/>
            <w:tcBorders>
              <w:bottom w:val="single" w:sz="8" w:space="0" w:color="000000"/>
            </w:tcBorders>
            <w:tcMar>
              <w:bottom w:w="28" w:type="dxa"/>
            </w:tcMar>
            <w:vAlign w:val="center"/>
          </w:tcPr>
          <w:p>
            <w:pPr>
              <w:pStyle w:val="TableContents"/>
              <w:bidi w:val="0"/>
              <w:spacing w:before="0" w:after="283"/>
              <w:jc w:val="left"/>
              <w:rPr>
                <w:b/>
              </w:rPr>
            </w:pPr>
            <w:r>
              <w:rPr>
                <w:b/>
              </w:rPr>
              <w:t>Name of each exchange</w:t>
              <w:br/>
              <w:t>on which registered</w:t>
            </w:r>
          </w:p>
        </w:tc>
      </w:tr>
      <w:tr>
        <w:trPr/>
        <w:tc>
          <w:tcPr>
            <w:tcW w:w="7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82" w:type="dxa"/>
            <w:tcBorders/>
            <w:shd w:fill="CCEEFF" w:val="clear"/>
            <w:vAlign w:val="center"/>
          </w:tcPr>
          <w:p>
            <w:pPr>
              <w:pStyle w:val="TableContents"/>
              <w:bidi w:val="0"/>
              <w:spacing w:before="0" w:after="283"/>
              <w:jc w:val="left"/>
              <w:rPr/>
            </w:pPr>
            <w:r>
              <w:rPr/>
              <w:t>Ordinary Shares, with no par value *</w:t>
            </w:r>
          </w:p>
        </w:tc>
        <w:tc>
          <w:tcPr>
            <w:tcW w:w="60"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6" w:type="dxa"/>
            <w:tcBorders/>
            <w:shd w:fill="CCEEFF" w:val="clear"/>
            <w:vAlign w:val="center"/>
          </w:tcPr>
          <w:p>
            <w:pPr>
              <w:pStyle w:val="TableContents"/>
              <w:bidi w:val="0"/>
              <w:spacing w:before="0" w:after="283"/>
              <w:jc w:val="left"/>
              <w:rPr/>
            </w:pPr>
            <w:r>
              <w:rPr/>
              <w:t>The Nasdaq Stock Market LLC</w:t>
            </w:r>
          </w:p>
        </w:tc>
      </w:tr>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82" w:type="dxa"/>
            <w:tcBorders/>
            <w:vAlign w:val="center"/>
          </w:tcPr>
          <w:p>
            <w:pPr>
              <w:pStyle w:val="TableContents"/>
              <w:bidi w:val="0"/>
              <w:spacing w:before="0" w:after="283"/>
              <w:jc w:val="left"/>
              <w:rPr/>
            </w:pPr>
            <w:r>
              <w:rPr/>
              <w:t>American Depositary Shares, or ADSs,** each representing one Ordinary Share</w:t>
            </w:r>
          </w:p>
        </w:tc>
        <w:tc>
          <w:tcPr>
            <w:tcW w:w="60" w:type="dxa"/>
            <w:tcBorders/>
            <w:vAlign w:val="center"/>
          </w:tcPr>
          <w:p>
            <w:pPr>
              <w:pStyle w:val="TableContents"/>
              <w:bidi w:val="0"/>
              <w:spacing w:before="0" w:after="283"/>
              <w:jc w:val="left"/>
              <w:rPr/>
            </w:pPr>
            <w:r>
              <w:rPr/>
              <w:t> </w:t>
            </w:r>
          </w:p>
        </w:tc>
        <w:tc>
          <w:tcPr>
            <w:tcW w:w="1417" w:type="dxa"/>
            <w:tcBorders/>
            <w:vAlign w:val="center"/>
          </w:tcPr>
          <w:p>
            <w:pPr>
              <w:pStyle w:val="TableContents"/>
              <w:bidi w:val="0"/>
              <w:spacing w:before="0" w:after="283"/>
              <w:jc w:val="left"/>
              <w:rPr/>
            </w:pPr>
            <w:r>
              <w:rPr/>
              <w:t>GNTA</w:t>
            </w:r>
          </w:p>
        </w:tc>
        <w:tc>
          <w:tcPr>
            <w:tcW w:w="60" w:type="dxa"/>
            <w:tcBorders/>
            <w:vAlign w:val="center"/>
          </w:tcPr>
          <w:p>
            <w:pPr>
              <w:pStyle w:val="TableContents"/>
              <w:bidi w:val="0"/>
              <w:spacing w:before="0" w:after="283"/>
              <w:jc w:val="left"/>
              <w:rPr/>
            </w:pPr>
            <w:r>
              <w:rPr/>
              <w:t> </w:t>
            </w:r>
          </w:p>
        </w:tc>
        <w:tc>
          <w:tcPr>
            <w:tcW w:w="2476" w:type="dxa"/>
            <w:tcBorders/>
            <w:vAlign w:val="center"/>
          </w:tcPr>
          <w:p>
            <w:pPr>
              <w:pStyle w:val="TableContents"/>
              <w:bidi w:val="0"/>
              <w:spacing w:before="0" w:after="283"/>
              <w:jc w:val="left"/>
              <w:rPr/>
            </w:pPr>
            <w:r>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245"/>
        <w:gridCol w:w="53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37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 for trading, but only in connection with registration of ADSs.</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Evidenced by American Depositary Receipts, or ADRs.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herein have the meanings given to them in our annual report on Form 20-F for the fiscal year ended December 31, 2024 (our “annual report”), unless otherwise indicated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share capital and certain material provisions of our corporate rules is a summary and does not purport to be complete. It is subject to, and qualified in its entirety by, our Amended and Restated By-laws (</w:t>
      </w:r>
      <w:r>
        <w:rPr>
          <w:rFonts w:ascii="Times New Roman;Times;Serif" w:hAnsi="Times New Roman;Times;Serif"/>
          <w:b w:val="false"/>
          <w:i/>
          <w:caps w:val="false"/>
          <w:smallCaps w:val="false"/>
          <w:sz w:val="20"/>
        </w:rPr>
        <w:t>statuto</w:t>
      </w:r>
      <w:r>
        <w:rPr>
          <w:rFonts w:ascii="Times New Roman;Times;Serif" w:hAnsi="Times New Roman;Times;Serif"/>
          <w:b w:val="false"/>
          <w:i w:val="false"/>
          <w:caps w:val="false"/>
          <w:smallCaps w:val="false"/>
          <w:sz w:val="20"/>
        </w:rPr>
        <w:t>) (our “By-laws”) and Italian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our By-laws is attached to our annual report as Exhibit 3.2. We encourage you to read our By-laws and the applicable sections of our annual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stock is composed of Ordinary Shares with no par value. As of December 31, 2024, our issued share capital consisted of 18,273,490 Ordinary Shares. All issued shares are fully paid, non-assessable and in registered form.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and Transfer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not represented by share certificates (</w:t>
      </w:r>
      <w:r>
        <w:rPr>
          <w:rFonts w:ascii="Times New Roman;Times;Serif" w:hAnsi="Times New Roman;Times;Serif"/>
          <w:b w:val="false"/>
          <w:i/>
          <w:caps w:val="false"/>
          <w:smallCaps w:val="false"/>
          <w:sz w:val="20"/>
        </w:rPr>
        <w:t xml:space="preserve">certificati azionari) </w:t>
      </w:r>
      <w:r>
        <w:rPr>
          <w:rFonts w:ascii="Times New Roman;Times;Serif" w:hAnsi="Times New Roman;Times;Serif"/>
          <w:b w:val="false"/>
          <w:i w:val="false"/>
          <w:caps w:val="false"/>
          <w:smallCaps w:val="false"/>
          <w:sz w:val="20"/>
        </w:rPr>
        <w:t xml:space="preserve">as they are </w:t>
      </w:r>
      <w:r>
        <w:rPr>
          <w:rFonts w:ascii="Times New Roman;Times;Serif" w:hAnsi="Times New Roman;Times;Serif"/>
          <w:b w:val="false"/>
          <w:i/>
          <w:caps w:val="false"/>
          <w:smallCaps w:val="false"/>
          <w:sz w:val="20"/>
        </w:rPr>
        <w:t>dematerialised (azioni dematerializzate</w:t>
      </w:r>
      <w:r>
        <w:rPr>
          <w:rFonts w:ascii="Times New Roman;Times;Serif" w:hAnsi="Times New Roman;Times;Serif"/>
          <w:b w:val="false"/>
          <w:i w:val="false"/>
          <w:caps w:val="false"/>
          <w:smallCaps w:val="false"/>
          <w:sz w:val="20"/>
        </w:rPr>
        <w:t>). The ownership of the shares, their transfer, the related rights and restrictions on the shares (if any) results from the electronical register managed by an intermediary (banks and other financial institutions). The entitlement to exercise the rights attached to the shares is then proven by the exhibition of certifications or communications to the issuer made by the intermediary, pursuant to its own accounting records, in favor of the subject entitled to the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on the right to own or vote our Ordinary Shares, which applies to non-Italian residents and foreign residents. There are no provisions in our articles of association or bylaws that would have the effect of delaying, deferring or preventing a change of control of our Company and that would operate only with respect to a merger, acquisition or corporate restructuring involving our Company. There are no provisions in our bylaws governing the ownership threshold which shareholder ownership must be disclosed. There are no provisions discriminating against any existing or prospective holder of our Ordinary Shares as a result of such shareholder owning a substantial number of our shares. There are no sinking fund provisions or provisions providing for liability for further capital calls by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by the Company of any annual dividend is proposed by the board of directors and is subject to the approval of the shareholders at the annual shareholders’ meeting. Before dividends may be paid out of the Company’s unconsolidated net income in any year, an amount at least equal to 5% of such net income must be allocated to the Company’s legal reserve until such reserve is at least equal to one-fifth of the par value of the Company’s issued share capital. If the Company’s share capital is reduced as a result of accumulated losses, no dividends may be paid until the capital is reconstituted or reduced by the amount of such losses. The Company may pay dividends out of available retained earnings from prior years, provided that, after such payment, the Company will have a legal reserve at least equal to the legally required minimum. No interim dividends may be approved or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paid in the manner and on the date specified in the shareholders’ resolution approving their payment (usually within 30 days from their annual general meeting). Dividends that are not collected within five years of the date on which they become payable are forfeited to the benefit of the Company. Holders of ADSs will be entitled to receive payments in respect of dividends on the underlying shares through BNY, as Depositary, in accordance with the Deposit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registered holders of the Company’s Ordinary Shares are entitled to one vote </w:t>
      </w:r>
      <w:r>
        <w:rPr>
          <w:rFonts w:ascii="Times New Roman;Times;Serif" w:hAnsi="Times New Roman;Times;Serif"/>
          <w:b w:val="false"/>
          <w:i/>
          <w:caps w:val="false"/>
          <w:smallCaps w:val="false"/>
          <w:sz w:val="20"/>
        </w:rPr>
        <w:t>per</w:t>
      </w:r>
      <w:r>
        <w:rPr>
          <w:rFonts w:ascii="Times New Roman;Times;Serif" w:hAnsi="Times New Roman;Times;Serif"/>
          <w:b w:val="false"/>
          <w:i w:val="false"/>
          <w:caps w:val="false"/>
          <w:smallCaps w:val="false"/>
          <w:sz w:val="20"/>
        </w:rPr>
        <w:t xml:space="preserve">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our 2024 Ordinary and Extraordinary Shareholders’ Meeting, our shareholders approved an amendment to our By-laws that established a loyalty share program. Under the loyalty share program, each Ordinary Share held in registered form entitles the shareholder to a double vote (i.e. two votes for each Ordinary Share) if the Ordinary Share has been held by the same shareholder for a continuous period of not less than twenty-four months from the date of its registration in the special list maintained by us, and an additional vote is also granted upon the expiration of each 12-month period, following the expiration of the period referred to above, in which such Ordinary Share has been held by the shareholder, up to a total maximum of ten votes per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the loyalty share program, a special list (the “Special List”) is maintained by us. To be added to the Special List, the registered shareholder would need to submit a specific application, enclosing a communication certifying the Ordinary Share ownership – which may also concern only part of the Ordinary Shares held by the registered shareholder – issued by the intermediary with whom the Ordinary Shares are deposited pursuant to the laws in force. In the case of entities other than individuals, the application would need to specify whether the entity is subject to direct or indirect control by third parties and the identification data of the controlling entity, if any. The Special List is updated by us. Cancellation from the Special List results from the following cases: renunciation of the interested party; communication of the interested party or of the intermediary proving the loss of the prerequisites for the increase of the voting right or the loss of the ownership of the right; ex officio, when we are informed of the occurrence of facts that entail the loss of the prerequisites for the increase of the voting right or the loss of the ownership of the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registered shareholder, the Depositary (or its nominee) will be entitled to vote the Ordinary Shares underlying the ADSs. The Deposit Agreement requires the Depositary (or its nominee) to accept voting instructions from holders of ADSs and to execute such instructions to the extent permitted by law. However, only shareholders who own their shares in registered form are entitled to take advantage of the loyalty share program and ADS holders are not entitled to additional voting rights. Neither Italian law nor the Company’s By-laws limit the right of non-resident or foreign owners of the Company’s Ordinary Shares to hold or vote shares of the Company.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Italian law, holders of outstanding ordinary shares and convertible debentures are entitled to subscribe for newly issued ordinary shares or convertible debentures in proportion to their holdings at the time that the shareholders authorize the capital increase for those issuances, unless those issuances are for non-cash considerations. Those who exercise their preemptive rights, provided they make such request simultaneously, have a pre-emption right on the purchase of shares and debentures convertible into shares that have not been subscribed. Preemptive rights may be excluded or limited by resolution of the shareholders at an extraordinary shareholders’ meeting, or by the board of directors if the bylaws delegate such power to the board of directors (including the power to exclude or limit the preemptive right), and provided that such exclusion or limitation is in the interest of the Company, or if the shares are to be paid by means of contributions in kind. According to Italian law proposals to increase share capital with exclusion or limitation of preemptive rights must be accompanied by a report of the board of directors setting forth the reasons for the exclusion or limitation of pre-emptive rights, or, if the exclusion derives from a contribution in kind, the reasons for such contribution in kind, and the report must in all cases set forth the criteria adopted for determining the issue price. The report must be communicated by the board of directors to the board of statutory auditors and to the external auditor at least 30 days prior to the date set for the shareholders’ meeting. Within 15 days, the board of statutory auditors must express its opinion on the fairness of the issue price of the shares. The opinion of the board of statutory auditors and, only in the case of contributions in kind, the sworn report of an expert appointed by a competent court or documentation provided by Italian law, must remain deposited at the Company’s registered office during the 15 days prior to the shareholders’ meeting and until the latter has passed a resolution. The resolution shall determine the issue price of the shares on the basis of shareholders’ equity, taking into account, in the case of shares listed on regulated markets, also the trend in prices over the last six months. The foregoing procedure shall apply also in case of capital increase delegated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Italian law and subject to the satisfaction of the claims of all creditors, our shareholders are entitled to a distribution in liquidation that is equal to an amount resulting from the division of the positive liquidation balance by the number of shares (to the extent available out of our net assets). Preferred shareholders and holders of “participating certificates”, if any, typically do not participate in the distribution of assets of a dissolved corporation beyond their established contractual preferences. Once the rights of preferred shareholders and holders of participating certificates and the claims of all creditors have been fully satisfied, holders of ordinary shares are entitled to the distribution of any remaining assets.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AMERICAN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ADSs and certain material provisions of our corporate rules is a summary and does not purport to be complete. It is subject to, and qualified in its entirety by the Deposit Agreement (as defined below), the form of ADS, which contain the terms of the ADSs, and any applicable law, as amended from time to time. In the following description, an “Owner” is the person in whose name an ADS is registered on the books of the Depositary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Deposit Agreement is attached to our annual report as Exhibit 4.1. Copies of the Deposit Agreement are also available for inspection at the offices of our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read the Deposit Agreement, the ADS form and the applicable sections of our annual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we trade ADSs representing our Ordinary Shares, which are evidenced by ADRs. Our ADSs, each representing one Ordinary Share, are traded on the Nasdaq Capital Market, under the ticker symbol GNTA.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acts as depositary for our ADSs (the “Depositary”). In its capacity, the Depositary will register and deliver the ADSs, each representing an ownership interest in one Ordinary Share deposited with the custodian, as agent of the Depositary, under the deposit agreement dated December 17, 2021, between us, the Depositary, and Owners and beneficial owners from time to time of the ADSs (the “Deposit Agreement”), and (ii) any other securities, cash or other property which may be held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executive office of the Depositary and the office at which the ADSs will be administered is currently located at 240 Greenwich Street, New York, New York 10286,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Italy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by instructing the depositary as described above, you will not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only shareholders who own their shares in registered form are entitled to take advantage of the loyalty share program and ADS holders are not entitled to additional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Cash</w:t>
      </w:r>
      <w:r>
        <w:rPr>
          <w:rFonts w:ascii="Times New Roman;Times;Serif" w:hAnsi="Times New Roman;Times;Serif"/>
          <w:b w:val="false"/>
          <w:i w:val="false"/>
          <w:caps w:val="false"/>
          <w:smallCaps w:val="false"/>
          <w:sz w:val="20"/>
        </w:rPr>
        <w:t>. 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 distribution, any withholding taxes, or other governmental charges that must be paid will be deducted. The depositary will distribute only whole U.S. dollars and cents and will round fractional cents to the nearest whole cent. If the exchange rates fluctuate during a time when the depositary cannot convert the foreign currency, you may lose some of the value of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to purchase additional shares</w:t>
      </w:r>
      <w:r>
        <w:rPr>
          <w:rFonts w:ascii="Times New Roman;Times;Serif" w:hAnsi="Times New Roman;Times;Serif"/>
          <w:b w:val="false"/>
          <w:i w:val="false"/>
          <w:caps w:val="false"/>
          <w:smallCaps w:val="false"/>
          <w:sz w:val="20"/>
        </w:rPr>
        <w:t>. If we offer holders of our securities any rights to subscribe for 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Distributions</w:t>
      </w:r>
      <w:r>
        <w:rPr>
          <w:rFonts w:ascii="Times New Roman;Times;Serif" w:hAnsi="Times New Roman;Times;Serif"/>
          <w:b w:val="false"/>
          <w:i w:val="false"/>
          <w:caps w:val="false"/>
          <w:smallCaps w:val="false"/>
          <w:sz w:val="20"/>
        </w:rPr>
        <w:t>. 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it is illegal or impractical for us to make them available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Procedures for Transmitting Notices, Reports and Proxy Soliciting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the ADSs, to agree to the amendment and to be bound by the ADRs and the deposit agreement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initiate termination of the deposit agreement if we instruct it to do so. The depositary may initiate termination of the deposit agreement if</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days have passed since the depositary told us it wants to resign but a successor depositary has not been appointed and accepted its appointment;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delist the ADSs from an exchange in the United States on which they were listed and do not list the ADSs on another exchange in the United States or make arrangements for trading of ADSs on the U.S.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delist our shares from an exchange outside the United States on which they were listed and do not list the shares on another exchange outside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reason to believe the ADSs have become, or will become, ineligible for registration on Form F-6 under the Securities Act of 1933;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appear to be insolvent or enter insolvency proceedings;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substantially all the value of the deposited securities has been distributed either in cash or in the form of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deposited securities underlying the ADSs or the underlying deposited securities have become apparently worthless;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a replacement of deposited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and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the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 of the Company and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only obligated to take the actions specifically set forth in the deposit agreement without negligence or bad faith, and the depositary will not be a fiduciary or have any fiduciary duty to holders of ADSs;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we are or it is prevented or delayed by law or by events or circumstances beyond our or its ability to prevent or counteract with reasonable care or effort from performing our or its obligations under the deposit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if we or it exercises discretion permitted under the deposit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no obligation to become involved in a lawsuit or other proceeding related to the ADSs or the deposit agreement on your behalf or on behalf of any other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rely upon any documents we believe or it believes in good faith to be genuine and to have been signed or presented by the proper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not liable for the acts or omissions of any securities depository, clearing agency or settlement system;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976" w:name="ex8-1.htm"/>
      <w:bookmarkStart w:id="977" w:name="ksex81"/>
      <w:bookmarkEnd w:id="976"/>
      <w:bookmarkEnd w:id="97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8.1</w:t>
      </w:r>
    </w:p>
    <w:p>
      <w:pPr>
        <w:pStyle w:val="TextBody"/>
        <w:bidi w:val="0"/>
        <w:spacing w:before="0" w:after="0"/>
        <w:jc w:val="center"/>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775"/>
        <w:gridCol w:w="60"/>
        <w:gridCol w:w="1955"/>
      </w:tblGrid>
      <w:tr>
        <w:trPr/>
        <w:tc>
          <w:tcPr>
            <w:tcW w:w="3790"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Subsidiaries of Genenta Science S.p.A.</w:t>
            </w:r>
          </w:p>
        </w:tc>
      </w:tr>
      <w:tr>
        <w:trPr/>
        <w:tc>
          <w:tcPr>
            <w:tcW w:w="3790" w:type="dxa"/>
            <w:gridSpan w:val="3"/>
            <w:tcBorders/>
            <w:vAlign w:val="center"/>
          </w:tcPr>
          <w:p>
            <w:pPr>
              <w:pStyle w:val="TableContents"/>
              <w:bidi w:val="0"/>
              <w:spacing w:before="0" w:after="283"/>
              <w:jc w:val="center"/>
              <w:rPr>
                <w:caps w:val="false"/>
                <w:smallCaps w:val="false"/>
              </w:rPr>
            </w:pPr>
            <w:r>
              <w:rPr>
                <w:caps w:val="false"/>
                <w:smallCaps w:val="false"/>
              </w:rPr>
              <w:t> </w:t>
            </w:r>
          </w:p>
        </w:tc>
      </w:tr>
      <w:tr>
        <w:trPr/>
        <w:tc>
          <w:tcPr>
            <w:tcW w:w="1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Subsidiary</w:t>
            </w:r>
          </w:p>
        </w:tc>
        <w:tc>
          <w:tcPr>
            <w:tcW w:w="60" w:type="dxa"/>
            <w:tcBorders/>
            <w:vAlign w:val="center"/>
          </w:tcPr>
          <w:p>
            <w:pPr>
              <w:pStyle w:val="TableContents"/>
              <w:bidi w:val="0"/>
              <w:spacing w:before="0" w:after="283"/>
              <w:jc w:val="center"/>
              <w:rPr/>
            </w:pPr>
            <w:r>
              <w:rPr/>
              <w:t> </w:t>
            </w:r>
          </w:p>
        </w:tc>
        <w:tc>
          <w:tcPr>
            <w:tcW w:w="19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Place of Incorporation</w:t>
            </w:r>
          </w:p>
        </w:tc>
      </w:tr>
      <w:tr>
        <w:trPr/>
        <w:tc>
          <w:tcPr>
            <w:tcW w:w="1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Genenta Science, Inc.</w:t>
            </w:r>
          </w:p>
        </w:tc>
        <w:tc>
          <w:tcPr>
            <w:tcW w:w="60" w:type="dxa"/>
            <w:tcBorders/>
            <w:vAlign w:val="center"/>
          </w:tcPr>
          <w:p>
            <w:pPr>
              <w:pStyle w:val="TableContents"/>
              <w:bidi w:val="0"/>
              <w:spacing w:before="0" w:after="283"/>
              <w:jc w:val="center"/>
              <w:rPr/>
            </w:pPr>
            <w:r>
              <w:rPr/>
              <w:t> </w:t>
            </w:r>
          </w:p>
        </w:tc>
        <w:tc>
          <w:tcPr>
            <w:tcW w:w="19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caps w:val="false"/>
          <w:smallCaps w:val="false"/>
        </w:rPr>
      </w:pPr>
      <w:bookmarkStart w:id="978" w:name="ex11-2.htm"/>
      <w:bookmarkStart w:id="979" w:name="ksex112"/>
      <w:bookmarkEnd w:id="978"/>
      <w:bookmarkEnd w:id="979"/>
      <w:r>
        <w:rPr>
          <w:caps w:val="false"/>
          <w:smallCaps w:val="false"/>
        </w:rPr>
        <w:t> </w:t>
      </w:r>
      <w:r>
        <w:br w:type="page"/>
      </w:r>
    </w:p>
    <w:p>
      <w:pPr>
        <w:pStyle w:val="TextBody"/>
        <w:bidi w:val="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drawing>
          <wp:inline distT="0" distB="0" distL="0" distR="0">
            <wp:extent cx="1905000" cy="542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39"/>
                    <a:stretch>
                      <a:fillRect/>
                    </a:stretch>
                  </pic:blipFill>
                  <pic:spPr bwMode="auto">
                    <a:xfrm>
                      <a:off x="0" y="0"/>
                      <a:ext cx="1905000" cy="542925"/>
                    </a:xfrm>
                    <a:prstGeom prst="rect">
                      <a:avLst/>
                    </a:prstGeom>
                  </pic:spPr>
                </pic:pic>
              </a:graphicData>
            </a:graphic>
          </wp:inline>
        </w:drawing>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POLICY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GEN-POL-009 v2.0</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TITLE</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INSIDER TRADING</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tbl>
      <w:tblPr>
        <w:tblW w:w="6335" w:type="dxa"/>
        <w:jc w:val="left"/>
        <w:tblInd w:w="0" w:type="dxa"/>
        <w:tblLayout w:type="fixed"/>
        <w:tblCellMar>
          <w:top w:w="0" w:type="dxa"/>
          <w:left w:w="0" w:type="dxa"/>
          <w:bottom w:w="0" w:type="dxa"/>
          <w:right w:w="0" w:type="dxa"/>
        </w:tblCellMar>
      </w:tblPr>
      <w:tblGrid>
        <w:gridCol w:w="1100"/>
        <w:gridCol w:w="1925"/>
        <w:gridCol w:w="1790"/>
        <w:gridCol w:w="1520"/>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Supersedes:</w:t>
            </w:r>
          </w:p>
        </w:tc>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27, 2023</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w:t>
            </w:r>
          </w:p>
        </w:tc>
        <w:tc>
          <w:tcPr>
            <w:tcW w:w="19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Slansky, CFO</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Slansky</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Signature/Date</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Reviewed by</w:t>
            </w:r>
          </w:p>
        </w:tc>
        <w:tc>
          <w:tcPr>
            <w:tcW w:w="19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 CFO</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Signature/Date</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Approved </w:t>
            </w:r>
            <w:r>
              <w:rPr>
                <w:rFonts w:ascii="Times New Roman;Times;Serif" w:hAnsi="Times New Roman;Times;Serif"/>
                <w:b w:val="false"/>
                <w:i w:val="false"/>
                <w:caps w:val="false"/>
                <w:smallCaps w:val="false"/>
                <w:spacing w:val="-1"/>
                <w:sz w:val="20"/>
              </w:rPr>
              <w:t>by</w:t>
            </w:r>
          </w:p>
        </w:tc>
        <w:tc>
          <w:tcPr>
            <w:tcW w:w="19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Sirgo, Chairman</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Sirgo</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Signature/Date</w:t>
            </w:r>
          </w:p>
        </w:tc>
      </w:tr>
    </w:tbl>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3426" w:type="dxa"/>
        <w:jc w:val="left"/>
        <w:tblInd w:w="0" w:type="dxa"/>
        <w:tblLayout w:type="fixed"/>
        <w:tblCellMar>
          <w:top w:w="0" w:type="dxa"/>
          <w:left w:w="0" w:type="dxa"/>
          <w:bottom w:w="0" w:type="dxa"/>
          <w:right w:w="0" w:type="dxa"/>
        </w:tblCellMar>
      </w:tblPr>
      <w:tblGrid>
        <w:gridCol w:w="38"/>
        <w:gridCol w:w="1025"/>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1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ind w:left="0" w:right="0" w:hanging="0"/>
        <w:jc w:val="left"/>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335"/>
        <w:gridCol w:w="4670"/>
        <w:gridCol w:w="575"/>
      </w:tblGrid>
      <w:tr>
        <w:trPr/>
        <w:tc>
          <w:tcPr>
            <w:tcW w:w="335"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PURPOSE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SCOPE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Persons subject to the policy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Transactions subject to the policy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Definition of material nonpublic information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Material Information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When Information is Considered Public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ROLES AND RESPONSIBILITY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Individual responsibility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Administration of the policy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POLICY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Transactions by family members and others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Transactions by entities that you influence or control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Transactions under company plans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 Stock Option Exercises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 Restricted Stock Awards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 Plan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 Employee Stock Purchase Plan</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 Dividend Reinvestment Plan</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6.3.6 Other Similar Transactions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Transactions not involving a purchase or sale</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Special and prohibited transactions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 Short-Term Trading</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 Short Sales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 Publicly-Traded Options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 Hedging Transactions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 Margin Accounts and Pledged Securities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6.5.6 Standing and Limit Orders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PROCEDURES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Pre-Clearance Procedures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Semi-Annual Trading Restrictions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Event-Specific Trading Restriction Periods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Exceptions</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Rule 10b5-1 plans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Post-termination transactions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Consequences of violations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Company assistance</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35" w:type="dxa"/>
            <w:tcBorders/>
            <w:shd w:fill="FFFFFF" w:val="clear"/>
            <w:vAlign w:val="center"/>
          </w:tcPr>
          <w:p>
            <w:pPr>
              <w:pStyle w:val="TableContents"/>
              <w:bidi w:val="0"/>
              <w:spacing w:before="0" w:after="283"/>
              <w:jc w:val="left"/>
              <w:rPr/>
            </w:pPr>
            <w:r>
              <w:rPr/>
              <w:t> </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Certification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REVISIONS</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 FOR CHANGE</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46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 HISTORY OF POLICY</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335" w:type="dxa"/>
            <w:tcBorders/>
            <w:shd w:fill="CCEEFF" w:val="clear"/>
            <w:vAlign w:val="center"/>
          </w:tcPr>
          <w:p>
            <w:pPr>
              <w:pStyle w:val="TableContents"/>
              <w:bidi w:val="0"/>
              <w:spacing w:before="0" w:after="283"/>
              <w:jc w:val="left"/>
              <w:rPr/>
            </w:pPr>
            <w:r>
              <w:rPr/>
              <w:t> </w:t>
            </w:r>
          </w:p>
        </w:tc>
        <w:tc>
          <w:tcPr>
            <w:tcW w:w="4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5005" w:type="dxa"/>
            <w:gridSpan w:val="2"/>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ANNEX 1: CERTIFICATION FORMAT</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bl>
    <w:p>
      <w:pPr>
        <w:pStyle w:val="TextBody"/>
        <w:bidi w:val="0"/>
        <w:ind w:left="0" w:right="0" w:hanging="0"/>
        <w:jc w:val="left"/>
        <w:rPr>
          <w:caps w:val="false"/>
          <w:smallCaps w:val="false"/>
        </w:rPr>
      </w:pPr>
      <w:r>
        <w:rPr>
          <w:caps w:val="false"/>
          <w:smallCaps w:val="false"/>
        </w:rPr>
        <w:t>  </w:t>
      </w:r>
    </w:p>
    <w:tbl>
      <w:tblPr>
        <w:tblW w:w="3426" w:type="dxa"/>
        <w:jc w:val="left"/>
        <w:tblInd w:w="0" w:type="dxa"/>
        <w:tblLayout w:type="fixed"/>
        <w:tblCellMar>
          <w:top w:w="0" w:type="dxa"/>
          <w:left w:w="0" w:type="dxa"/>
          <w:bottom w:w="0" w:type="dxa"/>
          <w:right w:w="0" w:type="dxa"/>
        </w:tblCellMar>
      </w:tblPr>
      <w:tblGrid>
        <w:gridCol w:w="38"/>
        <w:gridCol w:w="1025"/>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2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PURPOSE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Insider Trading Policy (this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provides guidelines with respect to transactions in the securities of Genenta Science S.p.A.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the handling of confidential information about the Company and the companies with which the Company does business. The Company’s Board of Directors has adopted this Policy to promote compliance with U.S.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SCOPE</w:t>
      </w:r>
    </w:p>
    <w:p>
      <w:pPr>
        <w:pStyle w:val="TextBody"/>
        <w:bidi w:val="0"/>
        <w:ind w:left="0" w:right="0" w:hanging="1162"/>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Persons subject to the policy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Transactions subject to the policy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transactions in the Company’s securities (collectively referred to in this Policy as “</w:t>
      </w:r>
      <w:r>
        <w:rPr>
          <w:rFonts w:ascii="Times New Roman;Times;Serif" w:hAnsi="Times New Roman;Times;Serif"/>
          <w:b/>
          <w:i/>
          <w:caps w:val="false"/>
          <w:smallCaps w:val="false"/>
          <w:sz w:val="20"/>
        </w:rPr>
        <w:t>Company Securities</w:t>
      </w:r>
      <w:r>
        <w:rPr>
          <w:rFonts w:ascii="Times New Roman;Times;Serif" w:hAnsi="Times New Roman;Times;Serif"/>
          <w:b w:val="false"/>
          <w:i w:val="false"/>
          <w:caps w:val="false"/>
          <w:smallCaps w:val="false"/>
          <w:sz w:val="20"/>
        </w:rPr>
        <w:t>”), including the Company’s ordinary shares (including ordinary shares represented by American Depositary Shares (“</w:t>
      </w:r>
      <w:r>
        <w:rPr>
          <w:rFonts w:ascii="Times New Roman;Times;Serif" w:hAnsi="Times New Roman;Times;Serif"/>
          <w:b/>
          <w:i/>
          <w:caps w:val="false"/>
          <w:smallCaps w:val="false"/>
          <w:sz w:val="20"/>
        </w:rPr>
        <w:t>ADSs</w:t>
      </w:r>
      <w:r>
        <w:rPr>
          <w:rFonts w:ascii="Times New Roman;Times;Serif" w:hAnsi="Times New Roman;Times;Serif"/>
          <w:b w:val="false"/>
          <w:i w:val="false"/>
          <w:caps w:val="false"/>
          <w:smallCaps w:val="false"/>
          <w:sz w:val="20"/>
        </w:rPr>
        <w:t>”)), options to purchase ordinary shares, and any other type of securities that the Company may issue, including (but not limited to) preference shares, convertible debentures and warrants, as well as derivative securities that are not issued by the Company, such as exchange-traded put or call options or swaps relating to the Company Securities.</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DEFINITIONS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Definition of material nonpublic information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Material Information.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considered “</w:t>
      </w:r>
      <w:r>
        <w:rPr>
          <w:rFonts w:ascii="Times New Roman;Times;Serif" w:hAnsi="Times New Roman;Times;Serif"/>
          <w:b/>
          <w:i/>
          <w:caps w:val="false"/>
          <w:smallCaps w:val="false"/>
          <w:sz w:val="20"/>
        </w:rPr>
        <w:t>material</w:t>
      </w:r>
      <w:r>
        <w:rPr>
          <w:rFonts w:ascii="Times New Roman;Times;Serif" w:hAnsi="Times New Roman;Times;Serif"/>
          <w:b w:val="false"/>
          <w:i w:val="false"/>
          <w:caps w:val="false"/>
          <w:smallCaps w:val="false"/>
          <w:sz w:val="20"/>
        </w:rPr>
        <w:t>” if a reasonable investor would consider that information important in making a decision to buy, hold or sell securities. Any information that could be expected to affect the Company’s share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pStyle w:val="TextBody"/>
        <w:bidi w:val="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Projections of future earnings or losses, or other earnings guidance (especially cash balance, burn and runway);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to previously announced earnings guidance, or the decision to suspend earnings guidance;</w:t>
            </w:r>
          </w:p>
        </w:tc>
      </w:tr>
    </w:tbl>
    <w:p>
      <w:pPr>
        <w:pStyle w:val="TextBody"/>
        <w:bidi w:val="0"/>
        <w:ind w:left="0" w:right="0" w:hanging="0"/>
        <w:jc w:val="left"/>
        <w:rPr>
          <w:caps w:val="false"/>
          <w:smallCaps w:val="false"/>
        </w:rPr>
      </w:pPr>
      <w:r>
        <w:rPr>
          <w:caps w:val="false"/>
          <w:smallCaps w:val="false"/>
        </w:rPr>
        <w:t> </w:t>
      </w:r>
    </w:p>
    <w:tbl>
      <w:tblPr>
        <w:tblW w:w="3426" w:type="dxa"/>
        <w:jc w:val="left"/>
        <w:tblInd w:w="0" w:type="dxa"/>
        <w:tblLayout w:type="fixed"/>
        <w:tblCellMar>
          <w:top w:w="0" w:type="dxa"/>
          <w:left w:w="0" w:type="dxa"/>
          <w:bottom w:w="0" w:type="dxa"/>
          <w:right w:w="0" w:type="dxa"/>
        </w:tblCellMar>
      </w:tblPr>
      <w:tblGrid>
        <w:gridCol w:w="38"/>
        <w:gridCol w:w="1025"/>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3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7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pending or proposed merger, acquisition or tender offer;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pending or proposed acquisition or disposition of a significant asset; A pending or proposed joint venture;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restructuring;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related party transactions;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change in dividend policy, the declaration of a share split, or an offering of additional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 borrowings or other financing transactions out of the ordinary course;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establishment of a repurchase program for Company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change in the Company’s pricing or cost structure;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 marketing changes; A change in management;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change in auditors or notification that the auditor’s reports may no longer be relied upon;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a significant new product, process, or service;</w:t>
            </w:r>
          </w:p>
        </w:tc>
      </w:tr>
    </w:tbl>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Timing and achievement of major development milestones;</w:t>
            </w:r>
          </w:p>
        </w:tc>
      </w:tr>
    </w:tbl>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Results of clinical trials;</w:t>
            </w:r>
          </w:p>
        </w:tc>
      </w:tr>
    </w:tbl>
    <w:tbl>
      <w:tblPr>
        <w:tblW w:w="6678" w:type="dxa"/>
        <w:jc w:val="left"/>
        <w:tblInd w:w="0" w:type="dxa"/>
        <w:tblLayout w:type="fixed"/>
        <w:tblCellMar>
          <w:top w:w="0" w:type="dxa"/>
          <w:left w:w="0" w:type="dxa"/>
          <w:bottom w:w="0" w:type="dxa"/>
          <w:right w:w="0" w:type="dxa"/>
        </w:tblCellMar>
      </w:tblPr>
      <w:tblGrid>
        <w:gridCol w:w="38"/>
        <w:gridCol w:w="17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Unusual gains or losses in major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Pending or threatened significant litigation, or the resolution of such litigation;</w:t>
            </w:r>
          </w:p>
        </w:tc>
      </w:tr>
    </w:tbl>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Impending bankruptcy or the existence of severe liquidity problems;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or loss of a significant customer or supplier;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imposition of a ban on trading in Company Securities or the securities of another company.</w:t>
            </w:r>
          </w:p>
        </w:tc>
      </w:tr>
    </w:tbl>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 When Information is Considered Public.</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that has not been disclosed to the public is generally considered to be “</w:t>
      </w:r>
      <w:r>
        <w:rPr>
          <w:rFonts w:ascii="Times New Roman;Times;Serif" w:hAnsi="Times New Roman;Times;Serif"/>
          <w:b/>
          <w:i/>
          <w:caps w:val="false"/>
          <w:smallCaps w:val="false"/>
          <w:sz w:val="20"/>
        </w:rPr>
        <w:t>nonpublic</w:t>
      </w:r>
      <w:r>
        <w:rPr>
          <w:rFonts w:ascii="Times New Roman;Times;Serif" w:hAnsi="Times New Roman;Times;Serif"/>
          <w:b w:val="false"/>
          <w:i w:val="false"/>
          <w:caps w:val="false"/>
          <w:smallCaps w:val="false"/>
          <w:sz w:val="20"/>
        </w:rPr>
        <w:t>”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or furnished to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that are available on the SEC’s website. By contrast, information would likely not be considered widely disseminated if it is available only to the Company’s employees, or if it is only available to a select group of analysts, brokers and institutional investors.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w:t>
      </w:r>
    </w:p>
    <w:p>
      <w:pPr>
        <w:pStyle w:val="TextBody"/>
        <w:bidi w:val="0"/>
        <w:ind w:left="0" w:right="0" w:hanging="0"/>
        <w:jc w:val="both"/>
        <w:rPr>
          <w:caps w:val="false"/>
          <w:smallCaps w:val="false"/>
        </w:rPr>
      </w:pPr>
      <w:r>
        <w:rPr>
          <w:caps w:val="false"/>
          <w:smallCaps w:val="false"/>
        </w:rPr>
        <w:t> </w:t>
      </w:r>
    </w:p>
    <w:tbl>
      <w:tblPr>
        <w:tblW w:w="3426" w:type="dxa"/>
        <w:jc w:val="left"/>
        <w:tblInd w:w="0" w:type="dxa"/>
        <w:tblLayout w:type="fixed"/>
        <w:tblCellMar>
          <w:top w:w="0" w:type="dxa"/>
          <w:left w:w="0" w:type="dxa"/>
          <w:bottom w:w="0" w:type="dxa"/>
          <w:right w:w="0" w:type="dxa"/>
        </w:tblCellMar>
      </w:tblPr>
      <w:tblGrid>
        <w:gridCol w:w="38"/>
        <w:gridCol w:w="1025"/>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4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ROLES AND RESPONSIBILITY</w:t>
      </w:r>
    </w:p>
    <w:p>
      <w:pPr>
        <w:pStyle w:val="TextBody"/>
        <w:bidi w:val="0"/>
        <w:ind w:left="0" w:right="0" w:firstLine="840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Individual responsibility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 Administration of the policy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Financial Officer or the Finance Director shall serve as the Compliance Officer for the purposes of this Policy, and in his or her absence, the Chief Executive Officer or another employee designated by the Compliance Officer shall be responsible for administration of this Policy. All determinations and interpretations by the Compliance Officer shall be final and not subject to further review.</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STATEMENT OF POLICY</w:t>
      </w:r>
    </w:p>
    <w:p>
      <w:pPr>
        <w:pStyle w:val="TextBody"/>
        <w:bidi w:val="0"/>
        <w:ind w:left="0" w:right="0" w:hanging="1162"/>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the Company that no director, officer, or other employee of the Company (or any other person designated by this Policy or by the Compliance Officer as subject to this Policy) who is aware of material nonpublic information relating to the Company may, directly, or indirectly through family members or other persons or entities:</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Engage in transactions in Company Securities, except as otherwise specified in this Policy under the headings “Transactions Under Company </w:t>
            </w:r>
            <w:r>
              <w:rPr>
                <w:rFonts w:ascii="Times New Roman;Times;Serif" w:hAnsi="Times New Roman;Times;Serif"/>
              </w:rPr>
              <w:t>Plans” and “Rule 10b5-1 Plans;”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 the purchase or sale of any Company Securities;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 anyone engaged in the above activities.</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pStyle w:val="TextBody"/>
        <w:bidi w:val="0"/>
        <w:ind w:left="0" w:right="0" w:hanging="0"/>
        <w:jc w:val="left"/>
        <w:rPr>
          <w:caps w:val="false"/>
          <w:smallCaps w:val="false"/>
        </w:rPr>
      </w:pPr>
      <w:r>
        <w:rPr>
          <w:caps w:val="false"/>
          <w:smallCaps w:val="false"/>
        </w:rPr>
        <w:t> </w:t>
      </w:r>
    </w:p>
    <w:tbl>
      <w:tblPr>
        <w:tblW w:w="3426" w:type="dxa"/>
        <w:jc w:val="left"/>
        <w:tblInd w:w="0" w:type="dxa"/>
        <w:tblLayout w:type="fixed"/>
        <w:tblCellMar>
          <w:top w:w="0" w:type="dxa"/>
          <w:left w:w="0" w:type="dxa"/>
          <w:bottom w:w="0" w:type="dxa"/>
          <w:right w:w="0" w:type="dxa"/>
        </w:tblCellMar>
      </w:tblPr>
      <w:tblGrid>
        <w:gridCol w:w="38"/>
        <w:gridCol w:w="1025"/>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5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POLICY</w:t>
      </w:r>
    </w:p>
    <w:p>
      <w:pPr>
        <w:pStyle w:val="TextBody"/>
        <w:bidi w:val="0"/>
        <w:ind w:left="0" w:right="0" w:hanging="1162"/>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 Transactions by family members and others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Times;Serif" w:hAnsi="Times New Roman;Times;Serif"/>
          <w:b/>
          <w:i/>
          <w:caps w:val="false"/>
          <w:smallCaps w:val="false"/>
          <w:sz w:val="20"/>
        </w:rPr>
        <w:t>Family Membe</w:t>
      </w:r>
      <w:r>
        <w:rPr>
          <w:rFonts w:ascii="Times New Roman;Times;Serif" w:hAnsi="Times New Roman;Times;Serif"/>
          <w:b w:val="false"/>
          <w:i w:val="false"/>
          <w:caps w:val="false"/>
          <w:smallCaps w:val="false"/>
          <w:sz w:val="20"/>
        </w:rPr>
        <w:t>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 Transactions by entities that you influence or control</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any entities that you influence or control, including any corporations, partnerships, or trusts (collectively referred to as “</w:t>
      </w:r>
      <w:r>
        <w:rPr>
          <w:rFonts w:ascii="Times New Roman;Times;Serif" w:hAnsi="Times New Roman;Times;Serif"/>
          <w:b/>
          <w:i/>
          <w:caps w:val="false"/>
          <w:smallCaps w:val="false"/>
          <w:sz w:val="20"/>
        </w:rPr>
        <w:t>Controlled Entities</w:t>
      </w:r>
      <w:r>
        <w:rPr>
          <w:rFonts w:ascii="Times New Roman;Times;Serif" w:hAnsi="Times New Roman;Times;Serif"/>
          <w:b w:val="false"/>
          <w:i w:val="false"/>
          <w:caps w:val="false"/>
          <w:smallCaps w:val="false"/>
          <w:sz w:val="20"/>
        </w:rPr>
        <w:t>”), and transactions by these Controlled Entities should be treated for the purposes of this Policy and applicable securities laws as if they were for your own account.</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 Transactions under company plans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does not apply in the case of the following transactions, except as specifically noted.</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6.3.1 Stock Option Exercises.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does not apply to the exercise of an employee share option acquired pursuant to the Company’s equity incentive plans, or to the exercise of a tax withholding right pursuant to which a person has elected to have the Company withhold shares subject to an option to satisfy tax withholding requirements. This Policy does apply, however, to any sale of ordinary shares (including ordinary shares in the form of ADSs) as part of a broker-assisted cashless exercise of an option, or any other market sale for the purpose of generating the cash needed to pay the exercise price of an option.</w:t>
      </w:r>
    </w:p>
    <w:p>
      <w:pPr>
        <w:pStyle w:val="TextBody"/>
        <w:bidi w:val="0"/>
        <w:ind w:left="0" w:right="0" w:hanging="0"/>
        <w:jc w:val="left"/>
        <w:rPr>
          <w:caps w:val="false"/>
          <w:smallCaps w:val="false"/>
        </w:rPr>
      </w:pPr>
      <w:r>
        <w:rPr>
          <w:caps w:val="false"/>
          <w:smallCaps w:val="false"/>
        </w:rPr>
        <w:t> </w:t>
      </w:r>
    </w:p>
    <w:tbl>
      <w:tblPr>
        <w:tblW w:w="3426" w:type="dxa"/>
        <w:jc w:val="left"/>
        <w:tblInd w:w="0" w:type="dxa"/>
        <w:tblLayout w:type="fixed"/>
        <w:tblCellMar>
          <w:top w:w="0" w:type="dxa"/>
          <w:left w:w="0" w:type="dxa"/>
          <w:bottom w:w="0" w:type="dxa"/>
          <w:right w:w="0" w:type="dxa"/>
        </w:tblCellMar>
      </w:tblPr>
      <w:tblGrid>
        <w:gridCol w:w="38"/>
        <w:gridCol w:w="1025"/>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6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6.3.2 Restricted Stock Awards.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does not apply to the vesting of restricted shares, or the exercise of a tax withholding right pursuant to which you elect to have the Company withhold ordinary shares to satisfy tax withholding requirements upon the vesting of any restricted shares. This Policy does apply, however, to any market sale of restricted shares (including ordinary shares in the form of ADSs).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6.3.3 Plan.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6.3.4 Employee Stock Purchase Plan.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the future establish one or more employee share purchase plans in order to enable eligible employees to purchase ordinary shares with accumulated payroll deductions. This Policy does not apply to purchases of Company Securities in any such employee share purchase plan resulting from your periodic contribution of money to such plan pursuant to the election you made at the time of your enrollment in such plan. This Policy also does not apply to purchases of Company Securities resulting from lump sum contributions to any such plan, provided that you elected to participate by lump sum payment at the beginning of the applicable enrollment period. This Policy does apply, however, to your election to participate in any such plan for any enrollment period, and to your sales of Company Securities purchased pursuant to such plan.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6.3.5 Dividend Reinvestment Plan.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the future establish one or more dividend reinvestment plans in order to enable eligible shareholders to purchase ordinary shares with the Company’s ordinary share dividends. This Policy does not apply to purchases of Company Securities under any such dividend reinvestment plan resulting from your reinvestment of dividends paid on Company Securities. This Policy does apply, however, to voluntary purchases of Company Securities resulting from additional contributions you choose to make under any such dividend reinvestment plan, and to your election to participate in such plan or increase your level of participation in such plan. This Policy also applies to your sale of any Company Securities purchased pursuant to such plan.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6.3.6 Other Similar Transactions.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purchase of Company Securities from the Company or sales of Company Securities to the Company are not subject to this Policy.</w:t>
      </w:r>
    </w:p>
    <w:p>
      <w:pPr>
        <w:pStyle w:val="TextBody"/>
        <w:bidi w:val="0"/>
        <w:ind w:left="0" w:right="0" w:hanging="0"/>
        <w:jc w:val="left"/>
        <w:rPr>
          <w:caps w:val="false"/>
          <w:smallCaps w:val="false"/>
        </w:rPr>
      </w:pPr>
      <w:r>
        <w:rPr>
          <w:caps w:val="false"/>
          <w:smallCaps w:val="false"/>
        </w:rPr>
        <w:t> </w:t>
      </w:r>
    </w:p>
    <w:tbl>
      <w:tblPr>
        <w:tblW w:w="3426" w:type="dxa"/>
        <w:jc w:val="left"/>
        <w:tblInd w:w="0" w:type="dxa"/>
        <w:tblLayout w:type="fixed"/>
        <w:tblCellMar>
          <w:top w:w="0" w:type="dxa"/>
          <w:left w:w="0" w:type="dxa"/>
          <w:bottom w:w="0" w:type="dxa"/>
          <w:right w:w="0" w:type="dxa"/>
        </w:tblCellMar>
      </w:tblPr>
      <w:tblGrid>
        <w:gridCol w:w="38"/>
        <w:gridCol w:w="1025"/>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7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 Transactions not involving a purchase or sale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Bona fide gifts of Company Securities are subject to this Policy. Unless approved in advance by the Compliance Officer, a person subject to this Policy may not make a gift, charitable contribution or other transfer without consideration of Company Securities during a period when such person cannot trade.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Special and prohibited transactions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 Short-Term Trading.</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 Short Sales.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(Short sales arising from certain types of hedging transactions are governed by the paragraph below captioned “Hedging Transactions.”)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6.5.3 Publicly-Traded Options.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short term of publicly 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pStyle w:val="TextBody"/>
        <w:bidi w:val="0"/>
        <w:ind w:left="0" w:right="0" w:hanging="0"/>
        <w:jc w:val="left"/>
        <w:rPr>
          <w:caps w:val="false"/>
          <w:smallCaps w:val="false"/>
        </w:rPr>
      </w:pPr>
      <w:r>
        <w:rPr>
          <w:caps w:val="false"/>
          <w:smallCaps w:val="false"/>
        </w:rPr>
        <w:t> </w:t>
      </w:r>
    </w:p>
    <w:tbl>
      <w:tblPr>
        <w:tblW w:w="3426" w:type="dxa"/>
        <w:jc w:val="left"/>
        <w:tblInd w:w="0" w:type="dxa"/>
        <w:tblLayout w:type="fixed"/>
        <w:tblCellMar>
          <w:top w:w="0" w:type="dxa"/>
          <w:left w:w="0" w:type="dxa"/>
          <w:bottom w:w="0" w:type="dxa"/>
          <w:right w:w="0" w:type="dxa"/>
        </w:tblCellMar>
      </w:tblPr>
      <w:tblGrid>
        <w:gridCol w:w="38"/>
        <w:gridCol w:w="1025"/>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8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6.5.4 Hedging Transactions.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the Company strongly discourages you from engaging in such transactions. Any person wishing to enter into such an arrangement must first submit the proposed transaction for approval by the Compliance Officer. Any request for pre-clearance of a hedging or similar arrangement must be submitted to the Compliance Officer at least two weeks prior to the proposed execution of documents evidencing the proposed transaction and must set forth a justification for the proposed transaction.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6.5.5 Margin Accounts and Pledged Securities.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6.5.6 Standing and Limit Orders.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ADDITIONAL PROCEDURES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pStyle w:val="TextBody"/>
        <w:bidi w:val="0"/>
        <w:ind w:left="0" w:right="0" w:hanging="0"/>
        <w:jc w:val="both"/>
        <w:rPr>
          <w:caps w:val="false"/>
          <w:smallCaps w:val="false"/>
        </w:rPr>
      </w:pPr>
      <w:r>
        <w:rPr>
          <w:caps w:val="false"/>
          <w:smallCaps w:val="false"/>
        </w:rPr>
        <w:t> </w:t>
      </w:r>
    </w:p>
    <w:tbl>
      <w:tblPr>
        <w:tblW w:w="3426" w:type="dxa"/>
        <w:jc w:val="left"/>
        <w:tblInd w:w="0" w:type="dxa"/>
        <w:tblLayout w:type="fixed"/>
        <w:tblCellMar>
          <w:top w:w="0" w:type="dxa"/>
          <w:left w:w="0" w:type="dxa"/>
          <w:bottom w:w="0" w:type="dxa"/>
          <w:right w:w="0" w:type="dxa"/>
        </w:tblCellMar>
      </w:tblPr>
      <w:tblGrid>
        <w:gridCol w:w="38"/>
        <w:gridCol w:w="1025"/>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0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9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 Pre-Clearance Procedures.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designated by the Compliance Officer as being subject to these procedures, as well as the Family Members and Controlled Entities of such persons, may not engage in any transaction in Company Securities without first obtaining pre-clearance of the transaction from the Compliance Officer. A request for preclearance should be submitted to the Compliance Officer at least two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request for pre-clearance is made, the requestor should carefully consider whether he or she may be aware of any material nonpublic information about the Company, and should describe fully those circumstances to the Compliance Officer. The requestor should also be prepared to comply with SEC Rule 144 and file a Form 144, if necessary, at the time of any sale.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 Semi-Annual Trading Restrictions.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persons designated by the Compliance Officer as subject to this restriction, as well as their Family Members or Controlled Entities, may not conduct any transactions involving the Company Securities (other than as specified by this Policy), during a “</w:t>
      </w:r>
      <w:r>
        <w:rPr>
          <w:rFonts w:ascii="Times New Roman;Times;Serif" w:hAnsi="Times New Roman;Times;Serif"/>
          <w:b/>
          <w:i/>
          <w:caps w:val="false"/>
          <w:smallCaps w:val="false"/>
          <w:sz w:val="20"/>
        </w:rPr>
        <w:t>Blackout Period</w:t>
      </w:r>
      <w:r>
        <w:rPr>
          <w:rFonts w:ascii="Times New Roman;Times;Serif" w:hAnsi="Times New Roman;Times;Serif"/>
          <w:b w:val="false"/>
          <w:i w:val="false"/>
          <w:caps w:val="false"/>
          <w:smallCaps w:val="false"/>
          <w:sz w:val="20"/>
        </w:rPr>
        <w:t>” beginning fifteen days prior to the end of each semi-annual fiscal period (i.e., June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and December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and ending on the second business day following the date of the public release of the Company’s earnings results for that period. In other words, these persons may only conduct transactions in Company Securities during the “</w:t>
      </w:r>
      <w:r>
        <w:rPr>
          <w:rFonts w:ascii="Times New Roman;Times;Serif" w:hAnsi="Times New Roman;Times;Serif"/>
          <w:b/>
          <w:i/>
          <w:caps w:val="false"/>
          <w:smallCaps w:val="false"/>
          <w:sz w:val="20"/>
        </w:rPr>
        <w:t>Window Period</w:t>
      </w:r>
      <w:r>
        <w:rPr>
          <w:rFonts w:ascii="Times New Roman;Times;Serif" w:hAnsi="Times New Roman;Times;Serif"/>
          <w:b w:val="false"/>
          <w:i w:val="false"/>
          <w:caps w:val="false"/>
          <w:smallCaps w:val="false"/>
          <w:sz w:val="20"/>
        </w:rPr>
        <w:t>” beginning on the second business day following the public release of the Company’s earnings and ending fifteen days prior to the close of the next semi-annual fiscal period.</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very limited circumstances, a person subject to this restriction may be permitted to trade during a Blackout Period, but only if the Compliance Officer concludes that the person does not in fact possess material nonpublic information. Persons wishing to trade during a Blackout Period must contact the Compliance Officer for approval at least two business days in advance of any proposed transaction involving Company Securities.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 Event-Specific Trading Restriction Periods.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an event may occur that is material to the Company and is known by only a few directors, officers and/or employees. So long as the event remains material and nonpublic, the persons designated by the Compliance Officer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 Exceptions will not be granted during an event-specific trading restriction period.</w:t>
      </w:r>
    </w:p>
    <w:p>
      <w:pPr>
        <w:pStyle w:val="TextBody"/>
        <w:bidi w:val="0"/>
        <w:ind w:left="0" w:right="0" w:hanging="0"/>
        <w:jc w:val="left"/>
        <w:rPr>
          <w:caps w:val="false"/>
          <w:smallCaps w:val="false"/>
        </w:rPr>
      </w:pPr>
      <w:r>
        <w:rPr>
          <w:caps w:val="false"/>
          <w:smallCaps w:val="false"/>
        </w:rPr>
        <w:t> </w:t>
      </w:r>
    </w:p>
    <w:tbl>
      <w:tblPr>
        <w:tblW w:w="3531" w:type="dxa"/>
        <w:jc w:val="left"/>
        <w:tblInd w:w="0" w:type="dxa"/>
        <w:tblLayout w:type="fixed"/>
        <w:tblCellMar>
          <w:top w:w="0" w:type="dxa"/>
          <w:left w:w="0" w:type="dxa"/>
          <w:bottom w:w="0" w:type="dxa"/>
          <w:right w:w="0" w:type="dxa"/>
        </w:tblCellMar>
      </w:tblPr>
      <w:tblGrid>
        <w:gridCol w:w="38"/>
        <w:gridCol w:w="1130"/>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10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 Exceptions.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semi-annual trading restrictions and event-driven trading restrictions do not apply to those transactions to which this Policy does not apply, as described above under the headings “Transactions Under Company Plans.” Further, the requirement for pre-clearance, the semi-annual trading restrictions and event driven trading restrictions do not apply to transactions conducted pursuant to approved Rule 10b5-1 plans, described under the heading “Rule 10b5-1 Plans.”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 Rule 10b5-1 plans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10b5-1 under the U.S.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provides a defense from insider trading liability under Rule 10b-5 under the Exchange Act. In order to be eligible to rely on this defense, a person subject to this Policy must enter into a Rule 10b5-1 plan for transactions in Company Securities that meets certain conditions specified in the Rule (a “</w:t>
      </w:r>
      <w:r>
        <w:rPr>
          <w:rFonts w:ascii="Times New Roman;Times;Serif" w:hAnsi="Times New Roman;Times;Serif"/>
          <w:b/>
          <w:i/>
          <w:caps w:val="false"/>
          <w:smallCaps w:val="false"/>
          <w:sz w:val="20"/>
        </w:rPr>
        <w:t>Rule 10b5-1 Plan</w:t>
      </w:r>
      <w:r>
        <w:rPr>
          <w:rFonts w:ascii="Times New Roman;Times;Serif" w:hAnsi="Times New Roman;Times;Serif"/>
          <w:b w:val="false"/>
          <w:i w:val="false"/>
          <w:caps w:val="false"/>
          <w:smallCaps w:val="false"/>
          <w:sz w:val="20"/>
        </w:rPr>
        <w:t>”). If the plan meets the requirements of Rule 10b5-1, Company Securities may be purchased or sold without regard to certain insider trading restrictions.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enter into a Rule 10b5- 1 Plan pursuant to this Policy, the following requirements must be satisfied:</w:t>
      </w:r>
    </w:p>
    <w:p>
      <w:pPr>
        <w:pStyle w:val="TextBody"/>
        <w:bidi w:val="0"/>
        <w:ind w:left="0" w:right="0" w:hanging="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 10b5-1 Plan must comply with the requirements of Rule 10b5-1 under the Exchange Act and this Policy.</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rPr>
              <w:t xml:space="preserve">The Rule 10b5-1 Plan must be submitted to the Compliance Officer for approval and the person adopting the Rule 10b5- 1 Plan must certify to the Compliance Officer in writing, no earlier than five days prior to the date that the 10b5-1 Plan is formally adopted (and shall not have withdrawn such certification prior to such adoption), that as of such date and as of the adoption date of the 10b5-1 Plan, (i) such person is not and, to their knowledge, will not be, aware of material nonpublic information, </w:t>
            </w:r>
            <w:r>
              <w:rPr>
                <w:rFonts w:ascii="Times New Roman;Times;Serif" w:hAnsi="Times New Roman;Times;Serif"/>
              </w:rPr>
              <w:t>(ii) all trades to be made pursuant to the 10b5-1 Plan will be in accordance with applicable SEC rules, (iii) such person is adopting the 10b5-1 Plan in good faith and not as part of a plan or scheme to evade the prohibitions of Section 10(b) of the Exchange Act and Rule 10b-5 of the Exchange Act, and (iv) such person will act in good faith with respect to the 10b5-1 Plan throughout its duration. Such person must notify the Compliance Officer promptly and withdraw the certification if any changes of circumstances prior to the adoption date of the 10b5-1 Plan have or will render such certification to be inaccurate as of that time.</w:t>
            </w:r>
          </w:p>
        </w:tc>
      </w:tr>
    </w:tbl>
    <w:p>
      <w:pPr>
        <w:pStyle w:val="TextBody"/>
        <w:bidi w:val="0"/>
        <w:ind w:left="0" w:right="0" w:hanging="0"/>
        <w:jc w:val="left"/>
        <w:rPr>
          <w:caps w:val="false"/>
          <w:smallCaps w:val="false"/>
        </w:rPr>
      </w:pPr>
      <w:r>
        <w:rPr>
          <w:caps w:val="false"/>
          <w:smallCaps w:val="false"/>
        </w:rPr>
        <w:t> </w:t>
      </w:r>
    </w:p>
    <w:tbl>
      <w:tblPr>
        <w:tblW w:w="3531" w:type="dxa"/>
        <w:jc w:val="left"/>
        <w:tblInd w:w="0" w:type="dxa"/>
        <w:tblLayout w:type="fixed"/>
        <w:tblCellMar>
          <w:top w:w="0" w:type="dxa"/>
          <w:left w:w="0" w:type="dxa"/>
          <w:bottom w:w="0" w:type="dxa"/>
          <w:right w:w="0" w:type="dxa"/>
        </w:tblCellMar>
      </w:tblPr>
      <w:tblGrid>
        <w:gridCol w:w="38"/>
        <w:gridCol w:w="1130"/>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11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first trade under the Rule 10b5- 1 Plan must not occur: (i) for directors and officers of the Company, until the later of (A) ninety (90) days after adoption of the 10b5-1 Plan and (B) two (2) business days following the disclosure of the Company’s financial results in a Form 20-F or Form 6-K for the completed fiscal quarter in which the 10b5-1 Plan was adopted that discloses the Company’s financial results (but not to exceed 120 days following the adoption of the 10b5-1 Plan); and (ii) for persons other than directors and officers of the Company, thirty (30) days after adoption of the 10b5-1 Plan, in each case, following the Compliance Officer’s approval of the Rule 10b5- 1 Plan. These waiting periods are collectively referred to as the “</w:t>
            </w:r>
            <w:r>
              <w:rPr>
                <w:rFonts w:ascii="Times New Roman;Times;Serif" w:hAnsi="Times New Roman;Times;Serif"/>
                <w:b/>
                <w:i/>
                <w:sz w:val="20"/>
              </w:rPr>
              <w:t>Cooling-Off Period</w:t>
            </w:r>
            <w:r>
              <w:rPr>
                <w:rFonts w:ascii="Times New Roman;Times;Serif" w:hAnsi="Times New Roman;Times;Serif"/>
                <w:sz w:val="20"/>
              </w:rPr>
              <w:t>.”</w:t>
            </w:r>
          </w:p>
        </w:tc>
      </w:tr>
    </w:tbl>
    <w:p>
      <w:pPr>
        <w:pStyle w:val="TextBody"/>
        <w:bidi w:val="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10b5-1 Plan must not be a single-trade 10b5-1 Plan adopted during the 12-month period immediately following the person’s adoption of another single-trade 10b5-1 Plan, subject to the exceptions noted in Rule 10b5-1.</w:t>
            </w:r>
          </w:p>
        </w:tc>
      </w:tr>
    </w:tbl>
    <w:p>
      <w:pPr>
        <w:pStyle w:val="TextBody"/>
        <w:bidi w:val="0"/>
        <w:ind w:left="0" w:right="0" w:hanging="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 10b5- 1 Plan must be adopted during a Trading Window and not during any Blackout Period.</w:t>
            </w:r>
          </w:p>
        </w:tc>
      </w:tr>
    </w:tbl>
    <w:p>
      <w:pPr>
        <w:pStyle w:val="TextBody"/>
        <w:bidi w:val="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person may have no more than one 10b5-1 Plan adopted at any point in time (i.e., multiple concurrent or overlapping plans are prohibited), subject to the exceptions noted in Rule 10b5-1.</w:t>
            </w:r>
          </w:p>
        </w:tc>
      </w:tr>
    </w:tbl>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person has an approved 10b5-1 Plan in place, such person will need approval from the Compliance Officer to make certain changes to it. Modifying or changing the amount, price, or timing of the purchase or sale of Company Securities underlying the 10b5-1 Plan (or a modification or change to a written formula or algorithm, or computer program that affects the amount, price, or timing of the purchase or sale of such securities) (any such modification or change, a “</w:t>
      </w:r>
      <w:r>
        <w:rPr>
          <w:rFonts w:ascii="Times New Roman;Times;Serif" w:hAnsi="Times New Roman;Times;Serif"/>
          <w:b/>
          <w:i/>
          <w:caps w:val="false"/>
          <w:smallCaps w:val="false"/>
          <w:sz w:val="20"/>
        </w:rPr>
        <w:t>Plan Modification</w:t>
      </w:r>
      <w:r>
        <w:rPr>
          <w:rFonts w:ascii="Times New Roman;Times;Serif" w:hAnsi="Times New Roman;Times;Serif"/>
          <w:b w:val="false"/>
          <w:i w:val="false"/>
          <w:caps w:val="false"/>
          <w:smallCaps w:val="false"/>
          <w:sz w:val="20"/>
        </w:rPr>
        <w:t>”) will be deemed to be the same as terminating the existing 10b5-1 Plan and entering into a new 10b5-1 Plan. As a result, the approval process for a Plan Modification is the same as the approval process for initially adopting a 10b5-1 Plan, including being subject to a new Cooling-Off Period.</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person has an approved 10b5-1 Plan in place, they will need approval from the Compliance Officer to terminate it.</w:t>
      </w:r>
    </w:p>
    <w:p>
      <w:pPr>
        <w:pStyle w:val="TextBody"/>
        <w:bidi w:val="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this Policy may also enter into a “non-Rule 10b5-1 trading arrangement” (as defined in Regulation S-K Item 408(c)). The approval process for a non-Rule 10b5-1 trading arrangement will be subject to the same approval process as a 10b5-1 Plan except the non-Rule 10b5-1 trading arrangement is not subject to a Cooling-off Period.</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 Post-termination transactions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of service.</w:t>
      </w:r>
    </w:p>
    <w:p>
      <w:pPr>
        <w:pStyle w:val="TextBody"/>
        <w:bidi w:val="0"/>
        <w:ind w:left="0" w:right="0" w:hanging="0"/>
        <w:jc w:val="left"/>
        <w:rPr>
          <w:caps w:val="false"/>
          <w:smallCaps w:val="false"/>
        </w:rPr>
      </w:pPr>
      <w:r>
        <w:rPr>
          <w:caps w:val="false"/>
          <w:smallCaps w:val="false"/>
        </w:rPr>
        <w:t> </w:t>
      </w:r>
    </w:p>
    <w:tbl>
      <w:tblPr>
        <w:tblW w:w="3531" w:type="dxa"/>
        <w:jc w:val="left"/>
        <w:tblInd w:w="0" w:type="dxa"/>
        <w:tblLayout w:type="fixed"/>
        <w:tblCellMar>
          <w:top w:w="0" w:type="dxa"/>
          <w:left w:w="0" w:type="dxa"/>
          <w:bottom w:w="0" w:type="dxa"/>
          <w:right w:w="0" w:type="dxa"/>
        </w:tblCellMar>
      </w:tblPr>
      <w:tblGrid>
        <w:gridCol w:w="38"/>
        <w:gridCol w:w="1130"/>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12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 Consequences of violations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or sale of securities while aware of material nonpublic information, or the disclosure of material nonpublic information to others who then trade in the Company’s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is prohibited by U.S.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 Company assistance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has a question about this Policy or its application to any proposed transaction may obtain additional guidance from the Compliance Officer.</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 Certification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persons subject to this Policy must certify their understanding of, and intent to comply with, this Policy. See Annex 1.</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REVIEW AND REVISIONS</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will be reviewed periodically (at least every 3 years) and updated if necessary.</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REASON FOR CHANGE</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was amended effective as of February 27, 2022 as a result of the SEC’s adoption of amendments to Rule 10b5-1 under the Exchange Act and new disclosure requirements to enhance investor protections against insider trading, as well as to incorporate ministerial and clarifying changes.</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PREVIOUS HISTORY OF POLICY</w:t>
      </w:r>
    </w:p>
    <w:p>
      <w:pPr>
        <w:pStyle w:val="TextBody"/>
        <w:bidi w:val="0"/>
        <w:ind w:left="0" w:right="0" w:hanging="1162"/>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was originally adopted effective as of July 21, 2021, and subsequently amended effective as of February 27, 2023.</w:t>
      </w:r>
    </w:p>
    <w:p>
      <w:pPr>
        <w:pStyle w:val="TextBody"/>
        <w:bidi w:val="0"/>
        <w:ind w:left="0" w:right="0" w:hanging="0"/>
        <w:jc w:val="left"/>
        <w:rPr>
          <w:caps w:val="false"/>
          <w:smallCaps w:val="false"/>
        </w:rPr>
      </w:pPr>
      <w:r>
        <w:rPr>
          <w:caps w:val="false"/>
          <w:smallCaps w:val="false"/>
        </w:rPr>
        <w:t> </w:t>
      </w:r>
    </w:p>
    <w:tbl>
      <w:tblPr>
        <w:tblW w:w="3531" w:type="dxa"/>
        <w:jc w:val="left"/>
        <w:tblInd w:w="0" w:type="dxa"/>
        <w:tblLayout w:type="fixed"/>
        <w:tblCellMar>
          <w:top w:w="0" w:type="dxa"/>
          <w:left w:w="0" w:type="dxa"/>
          <w:bottom w:w="0" w:type="dxa"/>
          <w:right w:w="0" w:type="dxa"/>
        </w:tblCellMar>
      </w:tblPr>
      <w:tblGrid>
        <w:gridCol w:w="38"/>
        <w:gridCol w:w="1130"/>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13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tbl>
      <w:tblPr>
        <w:tblW w:w="2830" w:type="dxa"/>
        <w:jc w:val="left"/>
        <w:tblInd w:w="0" w:type="dxa"/>
        <w:tblLayout w:type="fixed"/>
        <w:tblCellMar>
          <w:top w:w="0" w:type="dxa"/>
          <w:left w:w="0" w:type="dxa"/>
          <w:bottom w:w="0" w:type="dxa"/>
          <w:right w:w="0" w:type="dxa"/>
        </w:tblCellMar>
      </w:tblPr>
      <w:tblGrid>
        <w:gridCol w:w="2792"/>
        <w:gridCol w:w="38"/>
      </w:tblGrid>
      <w:tr>
        <w:trPr/>
        <w:tc>
          <w:tcPr>
            <w:tcW w:w="2792" w:type="dxa"/>
            <w:tcBorders/>
            <w:vAlign w:val="center"/>
          </w:tcPr>
          <w:p>
            <w:pPr>
              <w:pStyle w:val="TableContents"/>
              <w:bidi w:val="0"/>
              <w:spacing w:before="12" w:after="12"/>
              <w:ind w:left="20" w:right="1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February 27, 2023</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1: CERTIFICATION FORMAT</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certify that:</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read and understand the Company’s Insider Trading Policy (the “Policy”). I understand that the Compliance Officer is available to answer any questions I have regarding the Policy.</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15, 2021, or such shorter period of time that I have been an employee of the Company, I have complied with the Policy.</w:t>
            </w:r>
          </w:p>
        </w:tc>
      </w:tr>
    </w:tbl>
    <w:p>
      <w:pPr>
        <w:pStyle w:val="TextBody"/>
        <w:bidi w:val="0"/>
        <w:ind w:left="0" w:right="0" w:hanging="0"/>
        <w:jc w:val="left"/>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17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 continue to comply with the Policy for as long as I am subject to the Policy.</w:t>
            </w:r>
          </w:p>
        </w:tc>
      </w:tr>
    </w:tbl>
    <w:p>
      <w:pPr>
        <w:pStyle w:val="TextBody"/>
        <w:bidi w:val="0"/>
        <w:ind w:left="0" w:right="0" w:hanging="36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Print name: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p>
      <w:pPr>
        <w:pStyle w:val="TextBody"/>
        <w:bidi w:val="0"/>
        <w:ind w:left="0" w:right="0" w:hanging="0"/>
        <w:jc w:val="left"/>
        <w:rPr>
          <w:caps w:val="false"/>
          <w:smallCaps w:val="false"/>
        </w:rPr>
      </w:pPr>
      <w:r>
        <w:rPr>
          <w:caps w:val="false"/>
          <w:smallCaps w:val="false"/>
        </w:rPr>
        <w:t> </w:t>
      </w:r>
    </w:p>
    <w:tbl>
      <w:tblPr>
        <w:tblW w:w="3531" w:type="dxa"/>
        <w:jc w:val="left"/>
        <w:tblInd w:w="0" w:type="dxa"/>
        <w:tblLayout w:type="fixed"/>
        <w:tblCellMar>
          <w:top w:w="0" w:type="dxa"/>
          <w:left w:w="0" w:type="dxa"/>
          <w:bottom w:w="0" w:type="dxa"/>
          <w:right w:w="0" w:type="dxa"/>
        </w:tblCellMar>
      </w:tblPr>
      <w:tblGrid>
        <w:gridCol w:w="38"/>
        <w:gridCol w:w="1130"/>
        <w:gridCol w:w="2363"/>
      </w:tblGrid>
      <w:tr>
        <w:trPr/>
        <w:tc>
          <w:tcPr>
            <w:tcW w:w="38" w:type="dxa"/>
            <w:tcBorders/>
            <w:vAlign w:val="center"/>
          </w:tcPr>
          <w:p>
            <w:pPr>
              <w:pStyle w:val="TableContents"/>
              <w:bidi w:val="0"/>
              <w:spacing w:before="0" w:after="283"/>
              <w:ind w:left="20" w:right="14" w:hanging="0"/>
              <w:jc w:val="left"/>
              <w:rPr>
                <w:sz w:val="4"/>
                <w:szCs w:val="4"/>
              </w:rPr>
            </w:pPr>
            <w:r>
              <w:rPr>
                <w:sz w:val="4"/>
                <w:szCs w:val="4"/>
              </w:rPr>
            </w:r>
          </w:p>
        </w:tc>
        <w:tc>
          <w:tcPr>
            <w:tcW w:w="11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 14 of 14</w:t>
            </w:r>
          </w:p>
        </w:tc>
        <w:tc>
          <w:tcPr>
            <w:tcW w:w="2363" w:type="dxa"/>
            <w:tcBorders/>
            <w:vAlign w:val="center"/>
          </w:tcPr>
          <w:p>
            <w:pPr>
              <w:pStyle w:val="TableContents"/>
              <w:bidi w:val="0"/>
              <w:spacing w:lineRule="atLeast" w:line="161" w:before="21" w:after="21"/>
              <w:ind w:left="18" w:right="18"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July 21, 2022</w:t>
            </w:r>
          </w:p>
        </w:tc>
      </w:tr>
    </w:tbl>
    <w:p>
      <w:pPr>
        <w:pStyle w:val="TextBody"/>
        <w:bidi w:val="0"/>
        <w:spacing w:before="0" w:after="0"/>
        <w:ind w:left="0" w:right="0" w:hanging="0"/>
        <w:jc w:val="center"/>
        <w:rPr>
          <w:caps w:val="false"/>
          <w:smallCaps w:val="false"/>
        </w:rPr>
      </w:pPr>
      <w:bookmarkStart w:id="980" w:name="ex12-1.htm"/>
      <w:bookmarkStart w:id="981" w:name="ksex121"/>
      <w:bookmarkEnd w:id="980"/>
      <w:bookmarkEnd w:id="98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 (Principal Executive Officer) pursuant to Rule 13a-14(a) of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Pierluigi Paracchi, certify that:</w:t>
      </w:r>
    </w:p>
    <w:p>
      <w:pPr>
        <w:pStyle w:val="TextBody"/>
        <w:bidi w:val="0"/>
        <w:spacing w:before="0" w:after="0"/>
        <w:ind w:left="0" w:right="0" w:hanging="0"/>
        <w:jc w:val="left"/>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Genenta Science S.p.A.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28, 2025</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590"/>
        <w:gridCol w:w="236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82" w:name="ex12-2.htm"/>
      <w:bookmarkStart w:id="983" w:name="ksex122"/>
      <w:bookmarkEnd w:id="982"/>
      <w:bookmarkEnd w:id="98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Financial Officer (Principal Financial Officer) pursuant to Rule 13a-14(a) of the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as amended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Richard B. Slansky,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annual report on Form 20-F of Genenta Science S.p.A.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Company’s other certifying officer(s) and I have disclosed, based on our most recent evaluation of internal control over financial reporting, to the Company’s auditors and the board of statutory auditors, acting as the audit committee of the Company’s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28, 2025</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545"/>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984" w:name="ex13-1.htm"/>
      <w:bookmarkStart w:id="985" w:name="ksex131"/>
      <w:bookmarkEnd w:id="984"/>
      <w:bookmarkEnd w:id="98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Chief Executive Officer and Chief Financial Officer pursuant to 18 U.S.C.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U.S.C. Section 1350 of the Sarbanes-Oxley Act of 2002 (subsections (a) and (b) of Section 1350, Chapter 63 of Title 18, United States Code), as adopted pursuant to Section 906 of the Sarbanes-Oxley Act of 2002, each of the undersigned officers of Genenta Science S.p.A. (the “Company”), does hereby certify, to such officer’s knowledge,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on Form 20-F for the year ended December 31, 2024 of the Company (the “Annual Report”) fully complies with the requirements of Section 13(a) or 15(d) of the Securities Exchange Act of 1934, as amended;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Annual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1325"/>
        <w:gridCol w:w="545"/>
        <w:gridCol w:w="3650"/>
      </w:tblGrid>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41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2025</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2025</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Richard B. Slansky</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B. Slansky</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986" w:name="ex23-1.htm"/>
      <w:bookmarkStart w:id="987" w:name="ksex231"/>
      <w:bookmarkEnd w:id="986"/>
      <w:bookmarkEnd w:id="98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F-3 (No.  333-271901) and in the Registration Statement on Form S-8 (No. 333-278392) of our report dated March 28, 2025, with respect to the consolidated financial statements of Genenta Science S.p.A included in this Form 20-F of Genenta Science S.p.A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75"/>
        <w:gridCol w:w="2465"/>
      </w:tblGrid>
      <w:tr>
        <w:trPr/>
        <w:tc>
          <w:tcPr>
            <w:tcW w:w="7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Dannible &amp; McKee, LLP</w:t>
            </w:r>
          </w:p>
        </w:tc>
      </w:tr>
      <w:tr>
        <w:trPr/>
        <w:tc>
          <w:tcPr>
            <w:tcW w:w="7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Syracuse, New York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43225" cy="3524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0"/>
                    <a:stretch>
                      <a:fillRect/>
                    </a:stretch>
                  </pic:blipFill>
                  <pic:spPr bwMode="auto">
                    <a:xfrm>
                      <a:off x="0" y="0"/>
                      <a:ext cx="2943225" cy="3524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838716/000149315221027683/ex3-1.htm" TargetMode="External"/><Relationship Id="rId14" Type="http://schemas.openxmlformats.org/officeDocument/2006/relationships/hyperlink" Target="https://www.sec.gov/Archives/edgar/data/1838716/000149315223013272/ex3-2.htm" TargetMode="External"/><Relationship Id="rId15" Type="http://schemas.openxmlformats.org/officeDocument/2006/relationships/hyperlink" Target="https://www.sec.gov/Archives/edgar/data/1838716/000149315224017701/ex3-1.htm" TargetMode="External"/><Relationship Id="rId16" Type="http://schemas.openxmlformats.org/officeDocument/2006/relationships/hyperlink" Target="https://www.sec.gov/Archives/edgar/data/1838716/000149315221027683/ex4-1.htm" TargetMode="External"/><Relationship Id="rId17" Type="http://schemas.openxmlformats.org/officeDocument/2006/relationships/hyperlink" Target="https://www.sec.gov/Archives/edgar/data/1838716/000149315221027683/ex4-1.htm" TargetMode="External"/><Relationship Id="rId18" Type="http://schemas.openxmlformats.org/officeDocument/2006/relationships/hyperlink" Target="https://www.sec.gov/Archives/edgar/data/1838716/000149315222011671/ex4-3.htm" TargetMode="External"/><Relationship Id="rId19" Type="http://schemas.openxmlformats.org/officeDocument/2006/relationships/hyperlink" Target="https://www.sec.gov/Archives/edgar/data/1838716/000149315223013272/ex10-17.htm" TargetMode="External"/><Relationship Id="rId20" Type="http://schemas.openxmlformats.org/officeDocument/2006/relationships/hyperlink" Target="https://www.sec.gov/Archives/edgar/data/1838716/000149315223037845/ex10-2.htm" TargetMode="External"/><Relationship Id="rId21" Type="http://schemas.openxmlformats.org/officeDocument/2006/relationships/hyperlink" Target="https://www.sec.gov/Archives/edgar/data/1838716/000149315223037845/ex10-1.htm" TargetMode="External"/><Relationship Id="rId22" Type="http://schemas.openxmlformats.org/officeDocument/2006/relationships/hyperlink" Target="https://www.sec.gov/Archives/edgar/data/1838716/000149315221027683/ex10-5.htm" TargetMode="External"/><Relationship Id="rId23" Type="http://schemas.openxmlformats.org/officeDocument/2006/relationships/hyperlink" Target="https://www.sec.gov/Archives/edgar/data/1838716/000149315221027683/ex10-6.htm" TargetMode="External"/><Relationship Id="rId24" Type="http://schemas.openxmlformats.org/officeDocument/2006/relationships/hyperlink" Target="https://www.sec.gov/Archives/edgar/data/1838716/000149315221027683/ex10-7.htm" TargetMode="External"/><Relationship Id="rId25" Type="http://schemas.openxmlformats.org/officeDocument/2006/relationships/hyperlink" Target="https://www.sec.gov/Archives/edgar/data/1838716/000149315221027683/ex10-8.htm" TargetMode="External"/><Relationship Id="rId26" Type="http://schemas.openxmlformats.org/officeDocument/2006/relationships/hyperlink" Target="https://www.sec.gov/Archives/edgar/data/1838716/000149315221027683/ex10-9.htm" TargetMode="External"/><Relationship Id="rId27" Type="http://schemas.openxmlformats.org/officeDocument/2006/relationships/hyperlink" Target="https://www.sec.gov/Archives/edgar/data/1838716/000149315221027683/ex10-10.htm" TargetMode="External"/><Relationship Id="rId28" Type="http://schemas.openxmlformats.org/officeDocument/2006/relationships/hyperlink" Target="https://www.sec.gov/Archives/edgar/data/1838716/000149315221027683/ex10-11.htm" TargetMode="External"/><Relationship Id="rId29" Type="http://schemas.openxmlformats.org/officeDocument/2006/relationships/hyperlink" Target="https://www.sec.gov/Archives/edgar/data/1838716/000149315223003331/ex10-1.htm" TargetMode="External"/><Relationship Id="rId30" Type="http://schemas.openxmlformats.org/officeDocument/2006/relationships/hyperlink" Target="https://www.sec.gov/Archives/edgar/data/1838716/000149315224042886/ex10-1.htm" TargetMode="External"/><Relationship Id="rId31" Type="http://schemas.openxmlformats.org/officeDocument/2006/relationships/hyperlink" Target="https://www.sec.gov/Archives/edgar/data/1838716/000149315224042886/ex10-2.htm" TargetMode="External"/><Relationship Id="rId32" Type="http://schemas.openxmlformats.org/officeDocument/2006/relationships/hyperlink" Target="https://www.sec.gov/Archives/edgar/data/1838716/000149315224016787/ex1-1.htm" TargetMode="External"/><Relationship Id="rId33" Type="http://schemas.openxmlformats.org/officeDocument/2006/relationships/hyperlink" Target="https://www.sec.gov/Archives/edgar/data/1838716/000149315224051070/ex1-1.htm" TargetMode="External"/><Relationship Id="rId34" Type="http://schemas.openxmlformats.org/officeDocument/2006/relationships/hyperlink" Target="https://www.sec.gov/Archives/edgar/data/1838716/000149315224052474/ex10-1.htm" TargetMode="External"/><Relationship Id="rId35" Type="http://schemas.openxmlformats.org/officeDocument/2006/relationships/hyperlink" Target="https://www.sec.gov/Archives/edgar/data/1838716/000149315225010883/ex10-1.htm" TargetMode="External"/><Relationship Id="rId36" Type="http://schemas.openxmlformats.org/officeDocument/2006/relationships/hyperlink" Target="https://www.sec.gov/Archives/edgar/data/1838716/000149315225010883/ex10-2.htm" TargetMode="External"/><Relationship Id="rId37" Type="http://schemas.openxmlformats.org/officeDocument/2006/relationships/hyperlink" Target="https://www.sec.gov/Archives/edgar/data/1838716/000149315222011671/ex11-1.htm" TargetMode="External"/><Relationship Id="rId38" Type="http://schemas.openxmlformats.org/officeDocument/2006/relationships/hyperlink" Target="https://www.sec.gov/Archives/edgar/data/1838716/000149315224011999/ex97-1.htm" TargetMode="External"/><Relationship Id="rId39" Type="http://schemas.openxmlformats.org/officeDocument/2006/relationships/image" Target="media/image12.jpeg"/><Relationship Id="rId40" Type="http://schemas.openxmlformats.org/officeDocument/2006/relationships/image" Target="media/image13.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133509</Words>
  <Characters>738900</Characters>
  <CharactersWithSpaces>874535</CharactersWithSpaces>
  <Paragraphs>13064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