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351790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0" w:lineRule="exact"/>
        <w:rPr>
          <w:sz w:val="24"/>
          <w:szCs w:val="24"/>
          <w:color w:val="auto"/>
        </w:rPr>
      </w:pPr>
    </w:p>
    <w:p>
      <w:pPr>
        <w:ind w:left="5500" w:right="1020" w:hanging="5493"/>
        <w:spacing w:after="0" w:line="473" w:lineRule="auto"/>
        <w:tabs>
          <w:tab w:leader="none" w:pos="3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 (g) OF THE SECURITIES EXCHANGE ACT OF 1934 OR</w:t>
      </w:r>
    </w:p>
    <w:p>
      <w:pPr>
        <w:spacing w:after="0" w:line="38" w:lineRule="exact"/>
        <w:rPr>
          <w:sz w:val="24"/>
          <w:szCs w:val="24"/>
          <w:color w:val="auto"/>
        </w:rPr>
      </w:pPr>
    </w:p>
    <w:p>
      <w:pPr>
        <w:ind w:left="320" w:right="2220" w:hanging="313"/>
        <w:spacing w:after="0" w:line="495" w:lineRule="auto"/>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0" w:lineRule="exact"/>
        <w:rPr>
          <w:sz w:val="24"/>
          <w:szCs w:val="24"/>
          <w:color w:val="auto"/>
        </w:rPr>
      </w:pPr>
    </w:p>
    <w:p>
      <w:pPr>
        <w:ind w:left="5500" w:right="1860" w:hanging="5493"/>
        <w:spacing w:after="0" w:line="473" w:lineRule="auto"/>
        <w:tabs>
          <w:tab w:leader="none" w:pos="333"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38" w:lineRule="exact"/>
        <w:rPr>
          <w:rFonts w:ascii="MS PGothic" w:cs="MS PGothic" w:eastAsia="MS PGothic" w:hAnsi="MS PGothic"/>
          <w:sz w:val="18"/>
          <w:szCs w:val="18"/>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2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of event requiring this shell company report__________</w:t>
      </w:r>
    </w:p>
    <w:p>
      <w:pPr>
        <w:spacing w:after="0" w:line="21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001-41115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Italy</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 dell’Annunciata No. 31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Milan, Italy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 dell’Annunciata No. 31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Milan, Italy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Pierluigi Paracchi</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+39- 02.29.00.10.55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pierluigi.paracchi@genenta.com</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4"/>
        </w:trPr>
        <w:tc>
          <w:tcPr>
            <w:tcW w:w="42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American depositary shares (each American depositary</w:t>
            </w:r>
          </w:p>
        </w:tc>
        <w:tc>
          <w:tcPr>
            <w:tcW w:w="220" w:type="dxa"/>
            <w:vAlign w:val="bottom"/>
          </w:tcPr>
          <w:p>
            <w:pPr>
              <w:spacing w:after="0"/>
              <w:rPr>
                <w:sz w:val="16"/>
                <w:szCs w:val="16"/>
                <w:color w:val="auto"/>
              </w:rPr>
            </w:pPr>
          </w:p>
        </w:tc>
        <w:tc>
          <w:tcPr>
            <w:tcW w:w="20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GNTA</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The Nasdaq Stock Market LLC</w:t>
            </w:r>
          </w:p>
        </w:tc>
      </w:tr>
      <w:tr>
        <w:trPr>
          <w:trHeight w:val="236"/>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 representing one ordinary share)</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Capital Market)</w:t>
            </w:r>
          </w:p>
        </w:tc>
      </w:tr>
      <w:tr>
        <w:trPr>
          <w:trHeight w:val="404"/>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 no par value</w:t>
            </w:r>
            <w:r>
              <w:rPr>
                <w:rFonts w:ascii="Times New Roman" w:cs="Times New Roman" w:eastAsia="Times New Roman" w:hAnsi="Times New Roman"/>
                <w:sz w:val="18"/>
                <w:szCs w:val="18"/>
                <w:color w:val="auto"/>
                <w:w w:val="98"/>
              </w:rPr>
              <w:t>*</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Stock Market LLC</w:t>
            </w:r>
          </w:p>
        </w:tc>
      </w:tr>
      <w:tr>
        <w:trPr>
          <w:trHeight w:val="236"/>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Capital Market)</w:t>
            </w:r>
          </w:p>
        </w:tc>
      </w:tr>
    </w:tbl>
    <w:p>
      <w:pPr>
        <w:spacing w:after="0" w:line="194" w:lineRule="exact"/>
        <w:rPr>
          <w:sz w:val="24"/>
          <w:szCs w:val="24"/>
          <w:color w:val="auto"/>
        </w:rPr>
      </w:pPr>
    </w:p>
    <w:p>
      <w:pPr>
        <w:ind w:left="2900" w:right="2560" w:hanging="2893"/>
        <w:spacing w:after="0" w:line="521" w:lineRule="auto"/>
        <w:tabs>
          <w:tab w:leader="none" w:pos="3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 trading, but only in connection with the listing of American depositary shares on The Nasdaq Capital Market. Securities registered or to be registered pursuant to Section 12(g) of the Act: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ectPr>
          <w:pgSz w:w="11900" w:h="16838" w:orient="portrait"/>
          <w:cols w:equalWidth="0" w:num="1">
            <w:col w:w="11240"/>
          </w:cols>
          <w:pgMar w:left="320" w:top="733" w:right="339" w:bottom="0" w:gutter="0" w:footer="0" w:header="0"/>
        </w:sectPr>
      </w:pPr>
    </w:p>
    <w:bookmarkStart w:id="1" w:name="page2"/>
    <w:bookmarkEnd w:id="1"/>
    <w:p>
      <w:pPr>
        <w:jc w:val="both"/>
        <w:spacing w:after="0" w:line="277"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registrant had 23,432,183 ordinary shares outstanding as of December 31, 2025.</w:t>
      </w:r>
    </w:p>
    <w:p>
      <w:pPr>
        <w:spacing w:after="0" w:line="18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1"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63"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220" w:hanging="213"/>
        <w:spacing w:after="0" w:line="207" w:lineRule="exact"/>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22" w:lineRule="exact"/>
        <w:rPr>
          <w:sz w:val="20"/>
          <w:szCs w:val="20"/>
          <w:color w:val="auto"/>
        </w:rPr>
      </w:pPr>
    </w:p>
    <w:p>
      <w:pPr>
        <w:spacing w:after="0" w:line="207" w:lineRule="exact"/>
        <w:tabs>
          <w:tab w:leader="none" w:pos="2800" w:val="left"/>
          <w:tab w:leader="none" w:pos="562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1"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68" w:lineRule="exact"/>
        <w:rPr>
          <w:sz w:val="20"/>
          <w:szCs w:val="20"/>
          <w:color w:val="auto"/>
        </w:rPr>
      </w:pPr>
    </w:p>
    <w:p>
      <w:pPr>
        <w:ind w:left="320" w:hanging="313"/>
        <w:spacing w:after="0" w:line="193" w:lineRule="auto"/>
        <w:tabs>
          <w:tab w:leader="none" w:pos="3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97"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8"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8"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1" w:right="339" w:bottom="1440" w:gutter="0" w:footer="0" w:header="0"/>
        </w:sectPr>
      </w:pPr>
    </w:p>
    <w:p>
      <w:pPr>
        <w:spacing w:after="0" w:line="179" w:lineRule="exact"/>
        <w:rPr>
          <w:sz w:val="20"/>
          <w:szCs w:val="20"/>
          <w:color w:val="auto"/>
        </w:rPr>
      </w:pPr>
    </w:p>
    <w:p>
      <w:pPr>
        <w:ind w:left="106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International Financial Reporting Standards as issued by the</w:t>
      </w:r>
    </w:p>
    <w:p>
      <w:pPr>
        <w:spacing w:after="0" w:line="37" w:lineRule="exact"/>
        <w:rPr>
          <w:sz w:val="20"/>
          <w:szCs w:val="20"/>
          <w:color w:val="auto"/>
        </w:rPr>
      </w:pPr>
    </w:p>
    <w:p>
      <w:pPr>
        <w:jc w:val="center"/>
        <w:ind w:right="880"/>
        <w:spacing w:after="0" w:line="207" w:lineRule="exact"/>
        <w:rPr>
          <w:sz w:val="20"/>
          <w:szCs w:val="20"/>
          <w:color w:val="auto"/>
        </w:rPr>
      </w:pPr>
      <w:r>
        <w:rPr>
          <w:rFonts w:ascii="Times New Roman" w:cs="Times New Roman" w:eastAsia="Times New Roman" w:hAnsi="Times New Roman"/>
          <w:sz w:val="18"/>
          <w:szCs w:val="18"/>
          <w:color w:val="auto"/>
        </w:rPr>
        <w:t xml:space="preserve">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484" w:lineRule="exact"/>
        <w:rPr>
          <w:sz w:val="20"/>
          <w:szCs w:val="20"/>
          <w:color w:val="auto"/>
        </w:rPr>
      </w:pPr>
    </w:p>
    <w:p>
      <w:pPr>
        <w:sectPr>
          <w:pgSz w:w="11900" w:h="16838" w:orient="portrait"/>
          <w:cols w:equalWidth="0" w:num="3">
            <w:col w:w="2880" w:space="720"/>
            <w:col w:w="5160" w:space="720"/>
            <w:col w:w="1760"/>
          </w:cols>
          <w:pgMar w:left="320" w:top="121"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31" w:lineRule="exact"/>
        <w:rPr>
          <w:sz w:val="20"/>
          <w:szCs w:val="20"/>
          <w:color w:val="auto"/>
        </w:rPr>
      </w:pPr>
    </w:p>
    <w:p>
      <w:pPr>
        <w:ind w:left="220" w:hanging="213"/>
        <w:spacing w:after="0" w:line="207" w:lineRule="exact"/>
        <w:tabs>
          <w:tab w:leader="none" w:pos="22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0" w:lineRule="exact"/>
        <w:rPr>
          <w:sz w:val="20"/>
          <w:szCs w:val="20"/>
          <w:color w:val="auto"/>
        </w:rPr>
      </w:pPr>
    </w:p>
    <w:p>
      <w:pPr>
        <w:ind w:right="20"/>
        <w:spacing w:after="0" w:line="23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457200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26"/>
        </w:trPr>
        <w:tc>
          <w:tcPr>
            <w:tcW w:w="8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7"/>
        </w:trPr>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8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shd w:val="clear" w:color="auto" w:fill="CCEEFF"/>
          </w:tcPr>
          <w:p>
            <w:pPr>
              <w:spacing w:after="0"/>
              <w:rPr>
                <w:sz w:val="16"/>
                <w:szCs w:val="16"/>
                <w:color w:val="auto"/>
              </w:rPr>
            </w:pPr>
          </w:p>
        </w:tc>
      </w:tr>
      <w:tr>
        <w:trPr>
          <w:trHeight w:val="213"/>
        </w:trPr>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3"/>
        </w:trPr>
        <w:tc>
          <w:tcPr>
            <w:tcW w:w="8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35"/>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3</w:t>
            </w:r>
          </w:p>
        </w:tc>
      </w:tr>
      <w:tr>
        <w:trPr>
          <w:trHeight w:val="213"/>
        </w:trPr>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3"/>
        </w:trPr>
        <w:tc>
          <w:tcPr>
            <w:tcW w:w="8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35"/>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3</w:t>
            </w:r>
          </w:p>
        </w:tc>
      </w:tr>
      <w:tr>
        <w:trPr>
          <w:trHeight w:val="213"/>
        </w:trPr>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3"/>
        </w:trPr>
        <w:tc>
          <w:tcPr>
            <w:tcW w:w="80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3.</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0000EE"/>
            </w:tcBorders>
            <w:gridSpan w:val="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Key Information</w:t>
            </w:r>
          </w:p>
        </w:tc>
        <w:tc>
          <w:tcPr>
            <w:tcW w:w="8440" w:type="dxa"/>
            <w:vAlign w:val="bottom"/>
            <w:tcBorders>
              <w:bottom w:val="single" w:sz="8" w:color="CCEEFF"/>
            </w:tcBorders>
            <w:gridSpan w:val="27"/>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3</w:t>
            </w:r>
          </w:p>
        </w:tc>
      </w:tr>
      <w:tr>
        <w:trPr>
          <w:trHeight w:val="173"/>
        </w:trPr>
        <w:tc>
          <w:tcPr>
            <w:tcW w:w="800" w:type="dxa"/>
            <w:vAlign w:val="bottom"/>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A.</w:t>
            </w:r>
          </w:p>
        </w:tc>
        <w:tc>
          <w:tcPr>
            <w:tcW w:w="9800" w:type="dxa"/>
            <w:vAlign w:val="bottom"/>
            <w:gridSpan w:val="35"/>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[Reserved]</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3"/>
        </w:trPr>
        <w:tc>
          <w:tcPr>
            <w:tcW w:w="800" w:type="dxa"/>
            <w:vAlign w:val="bottom"/>
            <w:shd w:val="clear" w:color="auto" w:fill="CCEEFF"/>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B.</w:t>
            </w:r>
          </w:p>
        </w:tc>
        <w:tc>
          <w:tcPr>
            <w:tcW w:w="160" w:type="dxa"/>
            <w:vAlign w:val="bottom"/>
            <w:shd w:val="clear" w:color="auto" w:fill="CCEEFF"/>
          </w:tcPr>
          <w:p>
            <w:pPr>
              <w:spacing w:after="0"/>
              <w:rPr>
                <w:sz w:val="15"/>
                <w:szCs w:val="15"/>
                <w:color w:val="auto"/>
              </w:rPr>
            </w:pPr>
          </w:p>
        </w:tc>
        <w:tc>
          <w:tcPr>
            <w:tcW w:w="9640" w:type="dxa"/>
            <w:vAlign w:val="bottom"/>
            <w:gridSpan w:val="34"/>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Capitalization and Indebtedness</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00" w:type="dxa"/>
            <w:vAlign w:val="bottom"/>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C.</w:t>
            </w:r>
          </w:p>
        </w:tc>
        <w:tc>
          <w:tcPr>
            <w:tcW w:w="160" w:type="dxa"/>
            <w:vAlign w:val="bottom"/>
          </w:tcPr>
          <w:p>
            <w:pPr>
              <w:spacing w:after="0"/>
              <w:rPr>
                <w:sz w:val="15"/>
                <w:szCs w:val="15"/>
                <w:color w:val="auto"/>
              </w:rPr>
            </w:pPr>
          </w:p>
        </w:tc>
        <w:tc>
          <w:tcPr>
            <w:tcW w:w="9640" w:type="dxa"/>
            <w:vAlign w:val="bottom"/>
            <w:gridSpan w:val="34"/>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Reasons for the Offer and Use of Proceeds</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shd w:val="clear" w:color="auto" w:fill="CCEEFF"/>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D.</w:t>
            </w:r>
          </w:p>
        </w:tc>
        <w:tc>
          <w:tcPr>
            <w:tcW w:w="9800" w:type="dxa"/>
            <w:vAlign w:val="bottom"/>
            <w:gridSpan w:val="35"/>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Risk Factors</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3</w:t>
            </w:r>
          </w:p>
        </w:tc>
      </w:tr>
      <w:tr>
        <w:trPr>
          <w:trHeight w:val="213"/>
        </w:trPr>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3"/>
        </w:trPr>
        <w:tc>
          <w:tcPr>
            <w:tcW w:w="80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4.</w:t>
            </w:r>
          </w:p>
        </w:tc>
        <w:tc>
          <w:tcPr>
            <w:tcW w:w="16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0000EE"/>
            </w:tcBorders>
            <w:gridSpan w:val="1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Information on the Company</w:t>
            </w:r>
          </w:p>
        </w:tc>
        <w:tc>
          <w:tcPr>
            <w:tcW w:w="7560" w:type="dxa"/>
            <w:vAlign w:val="bottom"/>
            <w:tcBorders>
              <w:bottom w:val="single" w:sz="8" w:color="CCEEFF"/>
            </w:tcBorders>
            <w:gridSpan w:val="1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64</w:t>
            </w:r>
          </w:p>
        </w:tc>
      </w:tr>
      <w:tr>
        <w:trPr>
          <w:trHeight w:val="173"/>
        </w:trPr>
        <w:tc>
          <w:tcPr>
            <w:tcW w:w="800" w:type="dxa"/>
            <w:vAlign w:val="bottom"/>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A.</w:t>
            </w:r>
          </w:p>
        </w:tc>
        <w:tc>
          <w:tcPr>
            <w:tcW w:w="9800" w:type="dxa"/>
            <w:vAlign w:val="bottom"/>
            <w:gridSpan w:val="35"/>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History and Development of the Company</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64</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tcBorders>
              <w:bottom w:val="single" w:sz="8" w:color="CCEEFF"/>
            </w:tcBorders>
            <w:shd w:val="clear" w:color="auto" w:fill="CCEEFF"/>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B.</w:t>
            </w: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0000EE"/>
            </w:tcBorders>
            <w:gridSpan w:val="10"/>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w w:val="98"/>
              </w:rPr>
              <w:t>Business Overview</w:t>
            </w:r>
          </w:p>
        </w:tc>
        <w:tc>
          <w:tcPr>
            <w:tcW w:w="8280" w:type="dxa"/>
            <w:vAlign w:val="bottom"/>
            <w:tcBorders>
              <w:bottom w:val="single" w:sz="8" w:color="CCEEFF"/>
            </w:tcBorders>
            <w:gridSpan w:val="24"/>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65</w:t>
            </w:r>
          </w:p>
        </w:tc>
      </w:tr>
      <w:tr>
        <w:trPr>
          <w:trHeight w:val="173"/>
        </w:trPr>
        <w:tc>
          <w:tcPr>
            <w:tcW w:w="800" w:type="dxa"/>
            <w:vAlign w:val="bottom"/>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C.</w:t>
            </w:r>
          </w:p>
        </w:tc>
        <w:tc>
          <w:tcPr>
            <w:tcW w:w="9800" w:type="dxa"/>
            <w:vAlign w:val="bottom"/>
            <w:gridSpan w:val="35"/>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Organizational Structure</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shd w:val="clear" w:color="auto" w:fill="CCEEFF"/>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D.</w:t>
            </w:r>
          </w:p>
        </w:tc>
        <w:tc>
          <w:tcPr>
            <w:tcW w:w="9800" w:type="dxa"/>
            <w:vAlign w:val="bottom"/>
            <w:gridSpan w:val="35"/>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Property, Plants and Equipment</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100</w:t>
            </w:r>
          </w:p>
        </w:tc>
      </w:tr>
      <w:tr>
        <w:trPr>
          <w:trHeight w:val="213"/>
        </w:trPr>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3"/>
        </w:trPr>
        <w:tc>
          <w:tcPr>
            <w:tcW w:w="8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4A.</w:t>
            </w:r>
          </w:p>
        </w:tc>
        <w:tc>
          <w:tcPr>
            <w:tcW w:w="9800" w:type="dxa"/>
            <w:vAlign w:val="bottom"/>
            <w:gridSpan w:val="35"/>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100</w:t>
            </w:r>
          </w:p>
        </w:tc>
      </w:tr>
      <w:tr>
        <w:trPr>
          <w:trHeight w:val="213"/>
        </w:trPr>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3"/>
        </w:trPr>
        <w:tc>
          <w:tcPr>
            <w:tcW w:w="8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5.</w:t>
            </w:r>
          </w:p>
        </w:tc>
        <w:tc>
          <w:tcPr>
            <w:tcW w:w="160" w:type="dxa"/>
            <w:vAlign w:val="bottom"/>
            <w:shd w:val="clear" w:color="auto" w:fill="CCEEFF"/>
          </w:tcPr>
          <w:p>
            <w:pPr>
              <w:spacing w:after="0"/>
              <w:rPr>
                <w:sz w:val="16"/>
                <w:szCs w:val="16"/>
                <w:color w:val="auto"/>
              </w:rPr>
            </w:pPr>
          </w:p>
        </w:tc>
        <w:tc>
          <w:tcPr>
            <w:tcW w:w="9640" w:type="dxa"/>
            <w:vAlign w:val="bottom"/>
            <w:gridSpan w:val="3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100</w:t>
            </w:r>
          </w:p>
        </w:tc>
      </w:tr>
      <w:tr>
        <w:trPr>
          <w:trHeight w:val="173"/>
        </w:trPr>
        <w:tc>
          <w:tcPr>
            <w:tcW w:w="800" w:type="dxa"/>
            <w:vAlign w:val="bottom"/>
            <w:tcBorders>
              <w:top w:val="single" w:sz="8" w:color="CCEEFF"/>
            </w:tcBorders>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A.</w:t>
            </w:r>
          </w:p>
        </w:tc>
        <w:tc>
          <w:tcPr>
            <w:tcW w:w="160" w:type="dxa"/>
            <w:vAlign w:val="bottom"/>
            <w:tcBorders>
              <w:top w:val="single" w:sz="8" w:color="CCEEFF"/>
            </w:tcBorders>
          </w:tcPr>
          <w:p>
            <w:pPr>
              <w:spacing w:after="0"/>
              <w:rPr>
                <w:sz w:val="15"/>
                <w:szCs w:val="15"/>
                <w:color w:val="auto"/>
              </w:rPr>
            </w:pPr>
          </w:p>
        </w:tc>
        <w:tc>
          <w:tcPr>
            <w:tcW w:w="3340" w:type="dxa"/>
            <w:vAlign w:val="bottom"/>
            <w:tcBorders>
              <w:top w:val="single" w:sz="8" w:color="0000EE"/>
            </w:tcBorders>
            <w:gridSpan w:val="27"/>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Operating Results</w:t>
            </w:r>
          </w:p>
        </w:tc>
        <w:tc>
          <w:tcPr>
            <w:tcW w:w="630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shd w:val="clear" w:color="auto" w:fill="CCEEFF"/>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B.</w:t>
            </w:r>
          </w:p>
        </w:tc>
        <w:tc>
          <w:tcPr>
            <w:tcW w:w="160" w:type="dxa"/>
            <w:vAlign w:val="bottom"/>
            <w:shd w:val="clear" w:color="auto" w:fill="CCEEFF"/>
          </w:tcPr>
          <w:p>
            <w:pPr>
              <w:spacing w:after="0"/>
              <w:rPr>
                <w:sz w:val="16"/>
                <w:szCs w:val="16"/>
                <w:color w:val="auto"/>
              </w:rPr>
            </w:pPr>
          </w:p>
        </w:tc>
        <w:tc>
          <w:tcPr>
            <w:tcW w:w="9640" w:type="dxa"/>
            <w:vAlign w:val="bottom"/>
            <w:gridSpan w:val="34"/>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Liquidity and Capital Resources</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111</w:t>
            </w:r>
          </w:p>
        </w:tc>
      </w:tr>
      <w:tr>
        <w:trPr>
          <w:trHeight w:val="173"/>
        </w:trPr>
        <w:tc>
          <w:tcPr>
            <w:tcW w:w="800" w:type="dxa"/>
            <w:vAlign w:val="bottom"/>
            <w:tcBorders>
              <w:top w:val="single" w:sz="8" w:color="CCEEFF"/>
            </w:tcBorders>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C.</w:t>
            </w:r>
          </w:p>
        </w:tc>
        <w:tc>
          <w:tcPr>
            <w:tcW w:w="160" w:type="dxa"/>
            <w:vAlign w:val="bottom"/>
            <w:tcBorders>
              <w:top w:val="single" w:sz="8" w:color="CCEEFF"/>
            </w:tcBorders>
          </w:tcPr>
          <w:p>
            <w:pPr>
              <w:spacing w:after="0"/>
              <w:rPr>
                <w:sz w:val="15"/>
                <w:szCs w:val="15"/>
                <w:color w:val="auto"/>
              </w:rPr>
            </w:pPr>
          </w:p>
        </w:tc>
        <w:tc>
          <w:tcPr>
            <w:tcW w:w="2300" w:type="dxa"/>
            <w:vAlign w:val="bottom"/>
            <w:tcBorders>
              <w:top w:val="single" w:sz="8" w:color="0000EE"/>
            </w:tcBorders>
            <w:gridSpan w:val="21"/>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Research and Development</w:t>
            </w:r>
          </w:p>
        </w:tc>
        <w:tc>
          <w:tcPr>
            <w:tcW w:w="734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114</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3"/>
        </w:trPr>
        <w:tc>
          <w:tcPr>
            <w:tcW w:w="800" w:type="dxa"/>
            <w:vAlign w:val="bottom"/>
            <w:shd w:val="clear" w:color="auto" w:fill="CCEEFF"/>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D.</w:t>
            </w:r>
          </w:p>
        </w:tc>
        <w:tc>
          <w:tcPr>
            <w:tcW w:w="160" w:type="dxa"/>
            <w:vAlign w:val="bottom"/>
            <w:shd w:val="clear" w:color="auto" w:fill="CCEEFF"/>
          </w:tcPr>
          <w:p>
            <w:pPr>
              <w:spacing w:after="0"/>
              <w:rPr>
                <w:sz w:val="15"/>
                <w:szCs w:val="15"/>
                <w:color w:val="auto"/>
              </w:rPr>
            </w:pPr>
          </w:p>
        </w:tc>
        <w:tc>
          <w:tcPr>
            <w:tcW w:w="9640" w:type="dxa"/>
            <w:vAlign w:val="bottom"/>
            <w:gridSpan w:val="34"/>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Trend Information</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114</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00" w:type="dxa"/>
            <w:vAlign w:val="bottom"/>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E.</w:t>
            </w:r>
          </w:p>
        </w:tc>
        <w:tc>
          <w:tcPr>
            <w:tcW w:w="160" w:type="dxa"/>
            <w:vAlign w:val="bottom"/>
          </w:tcPr>
          <w:p>
            <w:pPr>
              <w:spacing w:after="0"/>
              <w:rPr>
                <w:sz w:val="15"/>
                <w:szCs w:val="15"/>
                <w:color w:val="auto"/>
              </w:rPr>
            </w:pPr>
          </w:p>
        </w:tc>
        <w:tc>
          <w:tcPr>
            <w:tcW w:w="9640" w:type="dxa"/>
            <w:vAlign w:val="bottom"/>
            <w:gridSpan w:val="34"/>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Critical Accounting Estimates</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115</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3"/>
        </w:trPr>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3"/>
        </w:trPr>
        <w:tc>
          <w:tcPr>
            <w:tcW w:w="80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Item 6.</w:t>
            </w:r>
          </w:p>
        </w:tc>
        <w:tc>
          <w:tcPr>
            <w:tcW w:w="9800" w:type="dxa"/>
            <w:vAlign w:val="bottom"/>
            <w:gridSpan w:val="35"/>
          </w:tcPr>
          <w:p>
            <w:pPr>
              <w:ind w:left="160"/>
              <w:spacing w:after="0" w:line="174"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115</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tcBorders>
              <w:bottom w:val="single" w:sz="8" w:color="CCEEFF"/>
            </w:tcBorders>
            <w:shd w:val="clear" w:color="auto" w:fill="CCEEFF"/>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A.</w:t>
            </w:r>
          </w:p>
        </w:tc>
        <w:tc>
          <w:tcPr>
            <w:tcW w:w="16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0000EE"/>
            </w:tcBorders>
            <w:gridSpan w:val="23"/>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w w:val="98"/>
              </w:rPr>
              <w:t>Directors and Senior Management</w:t>
            </w:r>
          </w:p>
        </w:tc>
        <w:tc>
          <w:tcPr>
            <w:tcW w:w="7160" w:type="dxa"/>
            <w:vAlign w:val="bottom"/>
            <w:tcBorders>
              <w:bottom w:val="single" w:sz="8" w:color="CCEEFF"/>
            </w:tcBorders>
            <w:gridSpan w:val="11"/>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115</w:t>
            </w:r>
          </w:p>
        </w:tc>
      </w:tr>
      <w:tr>
        <w:trPr>
          <w:trHeight w:val="173"/>
        </w:trPr>
        <w:tc>
          <w:tcPr>
            <w:tcW w:w="800" w:type="dxa"/>
            <w:vAlign w:val="bottom"/>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B.</w:t>
            </w:r>
          </w:p>
        </w:tc>
        <w:tc>
          <w:tcPr>
            <w:tcW w:w="9800" w:type="dxa"/>
            <w:vAlign w:val="bottom"/>
            <w:gridSpan w:val="35"/>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Compensation</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117</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shd w:val="clear" w:color="auto" w:fill="CCEEFF"/>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C.</w:t>
            </w:r>
          </w:p>
        </w:tc>
        <w:tc>
          <w:tcPr>
            <w:tcW w:w="160" w:type="dxa"/>
            <w:vAlign w:val="bottom"/>
            <w:shd w:val="clear" w:color="auto" w:fill="CCEEFF"/>
          </w:tcPr>
          <w:p>
            <w:pPr>
              <w:spacing w:after="0"/>
              <w:rPr>
                <w:sz w:val="16"/>
                <w:szCs w:val="16"/>
                <w:color w:val="auto"/>
              </w:rPr>
            </w:pPr>
          </w:p>
        </w:tc>
        <w:tc>
          <w:tcPr>
            <w:tcW w:w="9640" w:type="dxa"/>
            <w:vAlign w:val="bottom"/>
            <w:gridSpan w:val="34"/>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Board Practices</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118</w:t>
            </w:r>
          </w:p>
        </w:tc>
      </w:tr>
      <w:tr>
        <w:trPr>
          <w:trHeight w:val="173"/>
        </w:trPr>
        <w:tc>
          <w:tcPr>
            <w:tcW w:w="800" w:type="dxa"/>
            <w:vAlign w:val="bottom"/>
            <w:tcBorders>
              <w:top w:val="single" w:sz="8" w:color="CCEEFF"/>
            </w:tcBorders>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D.</w:t>
            </w:r>
          </w:p>
        </w:tc>
        <w:tc>
          <w:tcPr>
            <w:tcW w:w="160" w:type="dxa"/>
            <w:vAlign w:val="bottom"/>
            <w:tcBorders>
              <w:top w:val="single" w:sz="8" w:color="CCEEFF"/>
            </w:tcBorders>
          </w:tcPr>
          <w:p>
            <w:pPr>
              <w:spacing w:after="0"/>
              <w:rPr>
                <w:sz w:val="15"/>
                <w:szCs w:val="15"/>
                <w:color w:val="auto"/>
              </w:rPr>
            </w:pPr>
          </w:p>
        </w:tc>
        <w:tc>
          <w:tcPr>
            <w:tcW w:w="1160" w:type="dxa"/>
            <w:vAlign w:val="bottom"/>
            <w:tcBorders>
              <w:top w:val="single" w:sz="8" w:color="0000EE"/>
            </w:tcBorders>
            <w:gridSpan w:val="6"/>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Employees</w:t>
            </w:r>
          </w:p>
        </w:tc>
        <w:tc>
          <w:tcPr>
            <w:tcW w:w="8480" w:type="dxa"/>
            <w:vAlign w:val="bottom"/>
            <w:tcBorders>
              <w:top w:val="single" w:sz="8" w:color="CCEEFF"/>
            </w:tcBorders>
            <w:gridSpan w:val="28"/>
          </w:tcPr>
          <w:p>
            <w:pPr>
              <w:spacing w:after="0"/>
              <w:rPr>
                <w:sz w:val="15"/>
                <w:szCs w:val="15"/>
                <w:color w:val="auto"/>
              </w:rPr>
            </w:pPr>
          </w:p>
        </w:tc>
        <w:tc>
          <w:tcPr>
            <w:tcW w:w="64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3"/>
        </w:trPr>
        <w:tc>
          <w:tcPr>
            <w:tcW w:w="800" w:type="dxa"/>
            <w:vAlign w:val="bottom"/>
            <w:shd w:val="clear" w:color="auto" w:fill="CCEEFF"/>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E.</w:t>
            </w:r>
          </w:p>
        </w:tc>
        <w:tc>
          <w:tcPr>
            <w:tcW w:w="160" w:type="dxa"/>
            <w:vAlign w:val="bottom"/>
            <w:shd w:val="clear" w:color="auto" w:fill="CCEEFF"/>
          </w:tcPr>
          <w:p>
            <w:pPr>
              <w:spacing w:after="0"/>
              <w:rPr>
                <w:sz w:val="15"/>
                <w:szCs w:val="15"/>
                <w:color w:val="auto"/>
              </w:rPr>
            </w:pPr>
          </w:p>
        </w:tc>
        <w:tc>
          <w:tcPr>
            <w:tcW w:w="9640" w:type="dxa"/>
            <w:vAlign w:val="bottom"/>
            <w:gridSpan w:val="34"/>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Share Ownership</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00" w:type="dxa"/>
            <w:vAlign w:val="bottom"/>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F.</w:t>
            </w:r>
          </w:p>
        </w:tc>
        <w:tc>
          <w:tcPr>
            <w:tcW w:w="160" w:type="dxa"/>
            <w:vAlign w:val="bottom"/>
          </w:tcPr>
          <w:p>
            <w:pPr>
              <w:spacing w:after="0"/>
              <w:rPr>
                <w:sz w:val="15"/>
                <w:szCs w:val="15"/>
                <w:color w:val="auto"/>
              </w:rPr>
            </w:pPr>
          </w:p>
        </w:tc>
        <w:tc>
          <w:tcPr>
            <w:tcW w:w="9640" w:type="dxa"/>
            <w:vAlign w:val="bottom"/>
            <w:gridSpan w:val="34"/>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Disclosure of a Registrant’s Action to Recover Erroneously Awarded Compensation</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3"/>
        </w:trPr>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3"/>
        </w:trPr>
        <w:tc>
          <w:tcPr>
            <w:tcW w:w="80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Item 7.</w:t>
            </w:r>
          </w:p>
        </w:tc>
        <w:tc>
          <w:tcPr>
            <w:tcW w:w="9800" w:type="dxa"/>
            <w:vAlign w:val="bottom"/>
            <w:gridSpan w:val="35"/>
          </w:tcPr>
          <w:p>
            <w:pPr>
              <w:ind w:left="160"/>
              <w:spacing w:after="0" w:line="174"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tcBorders>
              <w:bottom w:val="single" w:sz="8" w:color="CCEEFF"/>
            </w:tcBorders>
            <w:shd w:val="clear" w:color="auto" w:fill="CCEEFF"/>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A.</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0000EE"/>
            </w:tcBorders>
            <w:gridSpan w:val="11"/>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w w:val="97"/>
              </w:rPr>
              <w:t>Major Shareholders</w:t>
            </w:r>
          </w:p>
        </w:tc>
        <w:tc>
          <w:tcPr>
            <w:tcW w:w="8200" w:type="dxa"/>
            <w:vAlign w:val="bottom"/>
            <w:tcBorders>
              <w:bottom w:val="single" w:sz="8" w:color="CCEEFF"/>
            </w:tcBorders>
            <w:gridSpan w:val="23"/>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121</w:t>
            </w:r>
          </w:p>
        </w:tc>
      </w:tr>
      <w:tr>
        <w:trPr>
          <w:trHeight w:val="173"/>
        </w:trPr>
        <w:tc>
          <w:tcPr>
            <w:tcW w:w="800" w:type="dxa"/>
            <w:vAlign w:val="bottom"/>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B.</w:t>
            </w:r>
          </w:p>
        </w:tc>
        <w:tc>
          <w:tcPr>
            <w:tcW w:w="9800" w:type="dxa"/>
            <w:vAlign w:val="bottom"/>
            <w:gridSpan w:val="35"/>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Related Party Transactions</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shd w:val="clear" w:color="auto" w:fill="CCEEFF"/>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C.</w:t>
            </w:r>
          </w:p>
        </w:tc>
        <w:tc>
          <w:tcPr>
            <w:tcW w:w="9800" w:type="dxa"/>
            <w:vAlign w:val="bottom"/>
            <w:gridSpan w:val="35"/>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Interests of Experts and Counsel</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126</w:t>
            </w:r>
          </w:p>
        </w:tc>
      </w:tr>
      <w:tr>
        <w:trPr>
          <w:trHeight w:val="213"/>
        </w:trPr>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3"/>
        </w:trPr>
        <w:tc>
          <w:tcPr>
            <w:tcW w:w="8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8.</w:t>
            </w:r>
          </w:p>
        </w:tc>
        <w:tc>
          <w:tcPr>
            <w:tcW w:w="160" w:type="dxa"/>
            <w:vAlign w:val="bottom"/>
            <w:shd w:val="clear" w:color="auto" w:fill="CCEEFF"/>
          </w:tcPr>
          <w:p>
            <w:pPr>
              <w:spacing w:after="0"/>
              <w:rPr>
                <w:sz w:val="15"/>
                <w:szCs w:val="15"/>
                <w:color w:val="auto"/>
              </w:rPr>
            </w:pPr>
          </w:p>
        </w:tc>
        <w:tc>
          <w:tcPr>
            <w:tcW w:w="9640" w:type="dxa"/>
            <w:vAlign w:val="bottom"/>
            <w:gridSpan w:val="3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Financial Information</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800" w:type="dxa"/>
            <w:vAlign w:val="bottom"/>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A.</w:t>
            </w:r>
          </w:p>
        </w:tc>
        <w:tc>
          <w:tcPr>
            <w:tcW w:w="160" w:type="dxa"/>
            <w:vAlign w:val="bottom"/>
          </w:tcPr>
          <w:p>
            <w:pPr>
              <w:spacing w:after="0"/>
              <w:rPr>
                <w:sz w:val="15"/>
                <w:szCs w:val="15"/>
                <w:color w:val="auto"/>
              </w:rPr>
            </w:pPr>
          </w:p>
        </w:tc>
        <w:tc>
          <w:tcPr>
            <w:tcW w:w="9640" w:type="dxa"/>
            <w:vAlign w:val="bottom"/>
            <w:gridSpan w:val="34"/>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Consolidated Statements and Other Financial Information</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shd w:val="clear" w:color="auto" w:fill="CCEEFF"/>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B.</w:t>
            </w:r>
          </w:p>
        </w:tc>
        <w:tc>
          <w:tcPr>
            <w:tcW w:w="9800" w:type="dxa"/>
            <w:vAlign w:val="bottom"/>
            <w:gridSpan w:val="35"/>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Significant Changes</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126</w:t>
            </w:r>
          </w:p>
        </w:tc>
      </w:tr>
      <w:tr>
        <w:trPr>
          <w:trHeight w:val="213"/>
        </w:trPr>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3"/>
        </w:trPr>
        <w:tc>
          <w:tcPr>
            <w:tcW w:w="80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9.</w:t>
            </w:r>
          </w:p>
        </w:tc>
        <w:tc>
          <w:tcPr>
            <w:tcW w:w="1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0000EE"/>
            </w:tcBorders>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The Offer and Listing</w:t>
            </w:r>
          </w:p>
        </w:tc>
        <w:tc>
          <w:tcPr>
            <w:tcW w:w="8080" w:type="dxa"/>
            <w:vAlign w:val="bottom"/>
            <w:tcBorders>
              <w:bottom w:val="single" w:sz="8" w:color="CCEEFF"/>
            </w:tcBorders>
            <w:gridSpan w:val="20"/>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127</w:t>
            </w:r>
          </w:p>
        </w:tc>
      </w:tr>
      <w:tr>
        <w:trPr>
          <w:trHeight w:val="173"/>
        </w:trPr>
        <w:tc>
          <w:tcPr>
            <w:tcW w:w="800" w:type="dxa"/>
            <w:vAlign w:val="bottom"/>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A.</w:t>
            </w:r>
          </w:p>
        </w:tc>
        <w:tc>
          <w:tcPr>
            <w:tcW w:w="9800" w:type="dxa"/>
            <w:vAlign w:val="bottom"/>
            <w:gridSpan w:val="35"/>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Offer and Listing Details</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tcBorders>
              <w:bottom w:val="single" w:sz="8" w:color="CCEEFF"/>
            </w:tcBorders>
            <w:shd w:val="clear" w:color="auto" w:fill="CCEEFF"/>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B.</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0000EE"/>
            </w:tcBorders>
            <w:gridSpan w:val="11"/>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w w:val="97"/>
              </w:rPr>
              <w:t>Plan of Distribution</w:t>
            </w:r>
          </w:p>
        </w:tc>
        <w:tc>
          <w:tcPr>
            <w:tcW w:w="8200" w:type="dxa"/>
            <w:vAlign w:val="bottom"/>
            <w:tcBorders>
              <w:bottom w:val="single" w:sz="8" w:color="CCEEFF"/>
            </w:tcBorders>
            <w:gridSpan w:val="23"/>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127</w:t>
            </w:r>
          </w:p>
        </w:tc>
      </w:tr>
      <w:tr>
        <w:trPr>
          <w:trHeight w:val="173"/>
        </w:trPr>
        <w:tc>
          <w:tcPr>
            <w:tcW w:w="800" w:type="dxa"/>
            <w:vAlign w:val="bottom"/>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C.</w:t>
            </w:r>
          </w:p>
        </w:tc>
        <w:tc>
          <w:tcPr>
            <w:tcW w:w="9800" w:type="dxa"/>
            <w:vAlign w:val="bottom"/>
            <w:gridSpan w:val="35"/>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Markets</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3"/>
        </w:trPr>
        <w:tc>
          <w:tcPr>
            <w:tcW w:w="800" w:type="dxa"/>
            <w:vAlign w:val="bottom"/>
            <w:shd w:val="clear" w:color="auto" w:fill="CCEEFF"/>
          </w:tcPr>
          <w:p>
            <w:pPr>
              <w:ind w:left="400"/>
              <w:spacing w:after="0" w:line="174" w:lineRule="exact"/>
              <w:rPr>
                <w:sz w:val="20"/>
                <w:szCs w:val="20"/>
                <w:color w:val="auto"/>
              </w:rPr>
            </w:pPr>
            <w:r>
              <w:rPr>
                <w:rFonts w:ascii="Times New Roman" w:cs="Times New Roman" w:eastAsia="Times New Roman" w:hAnsi="Times New Roman"/>
                <w:sz w:val="18"/>
                <w:szCs w:val="18"/>
                <w:i w:val="1"/>
                <w:iCs w:val="1"/>
                <w:color w:val="auto"/>
              </w:rPr>
              <w:t>D.</w:t>
            </w:r>
          </w:p>
        </w:tc>
        <w:tc>
          <w:tcPr>
            <w:tcW w:w="160" w:type="dxa"/>
            <w:vAlign w:val="bottom"/>
            <w:shd w:val="clear" w:color="auto" w:fill="CCEEFF"/>
          </w:tcPr>
          <w:p>
            <w:pPr>
              <w:spacing w:after="0"/>
              <w:rPr>
                <w:sz w:val="16"/>
                <w:szCs w:val="16"/>
                <w:color w:val="auto"/>
              </w:rPr>
            </w:pPr>
          </w:p>
        </w:tc>
        <w:tc>
          <w:tcPr>
            <w:tcW w:w="9640" w:type="dxa"/>
            <w:vAlign w:val="bottom"/>
            <w:gridSpan w:val="34"/>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Selling Shareholders</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127</w:t>
            </w:r>
          </w:p>
        </w:tc>
      </w:tr>
      <w:tr>
        <w:trPr>
          <w:trHeight w:val="173"/>
        </w:trPr>
        <w:tc>
          <w:tcPr>
            <w:tcW w:w="800" w:type="dxa"/>
            <w:vAlign w:val="bottom"/>
            <w:tcBorders>
              <w:top w:val="single" w:sz="8" w:color="CCEEFF"/>
            </w:tcBorders>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E.</w:t>
            </w:r>
          </w:p>
        </w:tc>
        <w:tc>
          <w:tcPr>
            <w:tcW w:w="160" w:type="dxa"/>
            <w:vAlign w:val="bottom"/>
            <w:tcBorders>
              <w:top w:val="single" w:sz="8" w:color="CCEEFF"/>
            </w:tcBorders>
          </w:tcPr>
          <w:p>
            <w:pPr>
              <w:spacing w:after="0"/>
              <w:rPr>
                <w:sz w:val="15"/>
                <w:szCs w:val="15"/>
                <w:color w:val="auto"/>
              </w:rPr>
            </w:pPr>
          </w:p>
        </w:tc>
        <w:tc>
          <w:tcPr>
            <w:tcW w:w="1480" w:type="dxa"/>
            <w:vAlign w:val="bottom"/>
            <w:tcBorders>
              <w:top w:val="single" w:sz="8" w:color="0000EE"/>
            </w:tcBorders>
            <w:gridSpan w:val="12"/>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Dilution</w:t>
            </w:r>
          </w:p>
        </w:tc>
        <w:tc>
          <w:tcPr>
            <w:tcW w:w="8160" w:type="dxa"/>
            <w:vAlign w:val="bottom"/>
            <w:tcBorders>
              <w:top w:val="single" w:sz="8" w:color="CCEEFF"/>
            </w:tcBorders>
            <w:gridSpan w:val="22"/>
          </w:tcPr>
          <w:p>
            <w:pPr>
              <w:spacing w:after="0"/>
              <w:rPr>
                <w:sz w:val="15"/>
                <w:szCs w:val="15"/>
                <w:color w:val="auto"/>
              </w:rPr>
            </w:pPr>
          </w:p>
        </w:tc>
        <w:tc>
          <w:tcPr>
            <w:tcW w:w="64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3"/>
        </w:trPr>
        <w:tc>
          <w:tcPr>
            <w:tcW w:w="800" w:type="dxa"/>
            <w:vAlign w:val="bottom"/>
            <w:shd w:val="clear" w:color="auto" w:fill="CCEEFF"/>
          </w:tcPr>
          <w:p>
            <w:pPr>
              <w:ind w:left="420"/>
              <w:spacing w:after="0" w:line="174" w:lineRule="exact"/>
              <w:rPr>
                <w:sz w:val="20"/>
                <w:szCs w:val="20"/>
                <w:color w:val="auto"/>
              </w:rPr>
            </w:pPr>
            <w:r>
              <w:rPr>
                <w:rFonts w:ascii="Times New Roman" w:cs="Times New Roman" w:eastAsia="Times New Roman" w:hAnsi="Times New Roman"/>
                <w:sz w:val="18"/>
                <w:szCs w:val="18"/>
                <w:i w:val="1"/>
                <w:iCs w:val="1"/>
                <w:color w:val="auto"/>
              </w:rPr>
              <w:t>F.</w:t>
            </w:r>
          </w:p>
        </w:tc>
        <w:tc>
          <w:tcPr>
            <w:tcW w:w="9800" w:type="dxa"/>
            <w:vAlign w:val="bottom"/>
            <w:gridSpan w:val="35"/>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i w:val="1"/>
                <w:iCs w:val="1"/>
                <w:color w:val="0000EE"/>
              </w:rPr>
              <w:t>Expenses of the Issue</w:t>
            </w:r>
          </w:p>
        </w:tc>
        <w:tc>
          <w:tcPr>
            <w:tcW w:w="64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7"/>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200" w:type="dxa"/>
            <w:vAlign w:val="bottom"/>
            <w:shd w:val="clear" w:color="auto" w:fill="CCEEFF"/>
          </w:tcPr>
          <w:p>
            <w:pPr>
              <w:spacing w:after="0"/>
              <w:rPr>
                <w:sz w:val="19"/>
                <w:szCs w:val="19"/>
                <w:color w:val="auto"/>
              </w:rPr>
            </w:pPr>
          </w:p>
        </w:tc>
        <w:tc>
          <w:tcPr>
            <w:tcW w:w="768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2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127</w:t>
            </w:r>
          </w:p>
        </w:tc>
      </w:tr>
      <w:tr>
        <w:trPr>
          <w:trHeight w:val="173"/>
        </w:trPr>
        <w:tc>
          <w:tcPr>
            <w:tcW w:w="760" w:type="dxa"/>
            <w:vAlign w:val="bottom"/>
            <w:tcBorders>
              <w:top w:val="single" w:sz="8" w:color="CCEEFF"/>
            </w:tcBorders>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w w:val="90"/>
              </w:rPr>
              <w:t>A.</w:t>
            </w:r>
          </w:p>
        </w:tc>
        <w:tc>
          <w:tcPr>
            <w:tcW w:w="200" w:type="dxa"/>
            <w:vAlign w:val="bottom"/>
            <w:tcBorders>
              <w:top w:val="single" w:sz="8" w:color="CCEEFF"/>
            </w:tcBorders>
          </w:tcPr>
          <w:p>
            <w:pPr>
              <w:spacing w:after="0"/>
              <w:rPr>
                <w:sz w:val="15"/>
                <w:szCs w:val="15"/>
                <w:color w:val="auto"/>
              </w:rPr>
            </w:pPr>
          </w:p>
        </w:tc>
        <w:tc>
          <w:tcPr>
            <w:tcW w:w="1660" w:type="dxa"/>
            <w:vAlign w:val="bottom"/>
            <w:tcBorders>
              <w:top w:val="single" w:sz="8" w:color="0000EE"/>
            </w:tcBorders>
            <w:gridSpan w:val="14"/>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Share Capital</w:t>
            </w:r>
          </w:p>
        </w:tc>
        <w:tc>
          <w:tcPr>
            <w:tcW w:w="6020" w:type="dxa"/>
            <w:vAlign w:val="bottom"/>
            <w:tcBorders>
              <w:top w:val="single" w:sz="8" w:color="CCEEFF"/>
            </w:tcBorders>
            <w:gridSpan w:val="23"/>
          </w:tcPr>
          <w:p>
            <w:pPr>
              <w:spacing w:after="0"/>
              <w:rPr>
                <w:sz w:val="15"/>
                <w:szCs w:val="15"/>
                <w:color w:val="auto"/>
              </w:rPr>
            </w:pPr>
          </w:p>
        </w:tc>
        <w:tc>
          <w:tcPr>
            <w:tcW w:w="2600" w:type="dxa"/>
            <w:vAlign w:val="bottom"/>
            <w:tcBorders>
              <w:top w:val="single" w:sz="8" w:color="CCEEFF"/>
            </w:tcBorders>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3"/>
        </w:trPr>
        <w:tc>
          <w:tcPr>
            <w:tcW w:w="760" w:type="dxa"/>
            <w:vAlign w:val="bottom"/>
            <w:tcBorders>
              <w:bottom w:val="single" w:sz="8" w:color="CCEEFF"/>
            </w:tcBorders>
            <w:shd w:val="clear" w:color="auto" w:fill="CCEEFF"/>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w w:val="90"/>
              </w:rPr>
              <w:t>B.</w:t>
            </w:r>
          </w:p>
        </w:tc>
        <w:tc>
          <w:tcPr>
            <w:tcW w:w="20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0000EE"/>
            </w:tcBorders>
            <w:gridSpan w:val="23"/>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w w:val="98"/>
              </w:rPr>
              <w:t>Memorandum and Articles of Association</w:t>
            </w:r>
          </w:p>
        </w:tc>
        <w:tc>
          <w:tcPr>
            <w:tcW w:w="4700" w:type="dxa"/>
            <w:vAlign w:val="bottom"/>
            <w:tcBorders>
              <w:bottom w:val="single" w:sz="8" w:color="CCEEFF"/>
            </w:tcBorders>
            <w:gridSpan w:val="14"/>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127</w:t>
            </w:r>
          </w:p>
        </w:tc>
      </w:tr>
      <w:tr>
        <w:trPr>
          <w:trHeight w:val="173"/>
        </w:trPr>
        <w:tc>
          <w:tcPr>
            <w:tcW w:w="760" w:type="dxa"/>
            <w:vAlign w:val="bottom"/>
          </w:tcPr>
          <w:p>
            <w:pPr>
              <w:jc w:val="center"/>
              <w:ind w:left="111"/>
              <w:spacing w:after="0" w:line="174" w:lineRule="exact"/>
              <w:rPr>
                <w:sz w:val="20"/>
                <w:szCs w:val="20"/>
                <w:color w:val="auto"/>
              </w:rPr>
            </w:pPr>
            <w:r>
              <w:rPr>
                <w:rFonts w:ascii="Times New Roman" w:cs="Times New Roman" w:eastAsia="Times New Roman" w:hAnsi="Times New Roman"/>
                <w:sz w:val="18"/>
                <w:szCs w:val="18"/>
                <w:i w:val="1"/>
                <w:iCs w:val="1"/>
                <w:color w:val="auto"/>
                <w:w w:val="96"/>
              </w:rPr>
              <w:t>C.</w:t>
            </w:r>
          </w:p>
        </w:tc>
        <w:tc>
          <w:tcPr>
            <w:tcW w:w="7880" w:type="dxa"/>
            <w:vAlign w:val="bottom"/>
            <w:gridSpan w:val="38"/>
          </w:tcPr>
          <w:p>
            <w:pPr>
              <w:ind w:left="200"/>
              <w:spacing w:after="0" w:line="174" w:lineRule="exact"/>
              <w:rPr>
                <w:sz w:val="20"/>
                <w:szCs w:val="20"/>
                <w:color w:val="auto"/>
              </w:rPr>
            </w:pPr>
            <w:r>
              <w:rPr>
                <w:rFonts w:ascii="Times New Roman" w:cs="Times New Roman" w:eastAsia="Times New Roman" w:hAnsi="Times New Roman"/>
                <w:sz w:val="18"/>
                <w:szCs w:val="18"/>
                <w:i w:val="1"/>
                <w:iCs w:val="1"/>
                <w:color w:val="0000EE"/>
              </w:rPr>
              <w:t>Material Contracts</w:t>
            </w:r>
          </w:p>
        </w:tc>
        <w:tc>
          <w:tcPr>
            <w:tcW w:w="2600" w:type="dxa"/>
            <w:vAlign w:val="bottom"/>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3"/>
        </w:trPr>
        <w:tc>
          <w:tcPr>
            <w:tcW w:w="760" w:type="dxa"/>
            <w:vAlign w:val="bottom"/>
            <w:shd w:val="clear" w:color="auto" w:fill="CCEEFF"/>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rPr>
              <w:t>D.</w:t>
            </w:r>
          </w:p>
        </w:tc>
        <w:tc>
          <w:tcPr>
            <w:tcW w:w="200" w:type="dxa"/>
            <w:vAlign w:val="bottom"/>
            <w:shd w:val="clear" w:color="auto" w:fill="CCEEFF"/>
          </w:tcPr>
          <w:p>
            <w:pPr>
              <w:spacing w:after="0"/>
              <w:rPr>
                <w:sz w:val="16"/>
                <w:szCs w:val="16"/>
                <w:color w:val="auto"/>
              </w:rPr>
            </w:pPr>
          </w:p>
        </w:tc>
        <w:tc>
          <w:tcPr>
            <w:tcW w:w="7680" w:type="dxa"/>
            <w:vAlign w:val="bottom"/>
            <w:gridSpan w:val="37"/>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Exchange Controls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128</w:t>
            </w:r>
          </w:p>
        </w:tc>
      </w:tr>
      <w:tr>
        <w:trPr>
          <w:trHeight w:val="173"/>
        </w:trPr>
        <w:tc>
          <w:tcPr>
            <w:tcW w:w="760" w:type="dxa"/>
            <w:vAlign w:val="bottom"/>
            <w:tcBorders>
              <w:top w:val="single" w:sz="8" w:color="CCEEFF"/>
            </w:tcBorders>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w w:val="90"/>
              </w:rPr>
              <w:t>E.</w:t>
            </w:r>
          </w:p>
        </w:tc>
        <w:tc>
          <w:tcPr>
            <w:tcW w:w="200" w:type="dxa"/>
            <w:vAlign w:val="bottom"/>
            <w:tcBorders>
              <w:top w:val="single" w:sz="8" w:color="CCEEFF"/>
            </w:tcBorders>
          </w:tcPr>
          <w:p>
            <w:pPr>
              <w:spacing w:after="0"/>
              <w:rPr>
                <w:sz w:val="15"/>
                <w:szCs w:val="15"/>
                <w:color w:val="auto"/>
              </w:rPr>
            </w:pPr>
          </w:p>
        </w:tc>
        <w:tc>
          <w:tcPr>
            <w:tcW w:w="1360" w:type="dxa"/>
            <w:vAlign w:val="bottom"/>
            <w:tcBorders>
              <w:top w:val="single" w:sz="8" w:color="0000EE"/>
            </w:tcBorders>
            <w:gridSpan w:val="9"/>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Taxation</w:t>
            </w:r>
          </w:p>
        </w:tc>
        <w:tc>
          <w:tcPr>
            <w:tcW w:w="6320" w:type="dxa"/>
            <w:vAlign w:val="bottom"/>
            <w:tcBorders>
              <w:top w:val="single" w:sz="8" w:color="CCEEFF"/>
            </w:tcBorders>
            <w:gridSpan w:val="28"/>
          </w:tcPr>
          <w:p>
            <w:pPr>
              <w:spacing w:after="0"/>
              <w:rPr>
                <w:sz w:val="15"/>
                <w:szCs w:val="15"/>
                <w:color w:val="auto"/>
              </w:rPr>
            </w:pPr>
          </w:p>
        </w:tc>
        <w:tc>
          <w:tcPr>
            <w:tcW w:w="2600" w:type="dxa"/>
            <w:vAlign w:val="bottom"/>
            <w:tcBorders>
              <w:top w:val="single" w:sz="8" w:color="CCEEFF"/>
            </w:tcBorders>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3"/>
        </w:trPr>
        <w:tc>
          <w:tcPr>
            <w:tcW w:w="760" w:type="dxa"/>
            <w:vAlign w:val="bottom"/>
            <w:tcBorders>
              <w:bottom w:val="single" w:sz="8" w:color="CCEEFF"/>
            </w:tcBorders>
            <w:shd w:val="clear" w:color="auto" w:fill="CCEEFF"/>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w w:val="90"/>
              </w:rPr>
              <w:t>F.</w:t>
            </w:r>
          </w:p>
        </w:tc>
        <w:tc>
          <w:tcPr>
            <w:tcW w:w="20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0000EE"/>
            </w:tcBorders>
            <w:gridSpan w:val="20"/>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w w:val="98"/>
              </w:rPr>
              <w:t>Dividends and Paying Agents</w:t>
            </w:r>
          </w:p>
        </w:tc>
        <w:tc>
          <w:tcPr>
            <w:tcW w:w="5560" w:type="dxa"/>
            <w:vAlign w:val="bottom"/>
            <w:tcBorders>
              <w:bottom w:val="single" w:sz="8" w:color="CCEEFF"/>
            </w:tcBorders>
            <w:gridSpan w:val="17"/>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135</w:t>
            </w:r>
          </w:p>
        </w:tc>
      </w:tr>
      <w:tr>
        <w:trPr>
          <w:trHeight w:val="173"/>
        </w:trPr>
        <w:tc>
          <w:tcPr>
            <w:tcW w:w="760" w:type="dxa"/>
            <w:vAlign w:val="bottom"/>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rPr>
              <w:t>G.</w:t>
            </w:r>
          </w:p>
        </w:tc>
        <w:tc>
          <w:tcPr>
            <w:tcW w:w="7880" w:type="dxa"/>
            <w:vAlign w:val="bottom"/>
            <w:gridSpan w:val="38"/>
          </w:tcPr>
          <w:p>
            <w:pPr>
              <w:ind w:left="200"/>
              <w:spacing w:after="0" w:line="174" w:lineRule="exact"/>
              <w:rPr>
                <w:sz w:val="20"/>
                <w:szCs w:val="20"/>
                <w:color w:val="auto"/>
              </w:rPr>
            </w:pPr>
            <w:r>
              <w:rPr>
                <w:rFonts w:ascii="Times New Roman" w:cs="Times New Roman" w:eastAsia="Times New Roman" w:hAnsi="Times New Roman"/>
                <w:sz w:val="18"/>
                <w:szCs w:val="18"/>
                <w:i w:val="1"/>
                <w:iCs w:val="1"/>
                <w:color w:val="0000EE"/>
              </w:rPr>
              <w:t>Statement by Experts</w:t>
            </w:r>
          </w:p>
        </w:tc>
        <w:tc>
          <w:tcPr>
            <w:tcW w:w="2600" w:type="dxa"/>
            <w:vAlign w:val="bottom"/>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73"/>
        </w:trPr>
        <w:tc>
          <w:tcPr>
            <w:tcW w:w="760" w:type="dxa"/>
            <w:vAlign w:val="bottom"/>
            <w:shd w:val="clear" w:color="auto" w:fill="CCEEFF"/>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rPr>
              <w:t>H.</w:t>
            </w:r>
          </w:p>
        </w:tc>
        <w:tc>
          <w:tcPr>
            <w:tcW w:w="200" w:type="dxa"/>
            <w:vAlign w:val="bottom"/>
            <w:shd w:val="clear" w:color="auto" w:fill="CCEEFF"/>
          </w:tcPr>
          <w:p>
            <w:pPr>
              <w:spacing w:after="0"/>
              <w:rPr>
                <w:sz w:val="15"/>
                <w:szCs w:val="15"/>
                <w:color w:val="auto"/>
              </w:rPr>
            </w:pPr>
          </w:p>
        </w:tc>
        <w:tc>
          <w:tcPr>
            <w:tcW w:w="7680" w:type="dxa"/>
            <w:vAlign w:val="bottom"/>
            <w:gridSpan w:val="37"/>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Documents on Display</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760" w:type="dxa"/>
            <w:vAlign w:val="bottom"/>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w w:val="94"/>
              </w:rPr>
              <w:t>I.</w:t>
            </w:r>
          </w:p>
        </w:tc>
        <w:tc>
          <w:tcPr>
            <w:tcW w:w="200" w:type="dxa"/>
            <w:vAlign w:val="bottom"/>
          </w:tcPr>
          <w:p>
            <w:pPr>
              <w:spacing w:after="0"/>
              <w:rPr>
                <w:sz w:val="15"/>
                <w:szCs w:val="15"/>
                <w:color w:val="auto"/>
              </w:rPr>
            </w:pPr>
          </w:p>
        </w:tc>
        <w:tc>
          <w:tcPr>
            <w:tcW w:w="7680" w:type="dxa"/>
            <w:vAlign w:val="bottom"/>
            <w:gridSpan w:val="37"/>
          </w:tcPr>
          <w:p>
            <w:pPr>
              <w:spacing w:after="0" w:line="174" w:lineRule="exact"/>
              <w:rPr>
                <w:sz w:val="20"/>
                <w:szCs w:val="20"/>
                <w:color w:val="auto"/>
              </w:rPr>
            </w:pPr>
            <w:r>
              <w:rPr>
                <w:rFonts w:ascii="Times New Roman" w:cs="Times New Roman" w:eastAsia="Times New Roman" w:hAnsi="Times New Roman"/>
                <w:sz w:val="18"/>
                <w:szCs w:val="18"/>
                <w:i w:val="1"/>
                <w:iCs w:val="1"/>
                <w:color w:val="0000EE"/>
              </w:rPr>
              <w:t>Subsidiary Information</w:t>
            </w:r>
          </w:p>
        </w:tc>
        <w:tc>
          <w:tcPr>
            <w:tcW w:w="2600" w:type="dxa"/>
            <w:vAlign w:val="bottom"/>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3"/>
        </w:trPr>
        <w:tc>
          <w:tcPr>
            <w:tcW w:w="760" w:type="dxa"/>
            <w:vAlign w:val="bottom"/>
            <w:shd w:val="clear" w:color="auto" w:fill="CCEEFF"/>
          </w:tcPr>
          <w:p>
            <w:pPr>
              <w:jc w:val="center"/>
              <w:ind w:left="111"/>
              <w:spacing w:after="0" w:line="174" w:lineRule="exact"/>
              <w:rPr>
                <w:sz w:val="20"/>
                <w:szCs w:val="20"/>
                <w:color w:val="auto"/>
              </w:rPr>
            </w:pPr>
            <w:r>
              <w:rPr>
                <w:rFonts w:ascii="Times New Roman" w:cs="Times New Roman" w:eastAsia="Times New Roman" w:hAnsi="Times New Roman"/>
                <w:sz w:val="18"/>
                <w:szCs w:val="18"/>
                <w:i w:val="1"/>
                <w:iCs w:val="1"/>
                <w:color w:val="auto"/>
                <w:w w:val="95"/>
              </w:rPr>
              <w:t>J.</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i w:val="1"/>
                <w:iCs w:val="1"/>
                <w:color w:val="0000EE"/>
              </w:rPr>
              <w:t>Annual Report to Security Holders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135</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11.</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135</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tcBorders>
              <w:bottom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12.</w:t>
            </w:r>
          </w:p>
        </w:tc>
        <w:tc>
          <w:tcPr>
            <w:tcW w:w="200" w:type="dxa"/>
            <w:vAlign w:val="bottom"/>
            <w:tcBorders>
              <w:bottom w:val="single" w:sz="8" w:color="CCEEFF"/>
            </w:tcBorders>
            <w:shd w:val="clear" w:color="auto" w:fill="CCEEFF"/>
          </w:tcPr>
          <w:p>
            <w:pPr>
              <w:spacing w:after="0"/>
              <w:rPr>
                <w:sz w:val="16"/>
                <w:szCs w:val="16"/>
                <w:color w:val="auto"/>
              </w:rPr>
            </w:pPr>
          </w:p>
        </w:tc>
        <w:tc>
          <w:tcPr>
            <w:tcW w:w="3900" w:type="dxa"/>
            <w:vAlign w:val="bottom"/>
            <w:tcBorders>
              <w:bottom w:val="single" w:sz="8" w:color="0000EE"/>
            </w:tcBorders>
            <w:gridSpan w:val="2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Description of Securities Other Than Equity Securities</w:t>
            </w:r>
          </w:p>
        </w:tc>
        <w:tc>
          <w:tcPr>
            <w:tcW w:w="3780" w:type="dxa"/>
            <w:vAlign w:val="bottom"/>
            <w:tcBorders>
              <w:bottom w:val="single" w:sz="8" w:color="CCEEFF"/>
            </w:tcBorders>
            <w:gridSpan w:val="10"/>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136</w:t>
            </w:r>
          </w:p>
        </w:tc>
      </w:tr>
      <w:tr>
        <w:trPr>
          <w:trHeight w:val="173"/>
        </w:trPr>
        <w:tc>
          <w:tcPr>
            <w:tcW w:w="760" w:type="dxa"/>
            <w:vAlign w:val="bottom"/>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w w:val="90"/>
              </w:rPr>
              <w:t>A.</w:t>
            </w:r>
          </w:p>
        </w:tc>
        <w:tc>
          <w:tcPr>
            <w:tcW w:w="7880" w:type="dxa"/>
            <w:vAlign w:val="bottom"/>
            <w:gridSpan w:val="38"/>
          </w:tcPr>
          <w:p>
            <w:pPr>
              <w:ind w:left="200"/>
              <w:spacing w:after="0" w:line="174" w:lineRule="exact"/>
              <w:rPr>
                <w:sz w:val="20"/>
                <w:szCs w:val="20"/>
                <w:color w:val="auto"/>
              </w:rPr>
            </w:pPr>
            <w:r>
              <w:rPr>
                <w:rFonts w:ascii="Times New Roman" w:cs="Times New Roman" w:eastAsia="Times New Roman" w:hAnsi="Times New Roman"/>
                <w:sz w:val="18"/>
                <w:szCs w:val="18"/>
                <w:i w:val="1"/>
                <w:iCs w:val="1"/>
                <w:color w:val="0000EE"/>
              </w:rPr>
              <w:t>Debt Securities</w:t>
            </w:r>
          </w:p>
        </w:tc>
        <w:tc>
          <w:tcPr>
            <w:tcW w:w="2600" w:type="dxa"/>
            <w:vAlign w:val="bottom"/>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3"/>
        </w:trPr>
        <w:tc>
          <w:tcPr>
            <w:tcW w:w="760" w:type="dxa"/>
            <w:vAlign w:val="bottom"/>
            <w:tcBorders>
              <w:bottom w:val="single" w:sz="8" w:color="CCEEFF"/>
            </w:tcBorders>
            <w:shd w:val="clear" w:color="auto" w:fill="CCEEFF"/>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w w:val="90"/>
              </w:rPr>
              <w:t>B.</w:t>
            </w: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0000EE"/>
            </w:tcBorders>
            <w:gridSpan w:val="11"/>
            <w:shd w:val="clear" w:color="auto" w:fill="CCEEFF"/>
          </w:tcPr>
          <w:p>
            <w:pPr>
              <w:spacing w:after="0" w:line="174" w:lineRule="exact"/>
              <w:rPr>
                <w:sz w:val="20"/>
                <w:szCs w:val="20"/>
                <w:color w:val="auto"/>
              </w:rPr>
            </w:pPr>
            <w:r>
              <w:rPr>
                <w:rFonts w:ascii="Times New Roman" w:cs="Times New Roman" w:eastAsia="Times New Roman" w:hAnsi="Times New Roman"/>
                <w:sz w:val="18"/>
                <w:szCs w:val="18"/>
                <w:i w:val="1"/>
                <w:iCs w:val="1"/>
                <w:color w:val="0000EE"/>
                <w:w w:val="97"/>
              </w:rPr>
              <w:t>Warrants and Rights</w:t>
            </w:r>
          </w:p>
        </w:tc>
        <w:tc>
          <w:tcPr>
            <w:tcW w:w="6200" w:type="dxa"/>
            <w:vAlign w:val="bottom"/>
            <w:tcBorders>
              <w:bottom w:val="single" w:sz="8" w:color="CCEEFF"/>
            </w:tcBorders>
            <w:gridSpan w:val="26"/>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136</w:t>
            </w:r>
          </w:p>
        </w:tc>
      </w:tr>
      <w:tr>
        <w:trPr>
          <w:trHeight w:val="173"/>
        </w:trPr>
        <w:tc>
          <w:tcPr>
            <w:tcW w:w="760" w:type="dxa"/>
            <w:vAlign w:val="bottom"/>
          </w:tcPr>
          <w:p>
            <w:pPr>
              <w:jc w:val="center"/>
              <w:ind w:left="111"/>
              <w:spacing w:after="0" w:line="174" w:lineRule="exact"/>
              <w:rPr>
                <w:sz w:val="20"/>
                <w:szCs w:val="20"/>
                <w:color w:val="auto"/>
              </w:rPr>
            </w:pPr>
            <w:r>
              <w:rPr>
                <w:rFonts w:ascii="Times New Roman" w:cs="Times New Roman" w:eastAsia="Times New Roman" w:hAnsi="Times New Roman"/>
                <w:sz w:val="18"/>
                <w:szCs w:val="18"/>
                <w:i w:val="1"/>
                <w:iCs w:val="1"/>
                <w:color w:val="auto"/>
                <w:w w:val="96"/>
              </w:rPr>
              <w:t>C.</w:t>
            </w:r>
          </w:p>
        </w:tc>
        <w:tc>
          <w:tcPr>
            <w:tcW w:w="7880" w:type="dxa"/>
            <w:vAlign w:val="bottom"/>
            <w:gridSpan w:val="38"/>
          </w:tcPr>
          <w:p>
            <w:pPr>
              <w:ind w:left="200"/>
              <w:spacing w:after="0" w:line="174" w:lineRule="exact"/>
              <w:rPr>
                <w:sz w:val="20"/>
                <w:szCs w:val="20"/>
                <w:color w:val="auto"/>
              </w:rPr>
            </w:pPr>
            <w:r>
              <w:rPr>
                <w:rFonts w:ascii="Times New Roman" w:cs="Times New Roman" w:eastAsia="Times New Roman" w:hAnsi="Times New Roman"/>
                <w:sz w:val="18"/>
                <w:szCs w:val="18"/>
                <w:i w:val="1"/>
                <w:iCs w:val="1"/>
                <w:color w:val="0000EE"/>
              </w:rPr>
              <w:t>Other Securities</w:t>
            </w:r>
          </w:p>
        </w:tc>
        <w:tc>
          <w:tcPr>
            <w:tcW w:w="2600" w:type="dxa"/>
            <w:vAlign w:val="bottom"/>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3"/>
        </w:trPr>
        <w:tc>
          <w:tcPr>
            <w:tcW w:w="760" w:type="dxa"/>
            <w:vAlign w:val="bottom"/>
            <w:shd w:val="clear" w:color="auto" w:fill="CCEEFF"/>
          </w:tcPr>
          <w:p>
            <w:pPr>
              <w:jc w:val="center"/>
              <w:ind w:left="131"/>
              <w:spacing w:after="0" w:line="174" w:lineRule="exact"/>
              <w:rPr>
                <w:sz w:val="20"/>
                <w:szCs w:val="20"/>
                <w:color w:val="auto"/>
              </w:rPr>
            </w:pPr>
            <w:r>
              <w:rPr>
                <w:rFonts w:ascii="Times New Roman" w:cs="Times New Roman" w:eastAsia="Times New Roman" w:hAnsi="Times New Roman"/>
                <w:sz w:val="18"/>
                <w:szCs w:val="18"/>
                <w:i w:val="1"/>
                <w:iCs w:val="1"/>
                <w:color w:val="auto"/>
              </w:rPr>
              <w:t>D.</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i w:val="1"/>
                <w:iCs w:val="1"/>
                <w:color w:val="0000EE"/>
              </w:rPr>
              <w:t>American Depositary Shares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136</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160" w:type="dxa"/>
            <w:vAlign w:val="bottom"/>
            <w:gridSpan w:val="7"/>
            <w:shd w:val="clear" w:color="auto" w:fill="CCEEFF"/>
          </w:tcPr>
          <w:p>
            <w:pPr>
              <w:jc w:val="center"/>
              <w:ind w:right="2560"/>
              <w:spacing w:after="0" w:line="174" w:lineRule="exact"/>
              <w:rPr>
                <w:sz w:val="20"/>
                <w:szCs w:val="20"/>
                <w:color w:val="auto"/>
              </w:rPr>
            </w:pPr>
            <w:r>
              <w:rPr>
                <w:rFonts w:ascii="Times New Roman" w:cs="Times New Roman" w:eastAsia="Times New Roman" w:hAnsi="Times New Roman"/>
                <w:sz w:val="18"/>
                <w:szCs w:val="18"/>
                <w:color w:val="0000EE"/>
                <w:w w:val="95"/>
              </w:rPr>
              <w:t>PART II</w:t>
            </w:r>
          </w:p>
        </w:tc>
        <w:tc>
          <w:tcPr>
            <w:tcW w:w="2600" w:type="dxa"/>
            <w:vAlign w:val="bottom"/>
            <w:shd w:val="clear" w:color="auto" w:fill="CCEEFF"/>
          </w:tcPr>
          <w:p>
            <w:pPr>
              <w:spacing w:after="0"/>
              <w:rPr>
                <w:sz w:val="16"/>
                <w:szCs w:val="16"/>
                <w:color w:val="auto"/>
              </w:rPr>
            </w:pP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13.</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137</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14.</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137</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15.</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Controls and Procedures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137</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[Reserved]</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138</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16A</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Audit Committee Financial Expert</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137</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16B</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Code of Ethics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137</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16C</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Principal Accountant Fees and Services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137</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16D</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Exemption from the Listing Standards for Audit Committees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139</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16E</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Purchases of Equity Securities by the Issuer and Affiliated Purchasers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139</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16F</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Change in Registrant’s Certifying Accountant</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139</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16G</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Corporate Governance</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139</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16H</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Mine Safety Disclosure</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139</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16I</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Disclosure Regarding Foreign Jurisdictions that Prevent Inspections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139</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16J</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Insider Trading Policies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139</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16K</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 Cybersecurity</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139</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180" w:type="dxa"/>
            <w:vAlign w:val="bottom"/>
            <w:gridSpan w:val="8"/>
            <w:shd w:val="clear" w:color="auto" w:fill="CCEEFF"/>
          </w:tcPr>
          <w:p>
            <w:pPr>
              <w:jc w:val="center"/>
              <w:ind w:right="2540"/>
              <w:spacing w:after="0" w:line="174" w:lineRule="exact"/>
              <w:rPr>
                <w:sz w:val="20"/>
                <w:szCs w:val="20"/>
                <w:color w:val="auto"/>
              </w:rPr>
            </w:pPr>
            <w:r>
              <w:rPr>
                <w:rFonts w:ascii="Times New Roman" w:cs="Times New Roman" w:eastAsia="Times New Roman" w:hAnsi="Times New Roman"/>
                <w:sz w:val="18"/>
                <w:szCs w:val="18"/>
                <w:color w:val="0000EE"/>
                <w:w w:val="93"/>
              </w:rPr>
              <w:t>PART III</w:t>
            </w:r>
          </w:p>
        </w:tc>
        <w:tc>
          <w:tcPr>
            <w:tcW w:w="2600" w:type="dxa"/>
            <w:vAlign w:val="bottom"/>
            <w:shd w:val="clear" w:color="auto" w:fill="CCEEFF"/>
          </w:tcPr>
          <w:p>
            <w:pPr>
              <w:spacing w:after="0"/>
              <w:rPr>
                <w:sz w:val="16"/>
                <w:szCs w:val="16"/>
                <w:color w:val="auto"/>
              </w:rPr>
            </w:pP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17</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141</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18.</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141</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3"/>
        </w:trPr>
        <w:tc>
          <w:tcPr>
            <w:tcW w:w="7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Item 19</w:t>
            </w:r>
          </w:p>
        </w:tc>
        <w:tc>
          <w:tcPr>
            <w:tcW w:w="7880" w:type="dxa"/>
            <w:vAlign w:val="bottom"/>
            <w:gridSpan w:val="38"/>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0000EE"/>
              </w:rPr>
              <w:t>Exhibits</w:t>
            </w:r>
          </w:p>
        </w:tc>
        <w:tc>
          <w:tcPr>
            <w:tcW w:w="2600" w:type="dxa"/>
            <w:vAlign w:val="bottom"/>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141</w:t>
            </w:r>
          </w:p>
        </w:tc>
      </w:tr>
      <w:tr>
        <w:trPr>
          <w:trHeight w:val="213"/>
        </w:trPr>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r>
      <w:tr>
        <w:trPr>
          <w:trHeight w:val="198"/>
        </w:trPr>
        <w:tc>
          <w:tcPr>
            <w:tcW w:w="760" w:type="dxa"/>
            <w:vAlign w:val="bottom"/>
            <w:tcBorders>
              <w:bottom w:val="single" w:sz="8" w:color="0000EE"/>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Signatures</w:t>
            </w: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jc w:val="right"/>
              <w:ind w:right="91"/>
              <w:spacing w:after="0" w:line="174" w:lineRule="exact"/>
              <w:rPr>
                <w:sz w:val="20"/>
                <w:szCs w:val="20"/>
                <w:color w:val="auto"/>
              </w:rPr>
            </w:pPr>
            <w:r>
              <w:rPr>
                <w:rFonts w:ascii="Times New Roman" w:cs="Times New Roman" w:eastAsia="Times New Roman" w:hAnsi="Times New Roman"/>
                <w:sz w:val="18"/>
                <w:szCs w:val="18"/>
                <w:color w:val="auto"/>
              </w:rPr>
              <w:t>142</w:t>
            </w:r>
          </w:p>
        </w:tc>
      </w:tr>
      <w:tr>
        <w:trPr>
          <w:trHeight w:val="427"/>
        </w:trPr>
        <w:tc>
          <w:tcPr>
            <w:tcW w:w="7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120" w:type="dxa"/>
            <w:vAlign w:val="bottom"/>
            <w:tcBorders>
              <w:top w:val="single" w:sz="8" w:color="CCEEFF"/>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2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used in this Annual Report on Form 20-F (this “Annual Report”), unless otherwise indicated or the context otherwise requires, references to</w:t>
      </w:r>
    </w:p>
    <w:p>
      <w:pPr>
        <w:spacing w:after="0" w:line="220" w:lineRule="exact"/>
        <w:rPr>
          <w:sz w:val="20"/>
          <w:szCs w:val="20"/>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“Genenta,” “us,” “our,” “the Company,” or “our company” are to Genenta Science S.p.A., including its subsidiaries;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no par value;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or “American Depositary Shares” are to our American depositary shares, each representing one ordinary share;</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are to the Nasdaq Capital Market;</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“Italy” are to the Republic of Italy, “E.U.” are to the European Union, and “U.S.” are to the United States of America;</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“dollars,” “USD$” or “U.S. dollars” are to the legal currency of the U.S.;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“EURO,” or “Euros” are to the legal currency of the E.U.</w:t>
      </w:r>
    </w:p>
    <w:p>
      <w:pPr>
        <w:spacing w:after="0" w:line="22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Solely for the convenience of the reader, this Annual Report contains translations of certain U.S. dollar amounts into Euros at specified rates. Except as otherwise stated in this Annual Report, all foreign currency transactions are translated into Euros through a specific application embedded in our accounting system, which is powered by the official exchange rates provided by HSBC (Hongkong and Shanghai Banking Corporation) in the City of London, United Kingdom. Specifically, the Consolidated Balance Sheet balances resulting from our financial statement as of December 31, 2025, are translated at the spot exchange rate as of December 31, 2025, that is $1.00 per €0.8518, while the Consolidated Statements of Operations and Comprehensive Loss balances are translated at the weighted average exchange rate of non-Euro currency transactions during the reporting period. No representation is made that such U.S. dollar amounts referred to in this Annual Report could have been or could be converted into Euros at such rates or any other rates. Any discrepancies in any table between totals and sums of the amounts listed are due to rounding.</w:t>
      </w:r>
    </w:p>
    <w:p>
      <w:pPr>
        <w:spacing w:after="0" w:line="190" w:lineRule="exact"/>
        <w:rPr>
          <w:sz w:val="20"/>
          <w:szCs w:val="20"/>
          <w:color w:val="auto"/>
        </w:rPr>
      </w:pPr>
    </w:p>
    <w:p>
      <w:pPr>
        <w:jc w:val="both"/>
        <w:ind w:firstLine="640"/>
        <w:spacing w:after="0" w:line="236" w:lineRule="auto"/>
        <w:rPr>
          <w:sz w:val="20"/>
          <w:szCs w:val="20"/>
          <w:color w:val="auto"/>
        </w:rPr>
      </w:pPr>
      <w:r>
        <w:rPr>
          <w:rFonts w:ascii="Times New Roman" w:cs="Times New Roman" w:eastAsia="Times New Roman" w:hAnsi="Times New Roman"/>
          <w:sz w:val="18"/>
          <w:szCs w:val="18"/>
          <w:color w:val="auto"/>
        </w:rPr>
        <w:t>The audited consolidated financial statements and notes thereto as of and for fiscal 2025, 2024, and 2023 included elsewhere in this Annual Report have been prepared in accordance with U.S. generally accepted accounting principles (“US GAAP”). Our fiscal semi-annual year-end is June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and our fiscal year-end is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This Annual Report contains many statements that are “forward-looking”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Annual Report, any or all of those assumptions could prove to be inaccurate. As a result, the forward-looking statements based on those assumptions could also be incorrect. The forward-looking statements in this Annual Report include, without limitation, statements relating to:</w:t>
      </w:r>
    </w:p>
    <w:p>
      <w:pPr>
        <w:spacing w:after="0" w:line="187" w:lineRule="exact"/>
        <w:rPr>
          <w:sz w:val="20"/>
          <w:szCs w:val="20"/>
          <w:color w:val="auto"/>
        </w:rPr>
      </w:pPr>
    </w:p>
    <w:p>
      <w:pPr>
        <w:ind w:left="960" w:hanging="31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revenues, profits, earnings and other estimated financial information;</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strong relationships with our customers and suppliers;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use of proceeds;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regarding our industry.</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forward-looking statements included in this Annual Report are subject to known and unknown risks, uncertainties and assumptions about our business and business environment. These statements reflect our current views with respect to future events and are not a guarantee of future performance. Actual results of our operations may differ materially from information contained in the forward-looking statements as a result of risk factors, some of which are described under the headings “Risk Factors”, “Operating and Financial Review and Prospects,” “Information on our Company” and elsewhere in this Annual Report.</w:t>
      </w:r>
    </w:p>
    <w:p>
      <w:pPr>
        <w:spacing w:after="0" w:line="18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These risks and uncertainties are not exhaustive. Other sections of this Annual Report include additional factors which could adversely impact our business and financial performance. The forward-looking statements contained in this Annual Report speak only as of the date of this Annual Report or, if obtained from third-party studies or reports, the date of the corresponding study or report, and are expressly qualified in their entirety by the cautionary statements in this Annual Report. Since we operate in an emerging and evolving environment and new risk factors and uncertainties emerge from time to time, you should not rely upon forward-looking statements as predictions of future events. Except as otherwise required by the securities laws of the U.S., the E.U. and Italy, we undertake no obligation to update or revise any forward-looking statements to reflect events or circumstances after the date of this Annual Report or to reflect the occurrence of unanticipated events.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Advisers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Auditors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Statistics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Method and Expect</w:t>
      </w:r>
    </w:p>
    <w:p>
      <w:pPr>
        <w:spacing w:after="0" w:line="224"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0" w:lineRule="exact"/>
        <w:rPr>
          <w:sz w:val="20"/>
          <w:szCs w:val="20"/>
          <w:color w:val="auto"/>
        </w:rPr>
      </w:pPr>
    </w:p>
    <w:p>
      <w:pPr>
        <w:ind w:left="220" w:hanging="213"/>
        <w:spacing w:after="0"/>
        <w:tabs>
          <w:tab w:leader="none" w:pos="2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19" w:lineRule="exact"/>
        <w:rPr>
          <w:rFonts w:ascii="Times New Roman" w:cs="Times New Roman" w:eastAsia="Times New Roman" w:hAnsi="Times New Roman"/>
          <w:sz w:val="18"/>
          <w:szCs w:val="18"/>
          <w:b w:val="1"/>
          <w:bCs w:val="1"/>
          <w:color w:val="auto"/>
        </w:rPr>
      </w:pPr>
    </w:p>
    <w:p>
      <w:pPr>
        <w:ind w:left="640" w:right="8580" w:hanging="633"/>
        <w:spacing w:after="0" w:line="495" w:lineRule="auto"/>
        <w:tabs>
          <w:tab w:leader="none" w:pos="20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required.</w:t>
      </w: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Reasons for the Offer and Use of Proceeds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You should carefully consider all of the information in this report, including various changing regulatory, competitive, economic, political, and social risks and conditions described below, before making an investment in our ordinary shares. One or more of a combination of these risks could materially impact our business, results of operations, and financial condition. In any such case, the market price of our ADSs or ordinary shares could decline, and you may lose all or part of your investment.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relating to our business include issues arising from the following matters and related adverse developments:</w:t>
      </w:r>
    </w:p>
    <w:p>
      <w:pPr>
        <w:spacing w:after="0" w:line="220" w:lineRule="exact"/>
        <w:rPr>
          <w:sz w:val="20"/>
          <w:szCs w:val="20"/>
          <w:color w:val="auto"/>
        </w:rPr>
      </w:pPr>
    </w:p>
    <w:p>
      <w:pPr>
        <w:ind w:left="640" w:hanging="313"/>
        <w:spacing w:after="0" w:line="277"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attempting to evolve into a next-generation strategic industrial consolidator in response to evolving market dynamics and strategic opportunities. We have never attempted a strategic transformation of this type. Although we intend to evolve into a next-generation strategic industrial consolidator organized around key synergistic pillars – Biotechnology, Defense, Aerospace, and National Security, and focused on acquiring privately held businesses operating in national-security regulated sectors contemplated by the “Golden Power” legislation, there can be no assurance that this effort will be successful. As a result, our efforts could have a material adverse impact on your investment.</w:t>
      </w:r>
    </w:p>
    <w:p>
      <w:pPr>
        <w:spacing w:after="0" w:line="185"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San Raffaele Hospital (“OSR”) and any failure to comply with the terms of such license agreement could have a material adverse effect on our intellectual property position and our ability to seek approval for and ultimately commercialize such product candidates.</w:t>
      </w:r>
    </w:p>
    <w:p>
      <w:pPr>
        <w:spacing w:after="0" w:line="185"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655" w:gutter="0" w:footer="0" w:header="0"/>
        </w:sectPr>
      </w:pPr>
    </w:p>
    <w:bookmarkStart w:id="7" w:name="page8"/>
    <w:bookmarkEnd w:id="7"/>
    <w:p>
      <w:pPr>
        <w:jc w:val="both"/>
        <w:ind w:left="640" w:hanging="313"/>
        <w:spacing w:after="0" w:line="273" w:lineRule="auto"/>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have very few employees and rely almost entirely on the efforts of third parties over which we have limited control and in certain cases are reliant on a sole supplier for our materials. Our contract research organizations (“CROs”) may fail to observe the standards to which our studies must be conducted, and our product candidates may not be approved as a result. Likewise, our contract manufacturing organizations (“CMOs”) may not produce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69" w:lineRule="exact"/>
        <w:rPr>
          <w:rFonts w:ascii="Times New Roman" w:cs="Times New Roman" w:eastAsia="Times New Roman" w:hAnsi="Times New Roman"/>
          <w:sz w:val="17"/>
          <w:szCs w:val="17"/>
          <w:color w:val="auto"/>
        </w:rPr>
      </w:pPr>
    </w:p>
    <w:p>
      <w:pPr>
        <w:jc w:val="both"/>
        <w:ind w:left="640" w:hanging="313"/>
        <w:spacing w:after="0" w:line="253"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a partner or strategic relationship in order to advance Temferon, but there can be no assurance that we will be successful in establishing a strategic partnership or collaboration. If we are not able to develop an alliance or strategic partnership or other collaboration, we may not be able to further advance Temferon’s clinical development, which would inhibit our ability to generate value from the Temferon asset. Such strategic partnership and collaboration arrangements are also complex and time-consuming to negotiate, document, and implement and they may require substantial resources to maintain. Any strategic partnerships or collaborations we enter into may not be successful and we may not realize the benefits from such arrangements.</w:t>
      </w:r>
    </w:p>
    <w:p>
      <w:pPr>
        <w:spacing w:after="0" w:line="185"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85"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directors, and shareholders who own more than 5% of our outstanding ordinary shares currently own approximately 25% of our ordinary shares and approximately 58% of the voting power due to the Company’s loyalty share program and will therefore be able to exert significant control over matters submitted to our shareholders for approval.</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company, we will need to comply with extensive additional U.S. and Italian governmental regulations and Nasdaq rules, which will be expensive and require significant management attention.</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organized under the laws of Italy and whose shares are represented by ADSs, the rights of investors in the Company differ in several material respects from the rights of holders of shares of common stock of a U.S. domestic company and may not provide investors the same protections.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particularly if we continue Temferon development.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Golden Power acquisition efforts, or other operations.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2025, our cash and cash equivalents and marketable securities were approximately €28.1 million. If we continue to use cash at our historical rates of use, we will need significant additional financing, which we may seek through a combination of private and public equity offerings, debt financing and collaboration, in-licensing arrangements, joint ventures, strategic alliances or partnerships. For example, on May 12, 2023, we filed with the Securities and Exchange Commission (the “SEC”) a shelf registration statement, which was declared effective by the SEC on May 24, 2023 and permits us to sell from time to time additional ordinary shares, ordinary shares represented by ADSs or rights exercisable for ordinary shares or ADSs in one or more offerings in amounts, at prices and on the terms that we will determine at the time of offering for aggregate gross sales proceeds of up to $100.0 million. As of December 31, 2025, approximately $86.0 million of securities remained available under this registration statement. Further, we have entered into an ATM sales agreement, as amended (the “Sales Agreement”), with Virtu Americas LLC and Rodman &amp; Renshaw LLC (the “Sales Agents”) pursuant to which we may, but are not obligated to, offer and sell, from time to time, ADSs with an aggregate offering price up to $29,696,999 through the Sales Agents, subject to the terms and conditions described in the Sales Agreement and SEC rules and regulations (our “ATM offering”). As of December 31, 2025, approximately $26.4 million of capacity remained available under this ATM offering.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collaborations, licensing arrangements, joint ventures, strategic alliances, or partnerships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20" w:lineRule="exact"/>
        <w:rPr>
          <w:sz w:val="20"/>
          <w:szCs w:val="20"/>
          <w:color w:val="auto"/>
        </w:rPr>
      </w:pPr>
    </w:p>
    <w:p>
      <w:pPr>
        <w:ind w:left="640" w:hanging="31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pre- and non-clinical development and clinical trials for our product candidates, including Temferon;</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marketing, manufacturing and distribution, for any of our product candidates for which we receive marketing approval;</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acquisition activities, as we evolve into a next-generation strategic industrial consolidator, including the cost related to acquiring and supporting businesses operating in national-security regulated sectors contemplated by the “Golden Power” legislation;</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and trademark applications, maintaining and enforcing our intellectual property rights and defending our intellectual property-related claims;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and compliance costs of transitioning to an industrial consolidator.</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and/or acquire majority positions in Golden Rule targets.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development or commercialization, if any, of any product candidates, delay or be unable to complete acquisitions or effectively support acquired businesses, or be unable to expand our operations or otherwise capitalize on our business opportunities, as desired, which could materially affect our business, financial condition and results of operations.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and results of earlier trials may not be predictive of future trial results. If clinical studies of our product candidates are prolonged or delayed, we may be unable to obtain the required regulatory approvals and, therefore, be unable to commercialize our product candidates on a timely basis or at all.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limited history of conducting large-scale or pivotal clinical studies, and no history commercializing pharmaceutical products, which may make it difficult to evaluate the prospects for our future viability. Our operations to date have been limited to financing and staffing our company, developing our technology, and developing Temferon for glioblastoma multiforme. We have not yet demonstrated an ability to successfully complete a large-scale or pivotal clinical study, obtain marketing approval, manufacture a commercial-scale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If clinical studies for our product candidates are prolonged, delayed or stopped, we may be unable to obtain regulatory approval and commercialize our product candidates on a timely basis, which would require us to incur additional costs and delay or restrict our receipt of any product revenue. There have been significant developments in the highly dynamic field of immuno-oncology such as the earlier availability of product candidates or earlier approval of drugs for the same indications as our product candidates, which may lead us to adapt or alter our clinical programs. At this stage, we cannot assure you of the safety or tolerability of Temferon as a monotherapy, or of its ability to demonstrate efficacy in humans. The commencement of planned clinical studies could be substantially delayed or prevented by several factors, including:</w:t>
      </w:r>
    </w:p>
    <w:p>
      <w:pPr>
        <w:spacing w:after="0" w:line="185" w:lineRule="exact"/>
        <w:rPr>
          <w:sz w:val="20"/>
          <w:szCs w:val="20"/>
          <w:color w:val="auto"/>
        </w:rPr>
      </w:pPr>
    </w:p>
    <w:p>
      <w:pPr>
        <w:ind w:left="1280" w:hanging="633"/>
        <w:spacing w:after="0" w:line="258"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with the Italian Medicines Agency (Agenzia italiana del farmaco, or “AIFA”), FDA, EMA, or other regulatory agencies regarding the scope or design of our clinical studies;</w:t>
      </w:r>
    </w:p>
    <w:p>
      <w:pPr>
        <w:ind w:left="1280" w:hanging="633"/>
        <w:spacing w:after="0" w:line="247"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of, and competition for, suitable sites to conduct our clinical studies, many of which may already be engaged in other clinical study programs, including some that may be for the same indication as our product candidates;</w:t>
      </w:r>
    </w:p>
    <w:p>
      <w:pPr>
        <w:ind w:left="1280" w:hanging="63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drugs for the same indications as our product candidates;</w:t>
      </w:r>
    </w:p>
    <w:p>
      <w:pPr>
        <w:spacing w:after="0" w:line="6" w:lineRule="exact"/>
        <w:rPr>
          <w:rFonts w:ascii="Times New Roman" w:cs="Times New Roman" w:eastAsia="Times New Roman" w:hAnsi="Times New Roman"/>
          <w:sz w:val="18"/>
          <w:szCs w:val="18"/>
          <w:color w:val="auto"/>
        </w:rPr>
      </w:pPr>
    </w:p>
    <w:p>
      <w:pPr>
        <w:ind w:left="1280" w:right="20" w:hanging="633"/>
        <w:spacing w:after="0" w:line="247"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failure to obtain regulatory approval or agreement to commence a clinical study in any of the countries where enrollment is planned;</w:t>
      </w:r>
    </w:p>
    <w:p>
      <w:pPr>
        <w:ind w:left="1280" w:hanging="63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funds required for a clinical study;</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or other regulatory objections to, a new or ongoing clinical study;</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the testing, validation, manufacture and delivery of sufficient supplies of product candidate for our clinical studies;</w:t>
      </w:r>
    </w:p>
    <w:p>
      <w:pPr>
        <w:spacing w:after="0" w:line="6" w:lineRule="exact"/>
        <w:rPr>
          <w:rFonts w:ascii="Times New Roman" w:cs="Times New Roman" w:eastAsia="Times New Roman" w:hAnsi="Times New Roman"/>
          <w:sz w:val="18"/>
          <w:szCs w:val="18"/>
          <w:color w:val="auto"/>
        </w:rPr>
      </w:pPr>
    </w:p>
    <w:p>
      <w:pPr>
        <w:ind w:left="1280" w:right="20" w:hanging="633"/>
        <w:spacing w:after="0" w:line="247"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agreement on acceptable clinical study agreement terms with prospective sites or CROs, the terms of which can be subject to extensive negotiation and may vary significantly among different sites or CROs; and</w:t>
      </w:r>
    </w:p>
    <w:p>
      <w:pPr>
        <w:ind w:left="1280" w:hanging="63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institutional review board (“IRB”) or ethics committee approval to conduct a clinical study at a prospective site.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completion of our clinical studies could in the future be substantially delayed or prevented by several factors, including:</w:t>
      </w:r>
    </w:p>
    <w:p>
      <w:pPr>
        <w:spacing w:after="0" w:line="220" w:lineRule="exact"/>
        <w:rPr>
          <w:sz w:val="20"/>
          <w:szCs w:val="20"/>
          <w:color w:val="auto"/>
        </w:rPr>
      </w:pPr>
    </w:p>
    <w:p>
      <w:pPr>
        <w:jc w:val="both"/>
        <w:ind w:left="1280" w:hanging="633"/>
        <w:spacing w:after="0" w:line="254"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and enrollment, due to factors including, but not limited to, the availability of other drugs to treat potential patients, the unwillingness of patients to participate in low-dose groups of dose-ranging studies and lack of recruitment by clinical study sites;</w:t>
      </w:r>
    </w:p>
    <w:p>
      <w:pPr>
        <w:spacing w:after="0" w:line="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relating to adding new clinical study sites;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the clinical study or return for post-treatment follow-up;</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collaborators to provide us with products necessary for us to conduct our combination studies;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including severe or unexpected drug-related adverse effects experienced by patients, including possible deaths;</w:t>
      </w:r>
    </w:p>
    <w:p>
      <w:pPr>
        <w:spacing w:after="0" w:line="6" w:lineRule="exact"/>
        <w:rPr>
          <w:rFonts w:ascii="Times New Roman" w:cs="Times New Roman" w:eastAsia="Times New Roman" w:hAnsi="Times New Roman"/>
          <w:sz w:val="18"/>
          <w:szCs w:val="18"/>
          <w:color w:val="auto"/>
        </w:rPr>
      </w:pPr>
    </w:p>
    <w:p>
      <w:pPr>
        <w:ind w:left="1280" w:hanging="633"/>
        <w:spacing w:after="0" w:line="247"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AIFA, FDA, EMA, or other regulatory authorities requiring us to suspend or terminate a clinical study, or requiring us to submit additional data or imposing other requirements before permitting us to continue a clinical study;</w:t>
      </w: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efficacy during clinical studies;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trial design or conduct;</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clinical studies by one or more clinical study sites;</w:t>
      </w:r>
    </w:p>
    <w:p>
      <w:pPr>
        <w:spacing w:after="0" w:line="6" w:lineRule="exact"/>
        <w:rPr>
          <w:rFonts w:ascii="Times New Roman" w:cs="Times New Roman" w:eastAsia="Times New Roman" w:hAnsi="Times New Roman"/>
          <w:sz w:val="18"/>
          <w:szCs w:val="18"/>
          <w:color w:val="auto"/>
        </w:rPr>
      </w:pPr>
    </w:p>
    <w:p>
      <w:pPr>
        <w:ind w:left="1280" w:right="20" w:hanging="633"/>
        <w:spacing w:after="0" w:line="247"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clinical investigators to follow our clinical study protocols, including clinical investigators’ failure to comply with our clinical study protocols without our notice;</w:t>
      </w: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by us and/or our CROs; and</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repeat or terminate clinical studies as a result of inconclusive or negative results or unforeseen complications in testing.</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0" w:name="page11"/>
    <w:bookmarkEnd w:id="10"/>
    <w:p>
      <w:pPr>
        <w:jc w:val="both"/>
        <w:spacing w:after="0" w:line="257" w:lineRule="auto"/>
        <w:rPr>
          <w:sz w:val="20"/>
          <w:szCs w:val="20"/>
          <w:color w:val="auto"/>
        </w:rPr>
      </w:pPr>
      <w:r>
        <w:rPr>
          <w:rFonts w:ascii="Times New Roman" w:cs="Times New Roman" w:eastAsia="Times New Roman" w:hAnsi="Times New Roman"/>
          <w:sz w:val="18"/>
          <w:szCs w:val="18"/>
          <w:color w:val="auto"/>
        </w:rPr>
        <w:t>Changes in regulatory requirements and guidance may also occur and we may need to significantly amend clinical study protocols or submit new clinical study protocols to reflect these changes with the appropriate regulatory authorities. In addition, changes in the competitive environment have occurred and may continue to occur. Amendments may require us to renegotiate terms with CROs or resubmit clinical study protocols to IRBs or ethics committees for re-examination, which may impact the costs, timing or successful completion of a clinical study.</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clinical studies may be suspended or terminated at any time by the AIFA, FDA, EMA, other regulatory authorities, the IRBs or ethics committees overseeing the clinical study at issue, any of our clinical study sites, or us, due to a number of factors, including:</w:t>
      </w:r>
    </w:p>
    <w:p>
      <w:pPr>
        <w:spacing w:after="0" w:line="163" w:lineRule="exact"/>
        <w:rPr>
          <w:sz w:val="20"/>
          <w:szCs w:val="20"/>
          <w:color w:val="auto"/>
        </w:rPr>
      </w:pPr>
    </w:p>
    <w:p>
      <w:pPr>
        <w:ind w:left="1280" w:hanging="633"/>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study in accordance with regulatory requirements or our clinical protocols;</w:t>
      </w:r>
    </w:p>
    <w:p>
      <w:pPr>
        <w:spacing w:after="0" w:line="25"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or any determination that a clinical study presents unacceptable health risks;</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study due to unforeseen costs or other business decisions;</w:t>
      </w:r>
    </w:p>
    <w:p>
      <w:pPr>
        <w:spacing w:after="0" w:line="6" w:lineRule="exact"/>
        <w:rPr>
          <w:rFonts w:ascii="Times New Roman" w:cs="Times New Roman" w:eastAsia="Times New Roman" w:hAnsi="Times New Roman"/>
          <w:sz w:val="18"/>
          <w:szCs w:val="18"/>
          <w:color w:val="auto"/>
        </w:rPr>
      </w:pPr>
    </w:p>
    <w:p>
      <w:pPr>
        <w:ind w:left="1280" w:right="20" w:hanging="633"/>
        <w:spacing w:after="0" w:line="247"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breach or pursuant to the terms of any agreement with, or for any other reason by, current or future collaborators that have responsibility for the clinical development of any of our product candidates; and</w:t>
      </w:r>
    </w:p>
    <w:p>
      <w:pPr>
        <w:ind w:left="1280" w:hanging="633"/>
        <w:spacing w:after="0" w:line="255"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 new effective treatment for the respective disease or condition that would be considered to be standard of care by regulatory bodies.</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research, development and clinical costs will increase if we experience delays in clinical studies or marketing approvals or if we are required to conduct additional clinical studies or other testing of our product candidates. We may be required to obtain additional funding to conduct and complete such clinical studies. We cannot assure you that our clinical studies will begin as planned or be completed on schedule, if at all, or that we will not need to restructure our trials after they have begun. Significant clinical study delays also could shorten any periods during which we may have the exclusive right to commercialize our product candidates or allow our competitors to bring products to market before we do, which may harm our business and results of operations. Any failure or significant delay in completing clinical studies for our product candidates would adversely affect our ability to obtain regulatory approval and our commercial prospects and ability to generate product revenue will be diminished.</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Although we are transitioning to become an industrial consolidator, we are currently a clinical-stage biopharmaceutical company with limited operating history, which may make it difficult for you to evaluate the success of our business to date and to assess our future viability.</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embarking on a strategic transformation to evolve into a next-generation strategic industrial consolidator; however, we are currently a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 products approved for commercial sale, have not generated any revenue from commercial sales of our product candidates, and have incurred losses each year since our inception. Our losses for the years ended December 31, 2025, 2024, and 2023 were approximately €6.5 million, €8.9 million, and €11.6 million, respectively. As of December 31, 2025, we had an accumulated deficit of approximately €62.6 million.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it will be several years, if ever, before we have any product approved for commercial sale. We have funded our operations to date primarily through proceeds from our registered direct offering in October 2025, our mandatory convertible bond financing in March 2025, our ATM offering, and our initial public offering of ADSs and ordinary shares in December 2021 (the “IPO”) and, prior to our IPO, the private placement of ordinary shares to our founding shareholders. We expect to continue to incur significant expenses and operating losses for the foreseeable future. We anticipate that our expenses will increase substantially if, and as, we:</w:t>
      </w:r>
    </w:p>
    <w:p>
      <w:pPr>
        <w:spacing w:after="0" w:line="186" w:lineRule="exact"/>
        <w:rPr>
          <w:sz w:val="20"/>
          <w:szCs w:val="20"/>
          <w:color w:val="auto"/>
        </w:rPr>
      </w:pPr>
    </w:p>
    <w:p>
      <w:pPr>
        <w:ind w:left="640" w:hanging="313"/>
        <w:spacing w:after="0" w:line="307" w:lineRule="auto"/>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0" w:lineRule="exact"/>
        <w:rPr>
          <w:rFonts w:ascii="Times New Roman" w:cs="Times New Roman" w:eastAsia="Times New Roman" w:hAnsi="Times New Roman"/>
          <w:sz w:val="17"/>
          <w:szCs w:val="17"/>
          <w:color w:val="auto"/>
        </w:rPr>
      </w:pPr>
    </w:p>
    <w:p>
      <w:pPr>
        <w:ind w:left="640" w:hanging="31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obtain regulatory approval for registration studies for our current product candidate, Temferon, and any additional product candidates that we may pursue in the future;</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 that successfully complete clinical studies, including obtaining orphan drug designation;</w:t>
      </w:r>
    </w:p>
    <w:p>
      <w:pPr>
        <w:spacing w:after="0" w:line="162" w:lineRule="exact"/>
        <w:rPr>
          <w:rFonts w:ascii="Times New Roman" w:cs="Times New Roman" w:eastAsia="Times New Roman" w:hAnsi="Times New Roman"/>
          <w:sz w:val="18"/>
          <w:szCs w:val="18"/>
          <w:color w:val="auto"/>
        </w:rPr>
      </w:pPr>
    </w:p>
    <w:p>
      <w:pPr>
        <w:jc w:val="center"/>
        <w:ind w:left="5580" w:right="180" w:hanging="5253"/>
        <w:spacing w:after="0" w:line="524" w:lineRule="auto"/>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 w:name="page12"/>
    <w:bookmarkEnd w:id="11"/>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industrialize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approach into a robust, scalable and, if approved, commercially viable process;</w:t>
      </w:r>
    </w:p>
    <w:p>
      <w:pPr>
        <w:spacing w:after="0" w:line="22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qualified technical personnel, such as clinical, quality control, commercial and scientific personnel;</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support our operations, including adding equipment and physical infrastructure to support our research and development; and</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associated with operating as a public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revenue from product sales and may never be profitable.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generate revenue from product sales or acquire majority ownership in revenue generating companies under the “Golden Power” legislation, so that we could consolidate their revenue is uncertain. Our ability to achieve profitability also depends on our ability, along or with partners, to successfully complete the development of, and obtain the regulatory approvals necessary to commercialize, our product candidates, and/or maintain and grow the profitability of our acquisition companies. We do not anticipate generating revenues from product sales for the next several years, if ever, and our ability to do so depends heavily on our success in many areas, including but not limited to:</w:t>
      </w:r>
    </w:p>
    <w:p>
      <w:pPr>
        <w:spacing w:after="0" w:line="186"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pre- and non-clinical development of our product candidates;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product candidates for which we complete clinical studies, if any;</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processes and relationships with third parties that can provide adequate (in amount and quality) products and services, at acceptable cost, to support clinical development and market demand for our product candidates, if marketing approval is received;</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if approved for marketing, as viable treatment options.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Even if one or more of the product candidates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do anticipate that the companies we acquire will be profitable, and our involvement with those companies will enhance their ability to grow and magnify their profitability; however, there can be no assurance that even if the acquired companies are profitable at the time of the acquisition, that they will remain profitable.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concentrated our research and development efforts on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3" w:lineRule="exact"/>
        <w:rPr>
          <w:sz w:val="20"/>
          <w:szCs w:val="20"/>
          <w:color w:val="auto"/>
        </w:rPr>
      </w:pPr>
    </w:p>
    <w:p>
      <w:pPr>
        <w:ind w:left="640" w:hanging="313"/>
        <w:spacing w:after="0" w:line="277"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obtaining regulatory approval for our product candidates, as the AIFA, FDA, EMA, and other regulatory authorities have limited experience with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therapies for cancer;</w:t>
      </w:r>
    </w:p>
    <w:p>
      <w:pPr>
        <w:spacing w:after="0" w:line="160" w:lineRule="exact"/>
        <w:rPr>
          <w:rFonts w:ascii="Times New Roman" w:cs="Times New Roman" w:eastAsia="Times New Roman" w:hAnsi="Times New Roman"/>
          <w:sz w:val="18"/>
          <w:szCs w:val="18"/>
          <w:color w:val="auto"/>
        </w:rPr>
      </w:pPr>
    </w:p>
    <w:p>
      <w:pPr>
        <w:ind w:left="640" w:hanging="313"/>
        <w:spacing w:after="0" w:line="279"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developing and deploying consistent and reliable processes for engineering a patient’s hemapoietic stem progenitor cells (“HSPCs”)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infusing the engineered HSPCs back into the patient;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2" w:name="page13"/>
    <w:bookmarkEnd w:id="12"/>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clinical and, if approved, commercial supplies of the materials used to manufacture our product candidates;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programming modules with the desired properties, while avoiding adverse reactions;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viral vectors capable of delivering multiple programming modules;</w:t>
      </w:r>
    </w:p>
    <w:p>
      <w:pPr>
        <w:spacing w:after="0" w:line="21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developing a reliable and consistent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modification and manufacturing process;</w:t>
      </w:r>
    </w:p>
    <w:p>
      <w:pPr>
        <w:spacing w:after="0" w:line="221"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manufacturing capacity suitable for the manufacture of our product candidates in line with expanding enrollment in our clinical studies and our projected commercial requirements;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minimizing and avoiding infection and contamination during production of product candidates;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protocols for the safe administration of our product candidates;</w:t>
      </w:r>
    </w:p>
    <w:p>
      <w:pPr>
        <w:spacing w:after="0" w:line="217" w:lineRule="exact"/>
        <w:rPr>
          <w:rFonts w:ascii="Times New Roman" w:cs="Times New Roman" w:eastAsia="Times New Roman" w:hAnsi="Times New Roman"/>
          <w:sz w:val="18"/>
          <w:szCs w:val="18"/>
          <w:color w:val="auto"/>
        </w:rPr>
      </w:pPr>
    </w:p>
    <w:p>
      <w:pPr>
        <w:ind w:left="640" w:hanging="313"/>
        <w:spacing w:after="0" w:line="279"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educating medical personnel regarding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technologies and the potential side effect profile of each of our product candidates, such as potential adverse effects related to pyrexia and infections;</w:t>
      </w:r>
    </w:p>
    <w:p>
      <w:pPr>
        <w:spacing w:after="0" w:line="161"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cell therapies;</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We may not be able to successfully develop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we are subject to additional regulatory challenges and risks, including:</w:t>
      </w:r>
    </w:p>
    <w:p>
      <w:pPr>
        <w:spacing w:after="0" w:line="175" w:lineRule="exact"/>
        <w:rPr>
          <w:sz w:val="20"/>
          <w:szCs w:val="20"/>
          <w:color w:val="auto"/>
        </w:rPr>
      </w:pPr>
    </w:p>
    <w:p>
      <w:pPr>
        <w:jc w:val="both"/>
        <w:ind w:left="640" w:hanging="313"/>
        <w:spacing w:after="0" w:line="26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regulatory requirements governing gene and cell therapy products are evolving in response to new clinical data. To date, several cell therapy products that involve the genetic modification of patient cells have been approved in the United States and/or the European Union, including two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products;</w:t>
      </w:r>
    </w:p>
    <w:p>
      <w:pPr>
        <w:spacing w:after="0" w:line="176"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genetically modified products could lead to lymphoma, leukemia or other cancers, or other aberrantly functioning cells in the event of improper insertion of a gene sequence into a patient’s chromosome, or due to other unknown causes;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77" w:lineRule="auto"/>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gene therapy product candidates and the process for administering our product candidates may cause undesirable side effects or have other properties that could delay, prevent their regulatory approval, limit their commercial potential, or result in significant negative consequences following any potential marketing approval.</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side effects,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 Inc.’s (“Bluebird Bio”) elivaldogene autotemcel (“Lenti-D”), involving two SUSARs for cases of acute myeloid leukemia (“AML”), and one case involving myelodysplastic syndrome.</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July 2021, the EMA safety committee (Pharmacovigilance Risk Assessment Committee – PRAC) announced that there is no evidence the LVV used in both Lenti-D and the E.U.-approved gene therapy Zynteglo spurred the AML cases.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placed a clinical hold on Bluebird Bio’s Lenti-D phase 3 trial for cerebral adrenoleukodystrophy. Post-approval, on November 24, 2024, the FDA announced that the FDA is investigating the known risk of hematologic malignancies with serious outcomes, including those such as hospitalization, the requirement for allogeneic hematopoietic stem cell transplantation, and death, and is evaluating the need for further regulatory action.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4" w:name="page15"/>
    <w:bookmarkEnd w:id="14"/>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HSPC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trials.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can demonstrate that adverse events are not related to our drug product, such occurrences could affect the ability to enroll patients to complete the clinical trials, or the commercial viability of any product candidates that obtain regulatory approval.</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To date, Temferon has only been administered to a small number of glioblastoma multiforme (GBM) patients in our Phase 1/2a clinical trial. Only one serious adverse reaction has been attributed to Temferon (abnormal liver enzyme) that occurred early in a patient who subsequently survived more than three years. Adverse events that have occurred in this clinical trial have been attributed either to the autologous stem cell transplant procedures (which include conditioning chemotherapy), concomitant medications or disease progression. The majority of these adverse events resolved. Three patients with GBM died within 122 days of Temferon administration due to complications resulting from conditioning chemotherapy and possibly concomitant steroid use.</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Patient deaths and severe adverse events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Risk Evaluation and Mitigation Strategy (“REMS”) and EMA or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185" w:lineRule="exact"/>
        <w:rPr>
          <w:sz w:val="20"/>
          <w:szCs w:val="20"/>
          <w:color w:val="auto"/>
        </w:rPr>
      </w:pPr>
    </w:p>
    <w:p>
      <w:pPr>
        <w:ind w:left="640" w:hanging="313"/>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a product candidate;</w:t>
      </w:r>
    </w:p>
    <w:p>
      <w:pPr>
        <w:spacing w:after="0" w:line="219" w:lineRule="exact"/>
        <w:rPr>
          <w:rFonts w:ascii="Times New Roman" w:cs="Times New Roman" w:eastAsia="Times New Roman" w:hAnsi="Times New Roman"/>
          <w:sz w:val="18"/>
          <w:szCs w:val="18"/>
          <w:color w:val="auto"/>
        </w:rPr>
      </w:pPr>
    </w:p>
    <w:p>
      <w:pPr>
        <w:ind w:left="5540" w:right="3800" w:hanging="5213"/>
        <w:spacing w:after="0" w:line="524" w:lineRule="auto"/>
        <w:tabs>
          <w:tab w:leader="none" w:pos="6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limitations of use in product labeling;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 w:name="page16"/>
    <w:bookmarkEnd w:id="15"/>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distributed, dispensed, or administered or conduct additional clinical trials;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capital to progress Temferon to a full Phase 2 trial.</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at an early stage of development for our gene therapy platform. Temferon was authorized by AIFA for evaluation in Phase 1/2a clinical trials in Italy, where we evaluated Temferon in newly diagnosed unmethylated MGMT gene promoter glioblastoma tumor patients (the “TEM-GBM Study”). The enrollment of the Phase 1/2A of the TEM-GBM study has been completed. Although the preliminary results of the trial were encouraging, we were not able to make a clinical claim of efficacy based on the number of patients enrolled. Significant additional capital would be needed to advance Temferon. We have engaged DC Advisory to assist us in seeking a partner or strategic relationship in order to advance Temferon, but there can be no assurance that we will be successful in establishing a strategic partnership or collaboration. If we are not able to develop an alliance or strategic partnership or other collaboration or financing mechanism, we may not be able to further pursue clinical development, which would inhibit our ability to generate value from the Temferon asset. Such strategic partnership and collaboration arrangements are also complex and time-consuming to negotiate, document, and implement and they may require substantial resources to maintain. Any strategic partnerships or collaborations we enter into may not be successful and we may not realize the benefits from such arrangements.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always be successful in our efforts to fund and design appropriate clinical trials for Temferon indications.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began a Phase 1 clinical trial in metastatic renal cell carcinoma (“mRCC”) patients (the “TEM-GU Study”) in late 2024. To date, for reasons beyond our control, we have not been able to enroll sufficient patients in the trial. Following a strategic review in January 2026 and an evaluation of the impact of the delayed and, later, refused financing by the TEM-GU Study lead investor, we discontinued the GU development program, and no active clinical development activities are currently being conducted under the TEM-GU Study. Our ability to continue the clinical development of Temferon may depend on our ability to raise capital for the studies or develop a strategic partnership arrangement.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clinical trials outside of Italy.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conducted all of our clinical trials in Italy. To commence a clinical trial in the United States, we would be required to obtain FDA acceptance of an investigational new drug application (“IND”) for each product candidate. At present, we do not have active plans to initiate clinical trials outside of Italy. Regulatory authorities such as the FDA or EMA may require additional preclinical, manufacturing, or clinical data before allowing further development, and there can be no assurance that prior data generated in Italy would be deemed sufficient to support future regulatory submissions.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of gene therapy product candidates remains subject to substantial regulatory, clinical, and operational uncertainties. We have not previously submitted a biologics license application (“BLA”) to the FDA or the equivalent application to the EMA. Any future development of Temferon, or other product candidates would require significant time, financial resources, and regulatory engagement, and there can be no assurance that such efforts would result in marketing approval. Failure to secure sufficient capital, regulatory alignment, or strategic partnerships could prevent or delay any future clinical development or commercialization of Temferon or other platform-based candidates.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commencement and completion of clinical trials.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several reasons, including:</w:t>
      </w:r>
    </w:p>
    <w:p>
      <w:pPr>
        <w:spacing w:after="0" w:line="181" w:lineRule="exact"/>
        <w:rPr>
          <w:sz w:val="20"/>
          <w:szCs w:val="20"/>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approval to conduct a clinical trial at a prospective site in the U.S.;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good clinical practices (“GCP”) or applicable regulatory guidelines in other countries;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trial sites, the terms of which can be subject to extensive negotiation and may vary significantly among different CROs and trial sites;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CROs, other third parties or us to adhere to clinical trial protocol and record keeping requirements;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sites or patients dropping out of a study;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serious adverse events associated with the product candidate that are viewed to outweigh its potential benefits;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a product candidate or other materials necessary to conduct our clinical trials;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sites;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EMA or other regulatory authorities elect to enact policy changes.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Clinical trials may also be delayed or terminated because of ambiguous or negative interim results. In addition, a clinical trial may be suspended or terminated by us, AIFA, the FDA, EMA, the IRBs at the sites where the IRBs are overseeing a trial, a data safety monitoring board overseeing the clinical trial at issue or by other regulatory authorities due to a number of factors, including:</w:t>
      </w:r>
    </w:p>
    <w:p>
      <w:pPr>
        <w:spacing w:after="0" w:line="176" w:lineRule="exact"/>
        <w:rPr>
          <w:sz w:val="20"/>
          <w:szCs w:val="20"/>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AIFA, the FDA, EMA or other regulatory authorities;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lack of effectiveness;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7" w:name="page18"/>
    <w:bookmarkEnd w:id="17"/>
    <w:p>
      <w:pPr>
        <w:jc w:val="both"/>
        <w:spacing w:after="0" w:line="262"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becomes available. In general, we conduct interim analyses at pre-specified times, which do not include data after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becomes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Several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our ongoing clinical trials utilize,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8" w:name="page19"/>
    <w:bookmarkEnd w:id="18"/>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Additional challenges include the proximity and availability of clinical trial sites for prospective subjects, and the patient referral practices of physicians, and the ability to obtain and maintain subject consent. Furthermore, there is a risk of high screening failure rates due to patient ineligibility and a significant number of withdrawals from consideration for the trial caused by the rapid deterioration of patients’ clinical conditions, along with the risk that enrolled subjects will drop out before completion of the trial.</w:t>
      </w:r>
    </w:p>
    <w:p>
      <w:pPr>
        <w:spacing w:after="0" w:line="1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results of clinical trials conducted at clinical sites outside the U.S. may not be sufficient to the FDA and the results of clinical trials conducted at clinical sites in the U.S. may not be sufficient to international regulatory authorities.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date our only ongoing recruiting clinical trials have been conducted in Italy. Although the FDA may accept data from clinical trials conducted outside the U.S.,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in Italy or outside of the location in which each regulatory authority is based as adequate support of a marketing application in each jurisdiction. If the FDA does not accept the data from sites in our Italian conducted clinical trials, or if international regulatory authorities do not accept the data from our future U.S. clinical trials, it would likely result in the need for additional trials, which would be costly and time-consuming and could delay or permanently halt the development of one or more of our product candidates.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9" w:name="page20"/>
    <w:bookmarkEnd w:id="19"/>
    <w:p>
      <w:pPr>
        <w:spacing w:after="0" w:line="277" w:lineRule="auto"/>
        <w:rPr>
          <w:sz w:val="20"/>
          <w:szCs w:val="20"/>
          <w:color w:val="auto"/>
        </w:rPr>
      </w:pPr>
      <w:r>
        <w:rPr>
          <w:rFonts w:ascii="Times New Roman" w:cs="Times New Roman" w:eastAsia="Times New Roman" w:hAnsi="Times New Roman"/>
          <w:sz w:val="18"/>
          <w:szCs w:val="18"/>
          <w:color w:val="auto"/>
        </w:rPr>
        <w:t>Our ability to successfully initiate, enroll and complete a clinical trial in any foreign country including the U.S., is subject to numerous risks unique to conducting business in foreign countries, including:</w:t>
      </w:r>
    </w:p>
    <w:p>
      <w:pPr>
        <w:spacing w:after="0" w:line="163" w:lineRule="exact"/>
        <w:rPr>
          <w:sz w:val="20"/>
          <w:szCs w:val="20"/>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CROs and physicians;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in some countries of established groups with sufficient regulatory expertise for review of gene therapy protocols;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consultants, physicians and partners; and,</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laws, medical standards and regulatory requirements, including the regulation of pharmaceutical and biotechnology products and treatment.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0" w:name="page21"/>
    <w:bookmarkEnd w:id="20"/>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U.S. Supreme Court recently overruled the Chevron doctrine, which gives deference to U.S. regulatory agencies’ statutory interpretations in litigation against U.S.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designations for our product candidates with the FDA, EMA,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EMA,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a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a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FDA ultimate approval. The FDA may withdraw Fast Track Designation if it believes that the designation is no longer supported by data from our clinical development program.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 w:name="page22"/>
    <w:bookmarkEnd w:id="21"/>
    <w:p>
      <w:pPr>
        <w:jc w:val="both"/>
        <w:spacing w:after="0" w:line="265" w:lineRule="auto"/>
        <w:rPr>
          <w:sz w:val="20"/>
          <w:szCs w:val="20"/>
          <w:color w:val="auto"/>
        </w:rPr>
      </w:pPr>
      <w:r>
        <w:rPr>
          <w:rFonts w:ascii="Times New Roman" w:cs="Times New Roman" w:eastAsia="Times New Roman" w:hAnsi="Times New Roman"/>
          <w:sz w:val="17"/>
          <w:szCs w:val="17"/>
          <w:color w:val="auto"/>
        </w:rPr>
        <w:t>In addition, we may seek a regenerative medicine advanced therapy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a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seek a conditional marketing authorization in Europe for some or all of our current product candidates, but we may not be able to obtain or maintain such a designation.</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part of its marketing authorization process, EMA may grant marketing authorizations for certain categories of medicinal products based on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17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63" w:lineRule="exact"/>
        <w:rPr>
          <w:sz w:val="20"/>
          <w:szCs w:val="20"/>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balance of the medicinal product is positive;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will provide the comprehensive clinical data post-authorization;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unmet medical needs will be fulfilled; and</w:t>
      </w:r>
    </w:p>
    <w:p>
      <w:pPr>
        <w:spacing w:after="0" w:line="219"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to public health of the immediate availability on the market of the medicinal product concerned outweighs the risk inherent in the fact that additional data is still required.</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received orphan drug designation for Temferon for the treatment of GBM, and we may seek orphan drug designation for additional indications and for other product candidates. We may be unable to maintain orphan drug designation for our product candidates and, even if so, we may not be able to realize the benefits of such designation, including potential marketing exclusivity of our product candidates, if approved.</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U.S. or a patient population of 200,000 or more individuals in the U.S., but for which there is no reasonable expectation that the cost of developing the drug will be recovered from sales in the U.S. In the E.U., the European Commission grants orphan drug designation to promote the development of products that are intended for the diagnosis, prevention, or treatment of a life-threatening or chronically debilitating condition affecting not more than five in 10,000 people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Temferon has been granted orphan drug designation in the U.S. and E.U. for the treatment of GBM. If we request orphan drug designation from the FDA for Temferon for additional indications, if we request the international equivalent from the applicable regulatory authorities for Temferon or if we request orphan drug designation or the international equivalent for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186" w:lineRule="exact"/>
        <w:rPr>
          <w:sz w:val="20"/>
          <w:szCs w:val="20"/>
          <w:color w:val="auto"/>
        </w:rPr>
      </w:pPr>
    </w:p>
    <w:p>
      <w:pPr>
        <w:ind w:left="640" w:hanging="313"/>
        <w:spacing w:after="0" w:line="277"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enough orphan medicinal product.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and maintain regulatory approval for a product candidate, our products will remain subject to ongoing regulatory oversight.</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EMA, or comparable foreign regulatory authorities, Department of Justice, Department of Health and Human Services’ Office of Inspector General, state attorneys general, members of Congress, and the public. When the FDA, EMA, or comparable foreign regulatory authorities issue regulatory approval for a product candidate, the regulatory approval is limited to those specific uses and indications for which a product is approved. If we are not able to obtain FDA, EMA,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EMA, or a comparable foreign regulatory authority’s strict requirements regarding the content of promotion and advertising.</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EMA, or comparable foreign regulatory authorities.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U.S. federal government has levied large civil and criminal fines against companies for alleged improper promotion and has enjoined several companies from engaging in off-label promotion. The FDA has also requested that companies enter consent decrees or permanent injunctions under which specified promotional conduct is changed or curtailed.</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for medicinal products are consistent with the product’s Summary of Product Characteristics (“SmPC”) as approved by the competent authorities. The SmPC is a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EMA, and other regulatory authorities for compliance with current good manufacturing practices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a regulatory authority may:</w:t>
      </w:r>
    </w:p>
    <w:p>
      <w:pPr>
        <w:spacing w:after="0" w:line="220" w:lineRule="exact"/>
        <w:rPr>
          <w:sz w:val="20"/>
          <w:szCs w:val="20"/>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that we are in violation of the law;</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BLA or comparable foreign marketing application (or any supplements thereto) submitted by us or our strategic partners;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products or require the withdrawal of the product from the market;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the products; or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supply contracts, including government contracts.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spend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are required to ensure that all our processes, quality systems,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5" w:name="page26"/>
    <w:bookmarkEnd w:id="25"/>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E.U. legislation related to pharmacovigilance, or the assessment and monitoring of the safety of medicinal products, provides that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collaborations or alternative transactions and arrangements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63" w:lineRule="exact"/>
        <w:rPr>
          <w:sz w:val="20"/>
          <w:szCs w:val="20"/>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available therapies;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use restrictions contained in the product’s approved labeling;</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the EMA or other regulatory authority or agreed to by us as part of a mandatory or voluntary risk management plan;</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competitive products expected to be commercially launched in the near future;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 in relation to alternative treatments;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 is included under physician treatment guidelines as a first-, second-, or third line therapy;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6" w:name="page27"/>
    <w:bookmarkEnd w:id="26"/>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the willingness of patients to pay out-of-pocket in the absence of coverage by third-party payors;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for drugs out of pocket in the absence of third-party coverage;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Temferon is approved but does not achieve an adequate level of acceptance by physicians, third-party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collaborations or alternative transactions or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Even if we can commercialize any product candidates, the products may become subject to unfavorable pricing regulations or third-party coverage and reimbursement policies, any of which could harm our business.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around the world, is cost containment. Government authorities and third-party payors have attempted to control costs by limiting coverage and the amount of reimbursement for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7" w:name="page28"/>
    <w:bookmarkEnd w:id="27"/>
    <w:p>
      <w:pPr>
        <w:jc w:val="both"/>
        <w:spacing w:after="0" w:line="250"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EMA, or other regulatory authorities outside the U.S.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U.S. or in other countries, will be considered medically necessary or cost-effective for a specific indication, or that coverage or an adequate level of reimbursement will be available.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around the world, and any approval we are granted for our product candidates in Italy would not assure approval of product candidates in other jurisdictions, including the U.S.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market any products outside of Italy, we must establish and comply with numerous and varying regulatory requirements of other countries, including but not limited to the U.S., regarding clinical trial design, safety, and efficacy. The research, testing, manufacturing, labeling, approval, sale, marketing, and distribution of drugs are subject to extensive regulation by regulatory authorities.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AIFA grants marketing approval of a product candidate, comparable regulatory authorities in foreign jurisdictions, including the FDA, must also approve the manufacturing, marketing, and promotion of the product candidate in those countries.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Approval procedures vary among jurisdictions and can involve requirements and administrative review periods different from those in Italy, including additional non-clinical studies or clinical trials as investigations conducted in one jurisdiction may not be accepted by regulatory authorities in other jurisdictions. In many jurisdictions,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8" w:name="page29"/>
    <w:bookmarkEnd w:id="28"/>
    <w:p>
      <w:pPr>
        <w:jc w:val="both"/>
        <w:spacing w:after="0" w:line="249" w:lineRule="auto"/>
        <w:rPr>
          <w:sz w:val="20"/>
          <w:szCs w:val="20"/>
          <w:color w:val="auto"/>
        </w:rPr>
      </w:pPr>
      <w:r>
        <w:rPr>
          <w:rFonts w:ascii="Times New Roman" w:cs="Times New Roman" w:eastAsia="Times New Roman" w:hAnsi="Times New Roman"/>
          <w:sz w:val="18"/>
          <w:szCs w:val="18"/>
          <w:color w:val="auto"/>
        </w:rPr>
        <w:t>Approval of a product candidate in Italy by AIFA does not ensure approval of such product candidate by the FDA, EMA, or other regulatory authorities in other countries or jurisdictions, and approval by EMA or another regulatory authority does not ensure approval by regulatory authorities in other foreign countries or by the FDA. Sales of our product candidates outside of the U.S.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U.S., including additional preclinical studies or clinical trials. In many countries outside the U.S., a product candidate must be approved for reimbursement before it can be approved for sale in that country. In some cases, the price that we intend to charge for our products, if approved, is also subject to approval. We intend to submit an MAA to EMA for approval of our product candidates in the E.U.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U.S. and E.U.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the U.S.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several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 from biosimilar products.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faster than our competitors, our product candidates may face competition from biosimilar products. In the U.S., our product candidates are regulated by the FDA as biologic products, and we intend to seek approval for these product candidates pursuant to the BLA pathway. The Biologics Price Competition and Innovation Act of 2009 (the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like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the European Economic Area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0" w:name="page31"/>
    <w:bookmarkEnd w:id="30"/>
    <w:p>
      <w:pPr>
        <w:jc w:val="both"/>
        <w:spacing w:after="0" w:line="262" w:lineRule="auto"/>
        <w:rPr>
          <w:sz w:val="20"/>
          <w:szCs w:val="20"/>
          <w:color w:val="auto"/>
        </w:rPr>
      </w:pPr>
      <w:r>
        <w:rPr>
          <w:rFonts w:ascii="Times New Roman" w:cs="Times New Roman" w:eastAsia="Times New Roman" w:hAnsi="Times New Roman"/>
          <w:sz w:val="18"/>
          <w:szCs w:val="18"/>
          <w:color w:val="auto"/>
        </w:rPr>
        <w:t>If competitors can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178" w:lineRule="exact"/>
        <w:rPr>
          <w:sz w:val="20"/>
          <w:szCs w:val="20"/>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negative media attention;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increased warnings on product labels;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our resources;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clinical trial participants, patients or other claimants;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premiums;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initiation of investigations by regulators or other authorities;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our product candidates, if approved.</w:t>
      </w:r>
    </w:p>
    <w:p>
      <w:pPr>
        <w:spacing w:after="0" w:line="2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6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product candidate, Temferon, is being studied for GBM patients with unmethylated methylguanine methyltransferase (“MGMT”) status, as determined by a laboratory test. If approved for use only in uMGMT-GBM patients, use of such a laboratory test would be required for each patient before treatment with Temferon. There are several currently 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third-party CMO for the manufacture of our viral vectors and certain of our drug products for clinical trials. We expect this CMO will be capable of providing enough of our viral vectors and gene therapy products to meet the anticipated scales for our clinical trials, in due course, and commercial demands, if approved. However, to meet our projected needs for further commercial manufacturing and large-scale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Before we can begin to commercially manufacture our viral vector or product candidates in our own facility, or the facility of a CMO, we must obtain regulatory approval from AIFA and eventually the FDA, EMA, or other regulatory authorities for our manufacturing processes and for the facility in which manufacturing is performed. A manufacturing authorization must also be obtained from the appropriate regulatory authorities. In addition, we must pass a pre-approval inspection of our or our CMOs manufacturing facility by AIFA, the FDA, EMA, or other relevant regulatory authorities before any of our gene therapy product candidates can obtain marketing approval.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will be subject to possible regulatory action and may not be permitted to sell any products that we may develop.</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2" w:name="page33"/>
    <w:bookmarkEnd w:id="32"/>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ongoing regulatory requirements could cause us to suspend production or put in place costly or time-consuming remedial measures.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regulatory authorities may, at any time following approval of a product for sale, audit the manufacturing facilities for such a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our CMOs or we fail to comply with applicable GMP regulations, AIFA, the FDA, EMA or other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certain drug products.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Given the nature of biological manufacturing, there is a risk of contamination in our manufacturing processes. Any contamination could materially adversely affect our ability to produce product candidates on schedule and could, therefore, harm the results of operations and cause reputational damage.</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Some of the materials required in our manufacturing process are derived from biological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3" w:name="page34"/>
    <w:bookmarkEnd w:id="33"/>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customs or other events, and is not delivered to the clinical site within the time period that the very low temperature is maintained, the drug product may be unsuitable for administration to the patient or harmful.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 therapies are for autologous use only. Therefore, if a drug product is administered to the wrong patient, the patient could suffer harm.</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gene therapies are autologous, so they must be administered back only to the patient from whom the cellular source material was collected. While we implement specific identifiers, lot numbers, and labels with cross checks for our products and operations from the collection of cellular source material, through manufacture of drug product, transport of product to the clinical site up to thawing and administration of the product, it is possible that a product may be administered into the wrong patient. If an autologous gene therapy was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part of our growth strategy, we intend to identify, develop, and market additional product candidates beyond our existing product candidate, namely Temferon. We may spend several years completing our development of any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collaborations, licensing arrangements, joint ventures, strategic alliances, partnerships,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certain of our current or future product candidates may not demonstrate in patients any or all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rely on our CMO to produce our viral vectors and certain of our drug products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AIFA, the FDA, EMA, or other regulatory agencies may refuse to accept our clinical or preclinical data. In such instances, we may need to enter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to produce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Under certain circumstances, our current CMO is entitled to terminate its engagement with us. If we need to enter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and/or drug product in the future and to perform quality testing, and reliance on these third parties entails risks including:</w:t>
      </w:r>
    </w:p>
    <w:p>
      <w:pPr>
        <w:spacing w:after="0" w:line="165" w:lineRule="exact"/>
        <w:rPr>
          <w:sz w:val="20"/>
          <w:szCs w:val="20"/>
          <w:color w:val="auto"/>
        </w:rPr>
      </w:pPr>
    </w:p>
    <w:p>
      <w:pPr>
        <w:ind w:left="640" w:hanging="31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for certain aspects of manufacturing activities;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or nonrenewal of manufacturing and service agreements with third parties in a manner or at a time that is costly or damaging to us; and</w:t>
      </w:r>
    </w:p>
    <w:p>
      <w:pPr>
        <w:spacing w:after="0" w:line="231" w:lineRule="exact"/>
        <w:rPr>
          <w:rFonts w:ascii="Times New Roman" w:cs="Times New Roman" w:eastAsia="Times New Roman" w:hAnsi="Times New Roman"/>
          <w:sz w:val="17"/>
          <w:szCs w:val="17"/>
          <w:color w:val="auto"/>
        </w:rPr>
      </w:pPr>
    </w:p>
    <w:p>
      <w:pPr>
        <w:ind w:left="640" w:right="20" w:hanging="313"/>
        <w:spacing w:after="0" w:line="277"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on our ability to successfully commercialize any of our product candidates. Some of these events could be the basis for AIFA, the FDA, EMA, or other regulatory authority action, including injunction, recall, seizure, or total or partial suspension of product manufacture.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amended and restated license agreement with OSR,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GCP, and Good Laboratory Practices (“GLP”), which are regulations and guidelines enforced by the FDA, the Competent Authorities of the Member States of the EEA, and comparable foreign regulatory authorities for all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AIFA, the FDA,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that are produced under GMP regulations. Our failure to comply with these regulations may require us to repeat clinical studies, which would delay the regulatory approval process.</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contract manufacturers are subject to significant regulation with respect to manufacturing our product candidates. The manufacturing facilities on which we rely may not meet regulatory requirements and have limited capacity.</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 must supply all necessary documentation in support of a BLA or MAA on a timely basis and must adhere to GLP and GMP regulations enforced by AIFA, the FDA, EMA, and other regulatory authorities through their facilities inspection program. The facilities and quality systems of some or all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6" w:name="page37"/>
    <w:bookmarkEnd w:id="36"/>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currently depend on a limited number of suppliers and, in some instances, a sole supplier, for some of the components and equipment necessary to produce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can find a replacement supplier, the replacement supplier would need to be qualified and may require additional regulatory authority approval, which could result in further delay. For example, AIFA, the FDA, EMA, or other regulatory authorities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as part of the regulatory process for approval of our product candidates, the regulatory authorities must review and approve the individual components of our production process, which includes raw materials, the manufacturing processes, and the facilities of our suppliers. Some of our current suppliers have not undergone this process nor have they had any components included in any product approved by regulatory authorities.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reliance on these suppliers subjects us to a number of risks that could harm our reputation, business, and financial condition, including, among other things:</w:t>
      </w:r>
    </w:p>
    <w:p>
      <w:pPr>
        <w:spacing w:after="0" w:line="163" w:lineRule="exact"/>
        <w:rPr>
          <w:sz w:val="20"/>
          <w:szCs w:val="20"/>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supplier’s operations;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supplier’s variation in a component;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for key components with our suppliers;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supply in a timely manner, or to obtain adequate supply on commercially reasonable terms;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associated with locating and qualifying alternative suppliers for our components in a timely manner;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from alternative suppliers, and corresponding regulatory qualifications;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our suppliers prioritizing other customer orders over ours;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components produced by our suppliers;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and/or increased costs associated with increased tariffs and the threats of additional tariffs;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7" w:name="page38"/>
    <w:bookmarkEnd w:id="37"/>
    <w:p>
      <w:pPr>
        <w:ind w:left="640" w:hanging="313"/>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 based upon defects in components produced by our suppliers;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their other customers or us.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Any collaborations, licensing arrangements, joint ventures, strategic alliances, or partnerships that we may enter in the future may not be successful, which could adversely affect our ability to develop and commercialize our current and potential future product candidates.</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may seek collaborations, licensing arrangements, joint ventures, strategic alliances or partnerships with biotechnology or pharmaceutical companies or other third parties for the development or commercialization of our current and potential future product candidates. We may enter these transactions or arrangements on a selective basis, depending on the merits of retaining commercialization rights for ourselves as compared to entering selective transactions or arrangements with other biotechnology or pharmaceutical companies or other third parties for each product candidate, both in the U.S. and internationally. To the extent that we decide to enter into these transactions or arrangements, we will face significant competition in seeking appropriate collaborators. Moreover, collaborations or alternative transactions or arrangements are complex and time-consuming to negotiate, document, and implement. We may not be successful in our efforts to establish and implement collaborations or other alternative transactions or arrangements, should we choose to enter into such transactions or arrangements. The terms of any collaborations or other transactions or arrangements that we may establish may not be favorable to us.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we may not be able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the ownership or control of intellectual property developed during the collaboration or the scope of our or our collaborators’ other rights or obligations related to development or commercialization activities. If any conflicts arise with our current or future collaborators, they may act in their self-interest, which may be averse to our best interest, and they may breach their obligations to us. In addition, we have limited control over the amount and timing of resources that our current collaborators or any future collaborators devote to our collaborators or our future products. Disagreements between us and our collaborators can lead to delays in the development process or commercializing the applicable product candidate or product, may result in litigation or arbitration, which would increase our expenses and divert the attention of our management, and may result in termination or dissolution of the transaction or arrangement and, in such event, we may not continue to have rights to the product candidate or products relating to such transaction or arrangement or may need to purchase such rights at a premium. These disagreements can be difficult to resolve if neither of the parties has final decision-making authority.</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5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if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depend on a license agreement with OSR to permit us to use patents and patent applications, as well as to exploit specific OSR know-how. Termination of these rights or the failure to comply with obligations under this agreement could materially harm our business and prevent us from developing or commercializing our product candidates (Temferon in particular).</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party to an amended and restated license agreement (the “ARLA”)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the ARLA.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ARLA imposes upon us various diligence, payment and other obligations, including the following:</w:t>
      </w:r>
    </w:p>
    <w:p>
      <w:pPr>
        <w:spacing w:after="0" w:line="220" w:lineRule="exact"/>
        <w:rPr>
          <w:sz w:val="20"/>
          <w:szCs w:val="20"/>
          <w:color w:val="auto"/>
        </w:rPr>
      </w:pPr>
    </w:p>
    <w:p>
      <w:pPr>
        <w:jc w:val="both"/>
        <w:ind w:left="640" w:hanging="313"/>
        <w:spacing w:after="0" w:line="254"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OSR various milestone payments upon the achievement of certain milestone events, such as the initiation of different phases of clinical trials of a licensed product, MAA approval by a major market country, MAA approval in the U.S., the first commercial sale of a licensed product in the U.S. and certain E.U. countries, and achievement of certain net sales levels;</w:t>
      </w:r>
    </w:p>
    <w:p>
      <w:pPr>
        <w:spacing w:after="0" w:line="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OSR royalties based on net sales of each licensed product;</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OSR a royalty of our net sublicensing income for each licensed product;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costs associated with the preparation, prosecution and maintenance of the licensed patent rights.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Although we own a patent application relating to methods of treating solid cancers with Temferon in combination with a checkpoint inhibitor and a patent application relating to methods of treating renal cell carcinoma with Temferon in combination with a checkpoint inhibitor (together, the “Genenta Applications”),we are heavily reliant upon the ARLA to licensed patents that are important or necessary to the development of our technology and product candidates, including the patents relating to Temferon. Our license is exclusive only to specific fields of use, namely: the field(s) of Interferon (“IFN”) gene therapy by lentiviral based-HSPC gene transfer with respect to (a) any Solid Cancer Indication (as defined in the ARLA) (including GBM and solid liver cancer) and/or (b) any Lympho-Hematopoietic Indication (as defined in the ARLA) for which we have the right to exercise an option to be included as part of the field of use, as provided in the ARLA; and (2) certain specified gene therapy products developed during the license term for use in the aforementioned field(s). Although we have exclusive option rights to license additional fields of use, or indications, upon the payment of additional fees to OSR, there is no guarantee that we will be in a position to do so within the time period specified to exercise such right.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control the preparation, prosecution, and maintenance of the licensed patent rights under the ARLA, or the enforcement of the licensed patent rights and know-how rights against infringement by third parties. Thus, the licensed patent rights were not drafted by our attorneys or us, and we do not control or have any input into the prosecution of these patent rights. We cannot be certain that drafting or prosecution of the licensed patent rights has been conducted in compliance with applicable laws and regulations or will result in valid and enforceable patents. OSR maintains control of the preparation, prosecution, and maintenance of the licensed patent rights, and controls enforcement of the licensed patent rights and know-how rights.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ARLA, OSR may terminate the agreement in the event we breach certain of our obligations or fail to make certain payments and upon our liquidation. In addition, OSR may terminate our rights as to certain fields of use for our failure to achieve certain development milestones for specified licensed products within certain time periods.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 If the ARLA is terminated, we may not be able to develop, manufacture, market or sell the product candidates covered by the agreement and those being tested or approved in combination with such products. Such an occurrence could materially adversely affect the value of the product candidates being developed under the ARLA.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9" w:name="page40"/>
    <w:bookmarkEnd w:id="39"/>
    <w:p>
      <w:pPr>
        <w:spacing w:after="0" w:line="277" w:lineRule="auto"/>
        <w:rPr>
          <w:sz w:val="20"/>
          <w:szCs w:val="20"/>
          <w:color w:val="auto"/>
        </w:rPr>
      </w:pPr>
      <w:r>
        <w:rPr>
          <w:rFonts w:ascii="Times New Roman" w:cs="Times New Roman" w:eastAsia="Times New Roman" w:hAnsi="Times New Roman"/>
          <w:sz w:val="18"/>
          <w:szCs w:val="18"/>
          <w:color w:val="auto"/>
        </w:rPr>
        <w:t>Disputes may arise regarding intellectual property subject to, and any of our rights and obligations under, the ARLA or any other license or other strategic agreement, including:</w:t>
      </w:r>
    </w:p>
    <w:p>
      <w:pPr>
        <w:spacing w:after="0" w:line="163" w:lineRule="exact"/>
        <w:rPr>
          <w:sz w:val="20"/>
          <w:szCs w:val="20"/>
          <w:color w:val="auto"/>
        </w:rPr>
      </w:pPr>
    </w:p>
    <w:p>
      <w:pPr>
        <w:ind w:left="640" w:hanging="31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5"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misappropriate or violate the intellectual property of the licensor that is not subject to the license agreement;</w:t>
      </w:r>
    </w:p>
    <w:p>
      <w:pPr>
        <w:ind w:left="640" w:hanging="31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to third parties under any such agreement or collaborative relationships;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ind w:left="640" w:hanging="31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have filed certain patent applications and been granted licenses in certain fields of use to patent applications. There can be no assurance that any of the patent applications we have filed or for which we have licenses will result in issued patents. As a result, our ability to protect our proprietary technology in the marketplace may be limited.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filed certain patent applications and been granted licenses in certain fields of use to patent applications in many countries worldwide. These applications cover a range of areas including applications relating, in general terms, to methods of treating solid cancers with Temferon in combination with a checkpoint inhibitor, methods of treating renal cell carcinoma with Temferon in combination with a checkpoint inhibitor,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0" w:name="page41"/>
    <w:bookmarkEnd w:id="40"/>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proprietary position for our product candidates currently depends in part upon licenses to patents protecting methods of use, which may not prevent a competitor or other third-party from using the same product candidate for another use.</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Composition of matter patent claims on the active pharmaceutical ingredient (“API”) in pharmaceutical drug products are generally considered to be the favored form of intellectual property protection for pharmaceutical products, as such patents generally provide protection without regard to any method of use, manufacture or formulation of the API used. Method of use patent claims protect the use of a product for the specified method and dosing. These types of patent claims do not prevent a competitor or other third-party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Even if patents are issued based on patent applications we have filed or to which we have been granted a license, because the patent positions of pharmaceutical and biotechnology products are complex and uncertain, we cannot predict the scope and extent of patent protection for our product candidates.</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Any patents that may be issued based on patent applications that we have filed or been granted licenses to will not ensure sufficient protection with respect to our activities for a number of reasons, including, without limitation, the following:</w:t>
      </w:r>
    </w:p>
    <w:p>
      <w:pPr>
        <w:spacing w:after="0" w:line="163" w:lineRule="exact"/>
        <w:rPr>
          <w:sz w:val="20"/>
          <w:szCs w:val="20"/>
          <w:color w:val="auto"/>
        </w:rPr>
      </w:pPr>
    </w:p>
    <w:p>
      <w:pPr>
        <w:ind w:left="640" w:hanging="313"/>
        <w:spacing w:after="0" w:line="277"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may not be broad or strong enough to prevent competition from other gene therapy products, including identical or similar products;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are not issued or if issued patents expire, there would be no protection against competitors making generic equivalents;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prior art of which we are not aware that may affect the validity or enforceability of a patent claim;</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that we own or have been granted licenses to are challenged, a court could determine that they are not valid or enforceable;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could determine that a competitor’s technology or product does not infringe patents that we own or have been granted licenses to;</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to which we have been granted licenses could irretrievably lapse due to failure to pay fees or otherwise comply with regulations, or could be subject to compulsory licensing;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delays in our development or clinical trials, the period of time during which we could market our products under patent protection would be reduced.</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Periodic maintenance fees on any issued patent are due to be paid to the U.S.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1" w:name="page42"/>
    <w:bookmarkEnd w:id="41"/>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the patent applications we have filed and the patents and patent applications licensed to us may not provide us with sufficient rights to exclude others from commercializing products similar or identical to ours. Even if we believe that the U.S.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(the “Hatch-Waxman Amendments”). The Hatch-Waxman Amendments permit a patent extension term of up to five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U.S. and other countries may diminish the value of our patents or narrow the scope of our patent protection.</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patents licensed to us for our product candidates are expected to expire on various dates as described in “Business— Intellectual Property.” Upon the expiration, we will not be able to assert such licensed patent rights against potential competitors, which would materially adversely affect our business, financial condition, results of operations and prospects.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17"/>
          <w:szCs w:val="17"/>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addition to the possibility of litigation relating to infringement claims asserted against it, we may become a party to other patent litigation and other proceedings,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ARLA,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Competitors may infringe or otherwise violate our intellectual property. As a result, we may be required to file claims to stop third-party infringement or unauthorized use. Any such claims could provoke these parties to assert counterclaims against us, including claims alleging that we infringe their patents or other intellectual property rights, and/or that any of our intellectual property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being issued.</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the breadth or strength of our patent or other intellectual property rights is compromised or threatened, it could allow third parties to exploit and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 -examination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3" w:name="page44"/>
    <w:bookmarkEnd w:id="43"/>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may obtain may be infringed or successfully challenged, resulting in harm to our business.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upon our trademarks, and we may not have adequate resources to enforce our trademarks.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any proprietary name we propose to use with our clinical-stage product candidates or any other product candidate in the U.S.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intellectual property rights throughout the world.</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U.S. and Italy can be less extensive than those in the U.S. and Italy. In addition, the laws of some foreign countries do not protect intellectual property to the same extent as laws in the U.S. and Italy. Consequently, we may not be able to seek to prevent third parties from practicing inventions that are the subject of patents that we have been granted licenses to in all countries outside the U.S. and Italy, or from selling or importing products made using inventions that are the subject of patents that we have been granted licenses to in and into the U.S.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U.S. and Italy.</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proprietary rights for our product candidates, we may not be able to compete effectively in our markets.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5" w:name="page46"/>
    <w:bookmarkEnd w:id="45"/>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U.S. remain confidential until patents issue. Patent applications in the U.S.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March 2013, the U.S. transitioned to a ‘first to file’ system in which the first inventor to file a patent application will be entitled to the patent. Third parties are allowed to submit prior art before the issuance of a patent by the USPTO and may become involved in post-grant review or derivation proceedings for applications filed on or after March 16, 2013, interference proceedings for applications filed before March 16, 2013,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aware of issued patents in the U.S. that cover the lentiviral vectors used in the manufacture of our product candidates.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are found to infringe a third-party’s intellectual property rights, we could be required to obtain a license from such third-party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the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confidential information or trade secrets of third parties could have a similar negative impact on our business.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to defend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claims challenging the inventorship of patents and other intellectual property that we have been granted licenses to.</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compensation for their work in developing intellectual property, which in turn could have an impact on our future profitability.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date, we have not entered into non-competition agreements with our current employees to prevent them, after the termination of their employment, to perform competitive activity in favor of other employers. Therefore, we cannot exclude the fact that such employers may benefit from the expertise of our current employees developed while working for us, after the termination of their employment. We sometimes enter into non-competition agreements with certain key consultants. These agreements prohibit key consultants, if they cease working for us, from competing directly with us or working for our competitors or clients for a limited period. We may be unable to enforce these agreements under the laws of the jurisdictions in which our consultants work and it may be difficult for us to restrict our competitors from benefiting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Regarding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 date, neither the employment agreements nor the consultancy agreements provide any specific compensation related to the inventive activity. Therefore, employees and independent consultants may ask for fair compensation due to such inventions and, regarding independent consultants, the failure to pay fair compensation could prevent us from obtaining rights to their inventions, and this could have a material adverse effect on our operations and ability to effectively compete.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3" w:lineRule="exact"/>
        <w:rPr>
          <w:sz w:val="20"/>
          <w:szCs w:val="20"/>
          <w:color w:val="auto"/>
        </w:rPr>
      </w:pPr>
    </w:p>
    <w:p>
      <w:pPr>
        <w:ind w:left="640" w:hanging="31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may develop will eventually become commercially available in generic or biosimilar product forms;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any future license partners or collaborators, might not have been the first to file patent applications covering certain of our or their inventions;</w:t>
      </w:r>
    </w:p>
    <w:p>
      <w:pPr>
        <w:spacing w:after="0" w:line="231" w:lineRule="exact"/>
        <w:rPr>
          <w:rFonts w:ascii="Times New Roman" w:cs="Times New Roman" w:eastAsia="Times New Roman" w:hAnsi="Times New Roman"/>
          <w:sz w:val="17"/>
          <w:szCs w:val="17"/>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pending patent applications currently licensed or those to which we may enter into a license regarding in the future will not lead to issued patents;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the issued patents that have been licensed to us, or parts of such issued patents;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to may be held invalid or unenforceable, including as a result of legal challenges by our competitors;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patent applications, if and when issued, may not cover our product candidates;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license partners or current or future collaborators to the same extent as the laws of the U.S.;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scientific collaborations and will continue to do so in the future, and our collaborators may develop adjacent or competing products that are outside the scope of our patents;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be covered by third parties’ patents or other exclusive rights;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to maintain certain trade secrets or know-how, and a third-party may subsequently file a patent covering such intellectual property.</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As a company currently with substantial operations outside of the U.S., our business is subject to global economic conditions, macro events, political, regulatory, pandemic, and other risks associated with international operations and macro-economic trends.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company with substantial operations in Italy, our business is subject to risks associated with conducting business outside the U.S. Many of our suppliers and clinical trial relationships are located outside the U.S. The global economy, including credit and financial markets, has experienced extreme volatility and disruptions, including, among other things, severely diminished liquidity, and credit availability, declines in consumer confidence, declines in economic growth, supply chain shortages, inflation, fluctuating interest rates, increased tariffs and uncertainty about economic stability. Fluctuating interest rates, coupled with reduced government spending and volatility in financial markets may increase economic uncertainty and affect investor confidence. Similarly, regional geopolitical conflicts and trade disputes have created extreme volatility in the global capital markets and are expected to have further global economic consequences, including disruptions of the global supply chain and energy markets.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such volatility and disruptions may adversely affect our business or the third parties on whom we rely. If the equity and credit markets deteriorate because of political unrest or war, it may make any debt or equity financing more costly or more dilutive or more difficult to obtain in a timely manner or on favorable terms, if at all. Accordingly, our future results could be harmed by a variety of factors, including:</w:t>
      </w:r>
    </w:p>
    <w:p>
      <w:pPr>
        <w:spacing w:after="0" w:line="176" w:lineRule="exact"/>
        <w:rPr>
          <w:sz w:val="20"/>
          <w:szCs w:val="20"/>
          <w:color w:val="auto"/>
        </w:rPr>
      </w:pPr>
    </w:p>
    <w:p>
      <w:pPr>
        <w:jc w:val="both"/>
        <w:ind w:left="640" w:hanging="313"/>
        <w:spacing w:after="0" w:line="262"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recessions, inflation, fluctuating interest rates, supply chain shortages, rising fuel prices, tariffs or political instability in particular non-U.S. economies and markets could negatively impact our budget projections, clinical trial cost estimates, and potential clinical timeline;</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domestic and international banking systems where the Company has accounts;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 in the U.S. and Italy;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 that could impact our ability to develop and/or license our technology;</w:t>
      </w:r>
    </w:p>
    <w:p>
      <w:pPr>
        <w:spacing w:after="0" w:line="219"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 that could affect our need to hire subject matter experts or retain third-party experts;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risks and currency controls due to maintaining our cash and cash equivalents both in U.S. dollars and Euros;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9" w:name="page50"/>
    <w:bookmarkEnd w:id="49"/>
    <w:p>
      <w:pPr>
        <w:ind w:left="640" w:hanging="313"/>
        <w:spacing w:after="0" w:line="277"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52"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actions resulting from claims against us by current or former employees or by employees of third-party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8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health epidemics, or natural disasters including earthquakes, typhoons, floods, and fires.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manage our business through a small number of employees, key consultants, and third-party contractors.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key people include our Chief Executive Officer, Pierluigi Paracchi, who co-founded our Company in 2014 along with Prof. Luigi Naldini, and Bernhard Gentner. Our other key people include Dr. Francesco Galimi, our acting Chief Medical Officer &amp; Head of Development, Richard Slansky, our Chief Financial Officer, Barbara Regonini, our Finance Director, Stefania Mazzoleni, our Director of Clinical Development, Marco Casucci, our Director of Regulatory Affairs, and Gianfranco De Nigris, our Vice President of Business Development.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the specialized scientific and managerial nature of our business, we rely heavily on our ability to attract and retain qualified scientific, technical, and managerial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except the Chief Executive Officer and the Director of Clinical Development.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0" w:name="page51"/>
    <w:bookmarkEnd w:id="50"/>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single third-party manufacturing facility for the production of our lentiviral vectors, and our historical operations have been dependent on the availability of such capacity. However, this arrangement is subject to ongoing litigation and strategic reassessment.</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particular, our manufacturing relationship is governed by contractual arrangements that provide for capacity reservation and fixed payments, which may be due irrespective of actual production volumes. There are litigations to acknowledge if the contract is valid and binding, but at the moment, any reduction, delay or suspension in our clinical development activities may expose us to high costs for unused manufacturing capacity.</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outcome of the above-mentioned dispute is uncertain and may result in material financial liabilities, diversion of management attention, and increased legal costs.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More broadly, disruptions to our manufacturing strategy - whether due to operational issues, contractual disputes, or strategic changes in our business focus - could delay or impair our ability to advance our clinical programs, or may require us to identify alternative manufacturing solutions, which could be time-consuming and costly.</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Furthermore, any transition to alternative manufacturing arrangements would require significant time, capital investment and regulatory approvals, and may not be achievable on acceptable terms or within required timelines.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significantly increase the size of our organization, and we may experience difficulties in managing growth.</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currently have a very limited number of employees. If we are successful in executing our business strategy and commercializing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81" w:lineRule="exact"/>
        <w:rPr>
          <w:sz w:val="20"/>
          <w:szCs w:val="20"/>
          <w:color w:val="auto"/>
        </w:rPr>
      </w:pPr>
    </w:p>
    <w:p>
      <w:pPr>
        <w:ind w:left="640" w:hanging="313"/>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and the regulatory process effectively;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administrative, accounting and management information systems and internal controls;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train additional qualified personnel;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current and additional management, administrative, financial and sales and marketing personnel.</w:t>
      </w:r>
    </w:p>
    <w:p>
      <w:pPr>
        <w:spacing w:after="0" w:line="2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conduct or activities, including non-compliance with regulatory standards and requirements and insider trading.</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principal investigators, consultants, and commercial partners. Misconduct by these parties could include intentional failures to comply with the regulations of AIFA, the FDA, EMA, or of other foreign regulatory authorities, provide accurate information to AIFA, the FDA, EMA, and other foreign regulatory authorities, comply with healthcare fraud and abuse laws and regulations in the U.S. and other countries, report financial information or data accurately or disclose unauthorized activities to us.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during clinical trials, which could result in regulatory sanctions and cause serious harm to our reputation. We have adopted a code of conduct applicable to all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1" w:name="page52"/>
    <w:bookmarkEnd w:id="51"/>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obtain AIFA, FDA, EMA or other regulatory authority approval for any of our product candidates and begin commercializing those products, our operations may be directly or indirectly through our customers, subject to various federal, state and/or international fraud and abuse laws, including, without limitation, the U.S. federal Anti-Kickback Statute, the U.S. federal False Claims Act and U.S. physician sunshine laws and regulations. These laws may impact, among other things, our proposed sales, marketing, and education programs. In addition, we may be subject to patient privacy regulations by both the U.S. federal government and the states and countries in which we conduct our business. The laws that may affect our ability to operate include:</w:t>
      </w:r>
    </w:p>
    <w:p>
      <w:pPr>
        <w:spacing w:after="0" w:line="186" w:lineRule="exact"/>
        <w:rPr>
          <w:sz w:val="20"/>
          <w:szCs w:val="20"/>
          <w:color w:val="auto"/>
        </w:rPr>
      </w:pPr>
    </w:p>
    <w:p>
      <w:pPr>
        <w:jc w:val="both"/>
        <w:ind w:left="640" w:hanging="313"/>
        <w:spacing w:after="0" w:line="262"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receiving, offering, or paying remuneration, directly or indirectly, to induce, or in return for, the purchase or recommendation of an item or service reimbursable under a U.S. federal healthcare program, such as the Medicare and Medicaid programs;</w:t>
      </w:r>
    </w:p>
    <w:p>
      <w:pPr>
        <w:spacing w:after="0" w:line="176"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and its implementing regulations, which impose certain requirements relating to the privacy, security, and transmission of individually identifiable health information;</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physician sunshine requirements under the U.S. Patient Protection and Affordable Care Act, as amended by the Health Care and Education Reconciliation Act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85" w:lineRule="exact"/>
        <w:rPr>
          <w:rFonts w:ascii="Times New Roman" w:cs="Times New Roman" w:eastAsia="Times New Roman" w:hAnsi="Times New Roman"/>
          <w:sz w:val="18"/>
          <w:szCs w:val="18"/>
          <w:color w:val="auto"/>
        </w:rPr>
      </w:pPr>
    </w:p>
    <w:p>
      <w:pPr>
        <w:jc w:val="both"/>
        <w:ind w:left="640" w:hanging="313"/>
        <w:spacing w:after="0" w:line="252"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state law equivalents of each of the above U.S.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86" w:lineRule="exact"/>
        <w:rPr>
          <w:rFonts w:ascii="Times New Roman" w:cs="Times New Roman" w:eastAsia="Times New Roman" w:hAnsi="Times New Roman"/>
          <w:sz w:val="18"/>
          <w:szCs w:val="18"/>
          <w:color w:val="auto"/>
        </w:rPr>
      </w:pPr>
    </w:p>
    <w:p>
      <w:pPr>
        <w:jc w:val="both"/>
        <w:ind w:left="640" w:hanging="313"/>
        <w:spacing w:after="0" w:line="271" w:lineRule="auto"/>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European and other foreign law equivalents of each of the laws, including reporting requirements detailing interactions with and payments to healthcare providers, and the European General Data Protection Regulation (the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considering the lack of applicable precedent and regulations. U.S. federal and state enforcement bodies have recently increased their scrutiny of interactions between healthcare companies and healthcare providers, which has led to several investigations, prosecutions, convictions and settlements in the healthcare industry. U.S. and other governmental authorities may conclude that our business practices do not comply with current or future statutes, regulations or case law involving applicable fraud and abuse or other healthcare laws and regulations. If our operations are found to violate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and regulatory reform measures may have a material adverse effect on our business and results of operations.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industry is highly regulated, and changes in law may adversely impact our business, operations, or financial results. The PPACA is a sweeping measure intended to, among other things, expand healthcare coverage within the U.S., primarily through the imposition of health insurance mandates on employers and individuals and the expansion of the U.S. Medicaid program. Several provisions of the law may affect us and increase some of our costs.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adopted since the PPACA was enacted. These changes include aggregate reductions in U.S. Medicare payments to providers of 2% per fiscal year, which went into effect on April 1, 2013, and, following passage of the U.S. Bipartisan Budget Act of 2018, will remain in effect through 2027 unless additional U.S.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patients, which could reduce the demand for our products and, accordingly, our financial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among other things, contains a number of provisions designed to reduce the number of Americans insured under Medicaid and health exchange plans established under the PPACA. In addition, the OBBBA makes changes to the PPACA insurance marketplaces, including, among other measures, greater limitations on enrollment periods, which will result in an additional Americans being uninsured. These significant decreases in the numbers of insured Americans will reduce the ability of patients, especially those of modest means, to afford medications, which could reduce the demand for our products.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anticipate that the PPACA, as well as other U.S. healthcare reform measures that may be adopted in the future, may result in more rigorous coverage criteria and additional downward pressure on the reimbursement our customers may receive for our products. Further, there have been, and there may continue to be, judicial and Congressional challenges to certain aspects of the PPACA. For example, the U.S. Tax Cuts and Jobs Act of 2017 (the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delivery of healthcare in the E.U., including the establishment and operation of health services and the pricing and reimbursement of medicines, is almost exclusively a matter for national law, rather than E.U. law and policy. National governments and health service providers have different priorities and approaches to the delivery of health care and the pricing and reimbursement of products in that context. In general, however, the budgetary healthcare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exposes us to an inherent risk of potential product liability or similar claims. Mainly in the U.S., the biotechnology and pharmaceutical industries have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more than, or outside of, our insurance coverage, could have a material adverse effect on our business, financial condition, and results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vendors, collaborators, or other contractors or consultants, may fail or suffer cyber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We must do so in a secure manner to maintain the confidentiality and integrity of such information. We also have outsourced elements of our operations to third parties, and as a result, we manage a few third-party vendors and other contractors and consultants who have access to our confidential information.</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effective preventive measures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our partners and we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4" w:name="page55"/>
    <w:bookmarkEnd w:id="54"/>
    <w:p>
      <w:pPr>
        <w:jc w:val="both"/>
        <w:spacing w:after="0" w:line="251"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The disaster recovery and business continuity plans that we have in place currently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Unsuccessful compliance with certain European privacy regulations could have an adverse effect on our business and reputation.</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collection and use of personal health data in the E.U. is governed, as of May 2018, by the General Data Protection Regulation 2016/679 (the “GDPR”) as implemented by European Data Protection Board (the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violations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like GDPR. Regarding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the European data protection background is constantly changing under the drive of the EDPB on the correct interpretation and application of GDPR and the ruling activity of the Court of Justice of the E.U. (see, for instance, the recent CJEU case C-3111/18, also known as Schrems II which invalidated the E.U.-U.S. Privacy Shield Framework for transfer of data to U.S.).</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is compliant with most recent legislative changes in European data protection rules, adopting Data Processing Agreements containing Standard Contractual Clauses with all partners based in the U.S.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instance, in September 2025, the Company filed a civil action before the Court of Milan against AGC Biologics S.p.A., seeking a declaratory judgment of nullity and/or termination, with retroactive effect, of the Master Service Agreement and related amendments. In addition, on January 27, 2026, the Company initiated legal proceedings before the Court of Milan against Fondazione Enea Tech e Biomedical, with which the Company entered into a €20 million convertible bond loan agreement in March 2025. The proceedings seek, among other things, a declaration that the convertible bond loan agreement is null and void and the recovery of damages. Legal proceedings can be time-consuming, divert management’s attention and resources from the operation of our business, and cause us to incur significant expenses or liability or require us to change our business practices. Because of the potential risks, expenses, and uncertainties of litigation, from time to time, we may settle disputes, even where we believe that we have meritorious claims or defenses. Because litigation is inherently unpredictable, we cannot assure you that the results of any of these actions will not have a material adverse effect on our business. Adverse outcomes in such proceedings or claims could result in significant liabilities, monetary damages, fines, or injunctive relief, which may materially impact our financial condition, results of operations, or cash flows. Additionally, the uncertainty surrounding litigation and the potential for adverse publicity related to such matters could harm our reputation, affecting customer confidence and investor perception.</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response to evolving market dynamics and strategic considerations, we are pursuing a strategic transformation to expand our business beyond its current clinical-stage biotechnology focus on Temferon, while continuing to operate as a biotechnology company. As part of this transformation, we intend to focus on acquiring and integrating majority-owned operating companies in national-security-regulated sectors subject to the Italian “Golden Power” legislation, however, our ability to do so successfully cannot be ensured.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instance, on January 24, 2026, we entered into an Investment Agreement with A.T.C. S.r.l. (“A.T.C.”), a private Italian manufacturer of high-precision tactical rifles, special-forces weapon systems, and competition-grade sporting firearms. Pursuant to the Investment Agreement, we acquired an initial 19.5% equity ownership in A.T.C. for €1.275 million, with the opportunity to acquire up to 51% equity ownership over multiple closings for a total of €5.1 million, subject to A.T.C. meeting certain turnover and “EBITDA” performance milestones and maintaining the licenses required under Italian law to conduct its business activity. “EBITDA” is defined as net loss adjusted to exclude interest income, income tax expense, and depreciation and amortization.</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acquisitions and strategic investments will involve securities of privately held companies. Investments in private companies are inherently riskier than investments in public companies because less information is available, operating and financial results may be more volatile, and these counterparties may require additional capital to fund operations or growth. Adverse developments at any such company could require us to record losses or impairments or could otherwise reduce or eliminate the value of our investment.</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will be no established, liquid trading market for the privately issued securities we acquire, and any private secondary markets for such securities are limited, irregular, and subject to legal and contractual transfer restrictions. As a result, we may be unable to sell all or part of a position when desired or at attractive prices, and the value we ultimately realize may be significantly below the amount at which we carry the investment. Because these securities lack quoted market prices, our valuations necessarily involve judgment and are based on limited, unobservable inputs and information that may change over time. Realizing value is typically dependent on uncertain liquidity events, such as a sale of the company, which may take longer than expected or may never occur. In addition, certain of the securities we receive in connection with acquisitions or strategic investments, such as preferred stock, warrants, or convertible instruments, may be subordinated to senior classes of capital or otherwise subject to complex rights and preferences, which can further impair recoveries in a downside scenario and increase the risk that we are unable to monetize our position on acceptable terms.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6" w:name="page57"/>
    <w:bookmarkEnd w:id="56"/>
    <w:p>
      <w:pPr>
        <w:jc w:val="both"/>
        <w:spacing w:after="0" w:line="257" w:lineRule="auto"/>
        <w:rPr>
          <w:sz w:val="20"/>
          <w:szCs w:val="20"/>
          <w:color w:val="auto"/>
        </w:rPr>
      </w:pPr>
      <w:r>
        <w:rPr>
          <w:rFonts w:ascii="Times New Roman" w:cs="Times New Roman" w:eastAsia="Times New Roman" w:hAnsi="Times New Roman"/>
          <w:sz w:val="18"/>
          <w:szCs w:val="18"/>
          <w:color w:val="auto"/>
        </w:rPr>
        <w:t>Acquisitions involve a number of risks, including diversion of management’s attention, ability to finance the acquisition on attractive terms, failure to retain key personnel or valuable customers, legal liabilities, the need to amortize acquired intangible assets, and intellectual property ownership and infringement risks, any of which could have a material adverse effect on our business, results of operations, financial condition and cash flows. Any additional future acquisitions may also result in the incurrence of indebtedness or the issuance of additional equity securities.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also experience financial or other setbacks if transactions encounter unanticipated problems, including problems related to governmental approval, execution, integration or underperformance relative to prior expectations. Acquisitions may not result in long-term benefits to us, and we cannot guarantee that we will be able to fully recover the costs of such acquisitions or that we will be successful in further developing the acquired business in the manner we anticipated.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experience unanticipated difficulties identifying suitable or attractive acquisition candidates that are available for purchase at reasonable prices and that meet our objectives. The identification of suitable acquisition candidates can be difficult, time-consuming, and costly, and we may not consummate acquisitions successfully that we target in the future. Even if we are able to identify such candidates, we may be unable to consummate an acquisition on suitable terms or in the face of competition from other bidders. We also cannot predict the number, timing, or size of any future acquisitions or the effect that any such transactions might have on our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satisfy the continued listing standards of Nasdaq going forward.</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American Depository Shares (“ADS”) are listed on the Nasdaq. However, we cannot ensure that we will be able to satisfy the continued listing standards of the Nasdaq going forward. If we cannot satisfy the continued listing standards going forward, the Nasdaq Stock Market may commence delisting procedures against us, which could result in our ADS being removed from listing on the Nasdaq, or requiring us to take other action to remain listed, e.g., obtaining shareholder approval for a reverse stock split, etc. If any of our ADSs were to be delisted, the liquidity of our ADSs could be adversely affected and the market price of our ADSs could decrease. Delisting could also adversely affect the ability of the holder of our ADSs to trade or obtain quotations on our ADSs because of lower trading volumes and transaction delays. These factors could contribute to lower prices and larger spreads in the bid and ask prices for our ADSs. Investors may also not be able to resell their ADSs at or above the price they paid for such securities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highly volatile.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trading price of the ADSs has been and is likely to continue to be highly volatile. The following factors, in addition to other risk factors described in this section, may have a significant impact on the market price of the ADSs:</w:t>
      </w:r>
    </w:p>
    <w:p>
      <w:pPr>
        <w:spacing w:after="0" w:line="163" w:lineRule="exact"/>
        <w:rPr>
          <w:sz w:val="20"/>
          <w:szCs w:val="20"/>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 and non-clinical studies or clinical trials;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other gene therapy products or clinical studies of such products;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the approvals necessary to commence clinical trials;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results of clinical trials;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or the failure to obtain it, or specific label indications or patient populations for its use, or changes or delays in the regulatory review process;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our competitors or us;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authorities with respect to our clinical trials, manufacturing supply chain or sales and marketing activities;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the treatment of cancer tumors, or any other indication that we may seek to develop;</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manufacturers or suppliers;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7" w:name="page58"/>
    <w:bookmarkEnd w:id="57"/>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biotechnology and pharmaceutical industries in general;</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 or our failure to meet expectations;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commencement of, or involvement in, litigation;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board of directors or management;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regulatory, research, and development personnel;</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in the U.S. relating to the sale or pricing of biotechnology or gene therapy products;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of the trading market in the ADSs;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recessions, inflation, fluctuating interest rates, supply chain shortages, rising fuel prices, tariffs or political instability in global, U.S., or particular foreign economies and markets;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or U.S. banking systems or the banking systems of foreign countries;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a local or worldwide pandemic, geopolitical actions, including war and terrorism, or natural disasters;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or exercise of employee stock options or other equity awards;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shareholder litigation;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investors’ and securities analysts’ perception of the business risks and conditions of our business;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negotiate favorable terms of any “Golden Rule” legislation acquisitions; and/or,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our ability to close any national-security regulated sector transactions.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58" w:name="page59"/>
    <w:bookmarkEnd w:id="58"/>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Bank of New York (formerly the Bank of New York Mellon), the depositary for the ADSs (the “Depositary”),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must act through the Depositary to exercise voting rights relating to the ordinary shares.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Holders of the ADSs do not have the same rights as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as described in more detail below, our loyalty share program is available only to holders who own their ordinary shares in registered form, and is not available to ADS holders. See “Risks Related to Italian Law and Our Operations in Italy—Our loyalty share program could have a negative effect on the liquidity of our ADSs and may make it more difficult for investors to acquire a controlling interest, change the management or the strategy of our company or exercise influence over us, which may adversely affect the market price of the ADSs. Further, our loyalty share program is available only to holders who own their ordinary shares in registered form, and the ability of ADS holders to influence corporate decisions may therefore be limited.”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59" w:name="page60"/>
    <w:bookmarkEnd w:id="59"/>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augur less favorable results to the plaintiff(s) in any such action.</w:t>
      </w:r>
    </w:p>
    <w:p>
      <w:pPr>
        <w:spacing w:after="0" w:line="1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owners and holders of ADSs, including those who purchase the ADSs in a secondary transaction, irrevocably waive the right to a trial by jury in any legal proceeding arising out of or relating to the deposit agreement, our ordinary shares or the ADSs or the transactions contemplated thereby,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U.S. federal securities laws has not been finally adjudicated by a federal court. However, we believe that a jury trial waiver provision is generally enforceable under the laws of the State of New York, which govern the deposit agreement, by a court of the State of New York or a U.S. federal court in New York, which has non-exclusive jurisdiction over matters arising under the deposit agreement, applying such law. In determining whether to enforce a jury trial waiver provision, New York courts and U.S.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ordinary shares or the ADSs or the transactions contemplated thereby. No condition, stipulation, or provision of the deposit agreement or ADSs serves as a waiver by any owner or holder of ADSs or by us or the Depositary of compliance with any provision of the U.S. federal securities laws. If you or any other owner or holder of ADSs brings a claim against us or the Depositary in connection with matters arising under the deposit agreement, our ordinary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management’s attention.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Chief Executive Officer, directors, and shareholders who own more than 5% of our outstanding ordinary shares currently own approximately 25% of our ordinary shares and have an approximately 58% voting interest through our loyalty share program. They will therefore be able to exert significant control over matters submitted to our shareholders for approval.</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Chief Executive Officer and directors, and shareholders who own more than 5% of our outstanding ordinary shares beneficially own approximately 25% of our ordinary shares and have an approximately 58% voting interest through our loyalty share program. This significant concentration of share ownership and voting power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ADSs due to investors’ perception that conflicts of interest may exist or arise.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0" w:name="page61"/>
    <w:bookmarkEnd w:id="60"/>
    <w:p>
      <w:pPr>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that we are or will become classified as a passive foreign investment company. If we are or become classified as a passive foreign investment company, our U.S. shareholders may suffer adverse tax consequences as a result.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we will be treated as a passive foreign investment company (a “PFIC”) for U.S. federal income tax purposes in any taxable year in which either:</w:t>
      </w:r>
    </w:p>
    <w:p>
      <w:pPr>
        <w:spacing w:after="0" w:line="220" w:lineRule="exact"/>
        <w:rPr>
          <w:sz w:val="20"/>
          <w:szCs w:val="20"/>
          <w:color w:val="auto"/>
        </w:rPr>
      </w:pPr>
    </w:p>
    <w:p>
      <w:pPr>
        <w:jc w:val="both"/>
        <w:ind w:firstLine="14"/>
        <w:spacing w:after="0" w:line="254" w:lineRule="auto"/>
        <w:tabs>
          <w:tab w:leader="none" w:pos="26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interest income earned by reason of the temporary investment of funds, including those raised in a public offering, and the excess of certain foreign currency gains over certain foregoing currency losses.</w:t>
      </w:r>
    </w:p>
    <w:p>
      <w:pPr>
        <w:spacing w:after="0" w:line="186" w:lineRule="exact"/>
        <w:rPr>
          <w:sz w:val="20"/>
          <w:szCs w:val="20"/>
          <w:color w:val="auto"/>
        </w:rPr>
      </w:pPr>
    </w:p>
    <w:p>
      <w:pPr>
        <w:jc w:val="both"/>
        <w:ind w:left="20"/>
        <w:spacing w:after="0" w:line="262"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Our status may also depend, in part, on how quickly we utilize cash proceeds received from previous offerings of our ADSs or ordinary shares in our business. Based on preliminary analysis, we believe that we were likely classified as a PFIC in 2025, and we may be classified as a PFIC for 2026 and future years.</w:t>
      </w:r>
    </w:p>
    <w:p>
      <w:pPr>
        <w:spacing w:after="0" w:line="176"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7"/>
          <w:szCs w:val="17"/>
          <w:color w:val="auto"/>
        </w:rPr>
        <w:t>If we are a PFIC in any taxable year during which a U.S. taxpayer holds the ADSs, such U.S. taxpayer would be subject to certain adverse U.S. federal income tax rules. In particular, if the U.S. taxpayer did not make an election to treat us as a “qualified electing fund”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U.S. taxpayers who have held the ADSs during a period when we were a PFIC will be subject to the foregoing rules, even if we cease to be a PFIC in subsequent years, subject to exceptions for U.S. taxpayers who made a timely QEF or mark-to-market election. Currently, we do not expect to provide U.S. shareholders with the information necessary for a U.S. shareholder to make a QEF election. Prospective investors should assume that a QEF election will not be available. U.S. taxpayers who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“Item 10. Additional Information—E. Taxation—U.S. Federal Income Tax Consequences—Passive Foreign Investment Companies” for additional information.</w:t>
      </w:r>
    </w:p>
    <w:p>
      <w:pPr>
        <w:spacing w:after="0" w:line="17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market for our ADSs will be influenced by the research and reports that industry or securities analysts may publish about us, our business, our market, and/or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1" w:name="page62"/>
    <w:bookmarkEnd w:id="61"/>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have not paid, and do not intend to pay, dividends on our ordinary shares and, therefore, unless our traded securities appreciate, our investors may not benefit from holding our securities.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associated with being a public company require significant company resources and management attention.</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U.S. public company, we are subject to the reporting requirements of the Securities Exchange Act of 1934, as amended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have incurred and will continue to incur legal, accounting, and other expenses that we did not incur as a nonpublic company, particularly after we are no longer an “emerging growth company” as defined in the Jumpstart Our Business Startups Act (“JOBS Act”).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63" w:lineRule="exact"/>
        <w:rPr>
          <w:sz w:val="20"/>
          <w:szCs w:val="20"/>
          <w:color w:val="auto"/>
        </w:rPr>
      </w:pPr>
    </w:p>
    <w:p>
      <w:pPr>
        <w:ind w:left="640" w:hanging="313"/>
        <w:spacing w:after="0" w:line="277"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the adoption of new or revised accounting standards. As a result of this election, our consolidated financial statements may not be comparable to companies that comply with the public company effective date; and</w:t>
      </w:r>
    </w:p>
    <w:p>
      <w:pPr>
        <w:spacing w:after="0" w:line="185"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rules that may be adopted by the Public Company Accounting Oversight Board requiring mandatory audit firm rotation or a supplement to the auditor’s report on the financial statements.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our IPO, (b) in which we have total annual gross revenue of at least $1.235 billion, or (c) in which we are deemed to be a large accelerated filer, as defined in the rule under the Exchange Act, and (2) the date on which we have issued more than $1.0 billion in non-convertible debt during the prior three-year period.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2" w:name="page63"/>
    <w:bookmarkEnd w:id="62"/>
    <w:p>
      <w:pPr>
        <w:jc w:val="both"/>
        <w:spacing w:after="0" w:line="277"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and we do, follow certain home country corporate governance practices instead of otherwise applicable SEC and Nasdaq requirements, which may result in less protection than is accorded to investors under rules applicable to domestic U.S. issuers.</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a foreign private issuer, the Company is permitted to follow certain corporate governance practices of its home country, Italy, in lieu of certain requirements of the Nasdaq Stock Market pursuant to Nasdaq Rule 5615(a)(3).</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corporate governance rules of the Nasdaq Stock Market generally require listed companies to have, among other things, a board of directors composed of a majority of independent directors (Nasdaq Rule 5605(b)(1)) and a compensation committee composed entirely of independent directors (Nasdaq Rule 5605(d)).</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Italian corporate law does not require companies such as ours to have a board of directors composed of a majority of independent directors, nor does it require the establishment of a compensation committee composed exclusively of independent directors. Instead, under Italian law, oversight of directors’ remuneration and related matters is exercised by the board of directors, with additional oversight provided by the statutory board of auditors (collegio sindacale), the members of which are subject to mandatory independence requirements.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reliance on our status as a foreign private issuer, we are not required to meet, and we do not follow, Nasdaq Rules 5605(b)(1) and 5605(d), and instead follow Italian corporate governance practices.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these governance practices, our board of directors’ approach to governance and oversight may differ from that of a board composed of a majority of independent directors and committees comprised solely of independent directors. Consequently, the oversight of our management and business may be more limited than it would be if we were subject to all of the Nasdaq Stock Market’s corporate governance standards, and the ability of our independent directors to influence our business policies and affairs may be reduced.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Decisions regarding executive compensation are made by our board of directors, with oversight by the statutory board of auditors, in accordance with Italian law. For more information, see “Item 6. Directors, Senior Management and Employees - C. Board Practices - Differences between Italian Laws and Nasdaq Requirements.”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believes that its governance structure, including the presence of a Board of Statutory Auditors with statutory independence requirements under Italian law, provides appropriate oversight and protection for shareholders.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taxable in a jurisdiction other than Italy, and this may increase the aggregate tax burden on us.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Consequently,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Italian Law and Our Operations in Italy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an Italian corporation. The rights of our shareholders may be different from the rights of shareholders in companies governed by the laws of U.S.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jurisdictions.</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Individual shareholders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the ADSs are listed exclusively on Nasdaq and not on Italy’s stock exchange, our shareholders do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are listed exclusively on Nasdaq, are not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ability of shareholders to bring actions or enforce judgments against us or our directors and executive officers may be limited. Claims of U.S. civil liabilities may not be enforceable against us.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incorporated under the laws of Italy and our registered office and domicile is in Milan, Italy. Moreover, a majority of our directors and executive officers are not residents of the U.S., and all or a substantial portion of our assets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4" w:name="page65"/>
    <w:bookmarkEnd w:id="64"/>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incorporated under the laws of the Republic of Italy. The principal laws and regulations that apply to our operations, those of Italy and the E.U., are different from those of the U.S. With some exceptions, to issue new equity or debt securities convertible into equity, we must increase our authorized capital.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follows our bylaws and with applicable Italian law. Further, under Italian law, our existing shareholders, the holders of our mandatory convertible bonds and any other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will need to meet again to re-delegate this authority.</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2025, the sum of our capital, legal reserves and other reserves on our unaudited Italian GAAP financial statements was approximately €31.6 million before the Italian GAAP net loss of approximately €9.0 million for the period.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believe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If we suffer losses that reduce our capital to less than €50,000, we will need to recapitalize, change our form of entity, or be liquidated.</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Italian law requires us to reduce our shareholders’ equity and, our capital, to reflect on-going losses, in certain cases of losses exceeding 1/3 of the capital of the Company. Also, as an S.p.A., we are also required to maintain a minimum capital of €50,000.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apply our operational losses against our legal reserves and capital. If our capital is reduced by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Italian labor laws could impair our flexibility to restructure our business.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Purchasers of our ordinary shares and ADSs may be exposed to increased transaction costs because of the Italian financial transaction tax or the proposed European financial transaction tax.</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with the relevant procedures to be included in such list. For so long as the Company is not included in such list, investors in the ordinary shares and ADSs may be exposed to increased transaction costs. See “Item 10. Additional Information—E. Taxation.”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investors outside of Italy to enforce civil liabilities against us.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incorporated under the laws of Italy and our registered office and domicile is in Milan, Italy. A majority of our directors and executive officers are not residents of the U.S., and all or a substantial portion of our assets are located outside the U.S. As a result, it may not be possible for investors to effect service of process within the U.S. upon us or upon such persons.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Judgments of U.S. courts may not be directly enforceable outside of the U.S. and the enforcement of judgments of U.S. courts outside of the U.S. may be subject to limitations. Investors may also have difficulties pursuing an original action brought in a court in a jurisdiction outside the U.S. for liabilities under the securities laws of the U.S.</w:t>
      </w:r>
    </w:p>
    <w:p>
      <w:pPr>
        <w:spacing w:after="0" w:line="17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loyalty share program could have a negative effect on the liquidity of our ADSs and may make it more difficult for investors to acquire a controlling interest, change the management or the strategy of our Company or exercise influence over us, which may adversely affect the market price of the ADSs</w:t>
      </w:r>
      <w:r>
        <w:rPr>
          <w:rFonts w:ascii="Times New Roman" w:cs="Times New Roman" w:eastAsia="Times New Roman" w:hAnsi="Times New Roman"/>
          <w:sz w:val="17"/>
          <w:szCs w:val="17"/>
          <w:color w:val="auto"/>
        </w:rPr>
        <w:t>.</w:t>
      </w: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Further, our loyalty share program is available only to holders who own their ordinary shares in registered form, and the ability of ADS holders to influence corporate decisions may therefore be limited.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our shareholders’ meeting held on May 2, 2024, our shareholders approved a loyalty share program through an amendment to our bylaws. The loyalty share program gives shareholders the opportunity to request to be included on a special list maintained by us and thereby receive increased votes for each ordinary share held in registered form after certain continuous periods of ownership of such ordinary shares. For more information regarding our loyalty share program, see “Item 10. Additional Information. B. Memorandum and Articles of Association.”</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our loyalty share program, shareholders who hold a significant quantity of ordinary shares in registered form for the continuous periods prescribed in our bylaws and who request and are included on the special list could be in a position to exercise a significant percentage of votes at meetings of shareholders and have substantial influence over our Company. A qualifying shareholder is entitled to a double vote (i.e., two votes for each ordinary share) for each ordinary share in registered form held by the same shareholder for a continuous period of not less than 24 months. An additional vote is also granted for each additional continuous 12-month period the same shareholder holds such ordinary share, for up to a total of ten votes per ordinary share. Continuous ownership prior to the registration date in the special list is taken into account. Furthermore, only shareholders who own their shares in registered form are entitled to take advantage of the loyalty share program and ADS holders are not entitled to additional voting rights. As a result, a relatively large proportion of our voting power may be concentrated in a relatively small number of registered shareholders who may have significant influence over us, and the ability of ADS holders to influence corporate decisions may therefore be limited. As a result, the loyalty share program may discourage change of control transactions that otherwise could involve payment of a premium over prevailing market prices for our ADSs or otherwise adversely impact the liquidity and market price of the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Mandatory Convertible Bond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Upon an event of default, we may not be able to make any redemption payments under the Mandatory Convertible Bond.</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12, 2025, the Company and Enea, a private law foundation subject to the supervision of the Ministry of Enterprises and Made in Italy, entered into a Subscription Agreement (the “Subscription Agreement”) providing for the subscription of a mandatory convertible bond loan denominated “MANDATORY CONVERTIBLE LOAN GENENTA 2025-2028” (the “Mandatory Convertible Bond”) by Enea, with an aggregate nominal value of up to €20 million and consisting of up to a total of 2,000 bonds (the “Convertible Bonds”), each with a nominal value of €10,000 (the “Nominal Value”), to be issued in two tranches by the Company at an issue price per unit equal to €10,000 for 100% of the Nominal Value. Upon the occurrence of certain events of default, Enea may demand the early redemption of the Convertible Bonds for a cash amount equal to 100% of the total amount thereof. We may not have sufficient assets to repay Enea and a default would also likely significantly diminish the market price of our ADSs.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Convertible Bonds may dilute the ownership interest of existing shareholders or may otherwise depress the price of our ADSs.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Convertible Bonds will automatically convert into ordinary shares of the Company (the “Conversion Shares”) on the earlier of (i) the occurrence of either (x) a Change of Control, which is defined as an acquisition by a person or group of persons not currently controlling the Company of more than 50% of the Company’s issued share capital with voting rights or a takeover bid and/or exchange offer launched on all of the Company’s outstanding ordinary shares and American depositary shares (“ADSs”) or (y) the completion of an Investment Round, which is defined as any further investment transactions in the Company’s share capital through the issuance of shares, convertible bonds, warrants or similar instruments for a total aggregate amount of €50,000,000 (the “Early Conversion Date” and, together with the Maturity Date, each a “Conversion Date”) and (ii) three years after the First Tranche Issue Date (the “Maturity Date”). The conversion of the Convertible Bonds into Conversion Shares will dilute the ownership interests of existing shareholders to the extent we deliver shares upon conversion of the Convertible Bonds. Any sales in the public market of the Conversion Shares could adversely affect prevailing market prices of our ADSs. In addition, the existence of the Convertible Bonds may encourage short selling by market participants because the conversion of the Convertible Bonds could be used to satisfy short positions, or the anticipated conversion of the Convertible Bonds into Conversion Shares could depress the price of our ADSs.</w:t>
      </w:r>
    </w:p>
    <w:p>
      <w:pPr>
        <w:spacing w:after="0" w:line="1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the Convertible Bonds consist of two tranches: an initial tranche in the amount of €7,500,000 (the “First Tranche”) issued on March 19, 2025 (the “First Tranche Issue Date”) and a subsequent tranche in the amount of €12,500,000 (the “Second Tranche”) to be issued by September 19, 2026 (the “Second Tranche Issue Date” and, together with the First Tranche Issue Date, each an “Issue Date”). The issuance of the Second Tranche on the Second Tranche Issue Date is subject to a number of conditions precedent, including but not limited to the completion of investment transactions in the Company’s share capital through the issuance of shares, convertible bonds, warrants or similar instruments for a total aggregate amount of €32,500,000. If such investment transactions occur, and if the additional conditions precedent to the issuance of the Second Tranche are met, such investment transactions and the conversion of the Second Tranche into Conversion Shares may further dilute the ownership interest of existing shareholders or otherwise depress the price of our ADSs.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Operating Segment Evolution</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were founded in 2014 by San Raffaele Hospital (Ospedale San Raffaele or “OSR”) in Milan, a globally recognized premier research hospital for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with Pierluigi Paracchi (our CEO), Prof. Luigi Naldini, and Dr. Bernhard Gentner, to develop potential ground-breaking cell and gene cancer therapies. We leverage the vast experience in lentiviral vector (“LVV”) technology of the San Raffaele Telethon Institute for Gene Therapy (“SR-Tiget”). SR-Tiget, a joint venture between OSR and Fondazione Telethon (“Telethon”), is a world-leading cell and gene therapy research institution at the forefront of developing therapies for rare diseases. SR-Tiget has a proven track record for successful collaborative clinical research programs in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Its research has resulted in a number of approved products, including Strimvelis, an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gammaretroviral vector-based gene therapy for adenosine deaminase severe combined immunodeficiency, and Libmeldy, an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for the treatment of early-onset metachromatic leukodystrophy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Since closing our first round of funding in May 2015, we have recruited a leading management team, established a manufacturing process for our drug product candidates, completed preclinical activities (research and Good Laboratory Practice – “GLP” – grades), engaged with Italian, European and U.S. Key Opinion Leaders to identify our clinical lead indications, and submitted our first CTA.</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Our management team members have played important roles both large pharma companies such Amgen, GNF/Novartis and biotech startups, such as Adicet Bio, Onyx Pharmaceuticals, Biological Dynamics, GenMark Diagnostics (now part of Roche) and C-N Biosciences (now part of Merck).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Strategic Transformation and Expansion into Defense, Aerospace, and National Security Sectors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evolving market dynamics and strategic considerations, we announced on January 27, 2026, our intention to pursue a strategic transformation to expand our business beyond its current clinical-stage biotechnology focus on Temferon, while continuing to operate as a biotechnology company. As part of this transformation, we intend to broaden our operating activities by acting as a biotechnology, defense, aerospace, and national security industrial consolidator. Our strategy is focused on acquiring and integrating majority-owned operating companies in national-security-regulated sectors subject to the Italian “Golden Power” legislation.</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expect to target businesses with established operating profitability, generally generating up to approximately €5 million in EBITDA. Our strategy contemplates acquiring controlling ownership interests in such businesses at private-market valuations and integrating them within the Company’s corporate structure, with the objective of enhancing operational efficiency, governance, and financial transparency.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to Corporate Name and Nasdaq Ticker Symbol</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extension of our corporate purpose, we announced on January 27, 2026, our intention to adopt the new corporate name, “Saentra Forge S.p.A.” and a new Nasdaq ticker symbol, “SAEN.” The adoption of the new corporate name and ticker symbol was originally anticipated to be approved by our shareholders at an Extraordinary Shareholders’ Meeting scheduled to be held on March 25, 2026 (first call), and, if necessary, on March 26, 2026 (second call).</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23, 2026, we issued a notice of revocation announcing that our Board of Directors had resolved to revoke the call of the Extraordinary Shareholders’ Meeting. Following further evaluation, we concluded that our current corporate name, “Genenta,” continues to maintain significant recognition and association with our business. Accordingly, we decided to retain our current corporate name at this time. We may reconsider a corporate name change in the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registered office changed on January 27, 2026, and it is currently in Via dell’Annunciata 31, 20121 Milan, Italy, and our telephone number is +39.02.29.00.10.55.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embarking on a strategic transformation to evolve into a next-generation strategic industrial consolidator focused on acquiring privately held businesses operating in national-security regulated sectors contemplated by the “Golden Power” legislation; however, we are currently a clinical-stage biotechnology company engaged in the development of hematopoietic stem cell gene therapies for the treatment of solid tumors. We have developed a novel biologic platform that involves the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or “TEMs”). Our technology is designed to turn TEMs, which normally have an affinity for and travel to tumors, into a “Trojan Horse” to counteract cancer progression and prevent tumor relapse. Because our technology is not target-dependent, we believe it can be used for treatment across a broad variety of cancers.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69" w:name="page70"/>
    <w:bookmarkEnd w:id="69"/>
    <w:p>
      <w:pPr>
        <w:jc w:val="both"/>
        <w:spacing w:after="0" w:line="257" w:lineRule="auto"/>
        <w:rPr>
          <w:sz w:val="20"/>
          <w:szCs w:val="20"/>
          <w:color w:val="auto"/>
        </w:rPr>
      </w:pPr>
      <w:r>
        <w:rPr>
          <w:rFonts w:ascii="Times New Roman" w:cs="Times New Roman" w:eastAsia="Times New Roman" w:hAnsi="Times New Roman"/>
          <w:sz w:val="18"/>
          <w:szCs w:val="18"/>
          <w:color w:val="auto"/>
        </w:rPr>
        <w:t>Our technology incorporates the use of an LVV that combines a therapeutic transgene sequence, or payload, with our proprietary platform. Our proprietary platform consists of (i) the Tie-2 promoter, which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179" w:lineRule="exact"/>
        <w:rPr>
          <w:sz w:val="20"/>
          <w:szCs w:val="20"/>
          <w:color w:val="auto"/>
        </w:rPr>
      </w:pPr>
    </w:p>
    <w:p>
      <w:pPr>
        <w:jc w:val="both"/>
        <w:ind w:left="1280" w:hanging="633"/>
        <w:spacing w:after="0" w:line="263"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Trojan Horse Mechanism of Action (“MoA”): </w:t>
      </w:r>
      <w:r>
        <w:rPr>
          <w:rFonts w:ascii="Times New Roman" w:cs="Times New Roman" w:eastAsia="Times New Roman" w:hAnsi="Times New Roman"/>
          <w:sz w:val="18"/>
          <w:szCs w:val="18"/>
          <w:color w:val="auto"/>
        </w:rPr>
        <w:t>We use and modify TEMs, a subpopulation of tumor-associated myeloid cells, known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involved in tumor growth and in the inhibition of immune system response, to allow the immune system to recognize the tumor and to deliver to the cancer site a chosen therapeutic.</w:t>
      </w:r>
    </w:p>
    <w:p>
      <w:pPr>
        <w:spacing w:after="0" w:line="173" w:lineRule="exact"/>
        <w:rPr>
          <w:rFonts w:ascii="Times New Roman" w:cs="Times New Roman" w:eastAsia="Times New Roman" w:hAnsi="Times New Roman"/>
          <w:sz w:val="18"/>
          <w:szCs w:val="18"/>
          <w:color w:val="auto"/>
        </w:rPr>
      </w:pPr>
    </w:p>
    <w:p>
      <w:pPr>
        <w:ind w:left="1280" w:hanging="633"/>
        <w:spacing w:after="0" w:line="279"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Select Regulation of Transgene Expression: </w:t>
      </w:r>
      <w:r>
        <w:rPr>
          <w:rFonts w:ascii="Times New Roman" w:cs="Times New Roman" w:eastAsia="Times New Roman" w:hAnsi="Times New Roman"/>
          <w:sz w:val="18"/>
          <w:szCs w:val="18"/>
          <w:color w:val="auto"/>
        </w:rPr>
        <w:t>Our selected control of the chosen therapeutic gene expression is designed to avoid off-target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systemic toxicity.</w:t>
      </w:r>
    </w:p>
    <w:p>
      <w:pPr>
        <w:spacing w:after="0" w:line="159" w:lineRule="exact"/>
        <w:rPr>
          <w:rFonts w:ascii="Times New Roman" w:cs="Times New Roman" w:eastAsia="Times New Roman" w:hAnsi="Times New Roman"/>
          <w:sz w:val="18"/>
          <w:szCs w:val="18"/>
          <w:color w:val="auto"/>
        </w:rPr>
      </w:pPr>
    </w:p>
    <w:p>
      <w:pPr>
        <w:jc w:val="both"/>
        <w:ind w:left="1280" w:hanging="633"/>
        <w:spacing w:after="0" w:line="309" w:lineRule="auto"/>
        <w:tabs>
          <w:tab w:leader="none" w:pos="12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Potential Long-Term Effect: </w:t>
      </w:r>
      <w:r>
        <w:rPr>
          <w:rFonts w:ascii="Times New Roman" w:cs="Times New Roman" w:eastAsia="Times New Roman" w:hAnsi="Times New Roman"/>
          <w:sz w:val="17"/>
          <w:szCs w:val="17"/>
          <w:color w:val="auto"/>
        </w:rPr>
        <w:t>Through the use of hematopoietic stem cells, our therapeutic candidate is designed as a “</w:t>
      </w:r>
      <w:r>
        <w:rPr>
          <w:rFonts w:ascii="Times New Roman" w:cs="Times New Roman" w:eastAsia="Times New Roman" w:hAnsi="Times New Roman"/>
          <w:sz w:val="17"/>
          <w:szCs w:val="17"/>
          <w:i w:val="1"/>
          <w:iCs w:val="1"/>
          <w:color w:val="auto"/>
        </w:rPr>
        <w:t>living therapy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intended to break the cancer-induced immune tolerance and to establish a competent immune surveillance throughout the life of the patient.</w:t>
      </w:r>
    </w:p>
    <w:p>
      <w:pPr>
        <w:spacing w:after="0" w:line="137" w:lineRule="exact"/>
        <w:rPr>
          <w:rFonts w:ascii="Times New Roman" w:cs="Times New Roman" w:eastAsia="Times New Roman" w:hAnsi="Times New Roman"/>
          <w:sz w:val="17"/>
          <w:szCs w:val="17"/>
          <w:color w:val="auto"/>
        </w:rPr>
      </w:pPr>
    </w:p>
    <w:p>
      <w:pPr>
        <w:jc w:val="both"/>
        <w:ind w:left="1280" w:hanging="633"/>
        <w:spacing w:after="0" w:line="263" w:lineRule="auto"/>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Agnostic Response</w:t>
      </w:r>
      <w:r>
        <w:rPr>
          <w:rFonts w:ascii="Times New Roman" w:cs="Times New Roman" w:eastAsia="Times New Roman" w:hAnsi="Times New Roman"/>
          <w:sz w:val="18"/>
          <w:szCs w:val="18"/>
          <w:color w:val="auto"/>
        </w:rPr>
        <w:t>: In contrast to antigen-restricted CAR-T cells, our platform is not restricted to a pre-selected tumor antigen, nor any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tumor type. As such, it may be applied to a broad range of solid tumors and cancer subtypes, which would overcome one of the central unresolved challenges of immune-oncology cancer therapies.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lead product candidate, Temferon, was developed using our proprietary platform and carries the interferon-alpha (“IFN-α”) payload. IFN-α is a well-known therapeutic that was previously administered intravenously for treatment of various cancers, but it is currently rarely used because of its systemic toxicity. The Temferon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modified TEMs express the transgene payload, IFN-α, in the tumor microenvironment, thereby reprogramming the Tumor Micro Environment (“TME”), which disrupts tumor induced immune-tolerance in blocks. Consequently, the immune system has been observed to recognize the tumor, respond, and inhibit tumor growth. Because Temferon is designed to deliver the IFN-α payload directly into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currently developing Temferon for the treatment of glioblastoma multiforme (“GBM”) in patients who have an unmethylated MGMT gene promoter (“uMGMT-GBM”). GBM is the most common malignant primary brain tumor, accounting for more than half of all central nervous system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The preliminary results in uMGMT-GBM patients indicate that Temferon has been generally well tolerated, with no dose limiting toxicities observed to date.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Phase 1 study of Temferon in metastatic Renal Cell Carcinoma (“mRCC”) had been initiated to evaluate the safety and preliminary biological activity of the product candidate in this indication. However, following the strategic review completed in January 2026, we discontinued the GU development program and we are no longer pursuing active clinical development in mRCC. mRCC is the most common form of kidney cancer, accounting for approximately 74,000 new cases annually in the U.S. Despite treatment with curative intent, approximately one-third of patients experience metastatic disease recurrence, and approximately 30% of patients present with metastatic disease at diagnosis. Metastatic RCC remains a highly lethal condition, with a five-year overall survival rate of approximately 14%.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0" w:name="page71"/>
    <w:bookmarkEnd w:id="70"/>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to the prior Temferon clinical programs in uMGMT-GBM and mRCC, the Company holds exclusive option rights to license: (i) Temferon for additional indications; and, (ii) other drug candidates currently at the preclinical stage of development, whether as standalone treatments or in combination therapies. In light of the strategic transformation initiated in January 2026, the Company is not currently allocating resources to expand such development programs, and any future advancement would be subject to strategic and capital allocation review.</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Research and Development Pipeline</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portfolio of clinical and preclinical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mRCC, as well as exclusive option rights to license all of our other programs. Specifically, pursuant to our amended and restated license agreement with OSR,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date, certain of these rights have not been exercised and, unless and until exercised in accordance with the agreement, the related intellectual property is not included within our licensed technology. See “—Intellectual Property Rights—Collaboration/Licensing” for a description of our license agreements with OSR.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151130</wp:posOffset>
            </wp:positionV>
            <wp:extent cx="6777990" cy="3651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799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options/rights on IP derived from preclinical data generated at SR-Tiget laboratories.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We are developing novel cancer therapeutics using our autologous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platform to initially address the unmet medical needs of uMGMT-GBM patients and patients suffering from other solid cancer indications, such as advanced genitourinary malignancies. Ultimately, we hope to broaden our platform to treat a wide variety of cancers by pursuing the following strategies: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1" w:name="page72"/>
    <w:bookmarkEnd w:id="71"/>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Advance the development of our leading clinical-stage product candidate, Temferon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previously conducted a Phase 1/2a clinical trial in Italy to evaluate the safety and tolerability of Temferon.</w:t>
      </w:r>
    </w:p>
    <w:p>
      <w:pPr>
        <w:spacing w:after="0" w:line="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Phase 1 portion of the TEM-GBM Phase 1/2a study, which administered escalating doses of Temferon to glioblastoma patients with an unmethylated MGMT promoter following radiotherapy, has been completed. Preliminary observations from the dose-escalation phase indicated that Temferon was generally well tolerated. Exploratory analyses suggested potential biological activity, including modulation of the tumor microenvironment and survival outcomes that warrant further investigation. However, such findings were derived from a limited patient population and are not sufficient to establish clinical efficacy. We are not currently advancing to a Phase 2 study in GBM and no additional enrollment activities are ongoing.</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Phase 1 study in metastatic renal cell carcinoma (“TEM-GU study”) was initiated to explore the safety and potential biological activity of Temferon in a second solid tumor indication. At the end of January 2026, we discontinued the GU development program as part of our broader strategic transformation, and no further clinical development activities are being pursued under this protocol.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clinical development of Temferon would require additional capital, regulatory engagement, and strategic reassessment.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Extend our product pipeline across multiple indications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successful in our efforts to seek a strategic partner with the assistance of DC Advisory, we intend to expand our product pipeline by:</w:t>
      </w:r>
    </w:p>
    <w:p>
      <w:pPr>
        <w:spacing w:after="0" w:line="218" w:lineRule="exact"/>
        <w:rPr>
          <w:sz w:val="20"/>
          <w:szCs w:val="20"/>
          <w:color w:val="auto"/>
        </w:rPr>
      </w:pPr>
    </w:p>
    <w:p>
      <w:pPr>
        <w:jc w:val="both"/>
        <w:ind w:left="1040" w:hanging="513"/>
        <w:spacing w:after="0" w:line="263"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Identifying additional indications suitable for Temferon. </w:t>
      </w:r>
      <w:r>
        <w:rPr>
          <w:rFonts w:ascii="Times New Roman" w:cs="Times New Roman" w:eastAsia="Times New Roman" w:hAnsi="Times New Roman"/>
          <w:sz w:val="18"/>
          <w:szCs w:val="18"/>
          <w:color w:val="auto"/>
        </w:rPr>
        <w:t>We have selected Refractory Advanced Genitourinary Malignancies,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metastatic Renal Cell Carcinoma (“mRCC”), as the second solid tumor indication for Temferon. We believe that results from ongoing clinical studies in GBM and mRCC will inform and guide future therapeutic strategies in these and other indications.</w:t>
      </w:r>
    </w:p>
    <w:p>
      <w:pPr>
        <w:spacing w:after="0" w:line="173" w:lineRule="exact"/>
        <w:rPr>
          <w:rFonts w:ascii="Times New Roman" w:cs="Times New Roman" w:eastAsia="Times New Roman" w:hAnsi="Times New Roman"/>
          <w:sz w:val="18"/>
          <w:szCs w:val="18"/>
          <w:color w:val="auto"/>
        </w:rPr>
      </w:pPr>
    </w:p>
    <w:p>
      <w:pPr>
        <w:ind w:left="1040" w:hanging="513"/>
        <w:spacing w:after="0" w:line="279"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Using our platform with different transgene payloads</w:t>
      </w:r>
      <w:r>
        <w:rPr>
          <w:rFonts w:ascii="Times New Roman" w:cs="Times New Roman" w:eastAsia="Times New Roman" w:hAnsi="Times New Roman"/>
          <w:sz w:val="18"/>
          <w:szCs w:val="18"/>
          <w:color w:val="auto"/>
        </w:rPr>
        <w:t>. Our platform technology is designed to enable us to use different transgene payloads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potentially achieve therapeutic outcomes in selected cancer indications.</w:t>
      </w:r>
    </w:p>
    <w:p>
      <w:pPr>
        <w:spacing w:after="0" w:line="159" w:lineRule="exact"/>
        <w:rPr>
          <w:rFonts w:ascii="Times New Roman" w:cs="Times New Roman" w:eastAsia="Times New Roman" w:hAnsi="Times New Roman"/>
          <w:sz w:val="18"/>
          <w:szCs w:val="18"/>
          <w:color w:val="auto"/>
        </w:rPr>
      </w:pPr>
    </w:p>
    <w:p>
      <w:pPr>
        <w:jc w:val="both"/>
        <w:ind w:left="1040" w:hanging="513"/>
        <w:spacing w:after="0" w:line="258"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a second-generation platform that enables the “on-demand” release of the transgene payload</w:t>
      </w:r>
      <w:r>
        <w:rPr>
          <w:rFonts w:ascii="Times New Roman" w:cs="Times New Roman" w:eastAsia="Times New Roman" w:hAnsi="Times New Roman"/>
          <w:sz w:val="18"/>
          <w:szCs w:val="18"/>
          <w:color w:val="auto"/>
        </w:rPr>
        <w:t>. If we obtain convincing evidence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ability of Temferon to slow down disease progression,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77" w:lineRule="exact"/>
        <w:rPr>
          <w:rFonts w:ascii="Times New Roman" w:cs="Times New Roman" w:eastAsia="Times New Roman" w:hAnsi="Times New Roman"/>
          <w:sz w:val="18"/>
          <w:szCs w:val="18"/>
          <w:color w:val="auto"/>
        </w:rPr>
      </w:pPr>
    </w:p>
    <w:p>
      <w:pPr>
        <w:jc w:val="both"/>
        <w:ind w:left="1040" w:hanging="513"/>
        <w:spacing w:after="0" w:line="255"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Exploring combination therapies</w:t>
      </w:r>
      <w:r>
        <w:rPr>
          <w:rFonts w:ascii="Times New Roman" w:cs="Times New Roman" w:eastAsia="Times New Roman" w:hAnsi="Times New Roman"/>
          <w:sz w:val="18"/>
          <w:szCs w:val="18"/>
          <w:color w:val="auto"/>
        </w:rPr>
        <w:t>. We will seek to enter into collaborations with other companies to explore combination studies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with other cancer therapies, such as ICI, CAR-T cell therapies and TCR therapies. We believe our product, through its MoA, has the potential to enhance the durability and efficacy of the existing therapies, including restoring responsiveness in cases where these treatments were previously administered but lost effectiveness over time, thereby overcoming immune tolerance to the tumor and extend the durability of the response.</w:t>
      </w:r>
    </w:p>
    <w:p>
      <w:pPr>
        <w:spacing w:after="0" w:line="181" w:lineRule="exact"/>
        <w:rPr>
          <w:rFonts w:ascii="Times New Roman" w:cs="Times New Roman" w:eastAsia="Times New Roman" w:hAnsi="Times New Roman"/>
          <w:sz w:val="18"/>
          <w:szCs w:val="18"/>
          <w:color w:val="auto"/>
        </w:rPr>
      </w:pPr>
    </w:p>
    <w:p>
      <w:pPr>
        <w:ind w:left="1040" w:hanging="513"/>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Exploiting in-licensing opportunities with OSR</w:t>
      </w:r>
      <w:r>
        <w:rPr>
          <w:rFonts w:ascii="Times New Roman" w:cs="Times New Roman" w:eastAsia="Times New Roman" w:hAnsi="Times New Roman"/>
          <w:sz w:val="18"/>
          <w:szCs w:val="18"/>
          <w:color w:val="auto"/>
        </w:rPr>
        <w:t>. We intend to exploit in-licensing opportunities with OSR, a co-founding shareholder.</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Develop and maintain efficient manufacturing processes to support anticipated growth</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To meet our drug product supply needs for conducting larger trials, we intend to optimize our manufacturing processes for both lentiviral vector (LVV) and drug product (DP) production with a focus on meeting regulatory requirements for Marketing Authorization Application (MAA). This includes implementing scalable processes to enable cost-efficient production at a significantly reduced cost and exploring the potential for decentralized manufacturing approaches to further enhance flexibility, accessibility, and efficiency in delivering our product to patients. Currently, Temferon, is manufactured by the European Cell and Gene Therapy unit of AGC Biologics, a leading global contract development and manufacturing organization (“CDMO”), which is headquartered in Italy and specializes in the manufacturing of viral vectors and genetically engineered cells. AGC Biologics’ facility is certified by AIFA.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Establish a patient-centered infrastructure and strong relationships with key U.S. opinion leaders working in our disease area</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We have established a network of leading U.S. Key Opinion Leaders (“KOLs”), which include: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 Timothy F. Cloughesy, MD, Professor of Clinical Neurology Director of Neuro-Oncology Program at University of California Los Angeles (UCLA); Richard Everson, MD, Assistant Professor, Department of Neurosurgery at UCLA; Donald B. Kohn, MD, Distinguished Professor Depts. of MIMG, Pediatrics and MMP at UCLA; Robert Prins, PhD, Associate Professor Neurosurgery at UCLA; and Patrick Wen, MD, Professor of Neurology, Harvard Medical School, Director of the Center For Neuro-Oncology at Dana-Farber Brigham Hospital.</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Develop opportunistic partnership(s) with pharmaceutical company(s)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choose to partner with pharmaceutical companies whose core competencies and oncology strategies are in line with ours. These partnerships could include the provision of market-approved therapies for combination testing with Temferon, enabling us to explore synergistic effects and expand potential therapeutic indications. Additionally, we are open to establishing clinical development collaborations with other biotech companies that have complementary products in development. Such partnerships would allow us to leverage combined expertise, accelerate clinical progress, and create innovative treatment options for patients with high unmet medical needs.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systemic delivery.</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Specifically, we adapted an autologous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method to direct the patient’s own HSPCs by loading them with an immunotherapeutic transgene sequence, or payload, that we believe can counteract cancer progression and prevent tumor relapse. We believe that by delivering a targeted therapeutic specific to cancer cells, we can reach the desired on-target anti-tumor effect while reducing off-target side effects.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technology employs the following key components:</w:t>
      </w:r>
    </w:p>
    <w:p>
      <w:pPr>
        <w:spacing w:after="0" w:line="220" w:lineRule="exact"/>
        <w:rPr>
          <w:sz w:val="20"/>
          <w:szCs w:val="20"/>
          <w:color w:val="auto"/>
        </w:rPr>
      </w:pPr>
    </w:p>
    <w:p>
      <w:pPr>
        <w:ind w:left="1280" w:hanging="633"/>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the patient’s own autologous HSPCs;</w:t>
      </w:r>
    </w:p>
    <w:p>
      <w:pPr>
        <w:spacing w:after="0" w:line="217"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of LVVs for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HSPCs transduction; and</w:t>
      </w:r>
    </w:p>
    <w:p>
      <w:pPr>
        <w:spacing w:after="0" w:line="221"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payload delivery within the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image below illustrates the steps of our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approach to transform patients’ autologous HSPCs into a therapeutic product.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368300</wp:posOffset>
            </wp:positionH>
            <wp:positionV relativeFrom="page">
              <wp:posOffset>444500</wp:posOffset>
            </wp:positionV>
            <wp:extent cx="6777990" cy="3490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777990"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Illustration of our ex-vivo approach (steps 1-2-3) and treatment process (step 4)</w:t>
      </w:r>
    </w:p>
    <w:p>
      <w:pPr>
        <w:spacing w:after="0" w:line="220" w:lineRule="exact"/>
        <w:rPr>
          <w:sz w:val="20"/>
          <w:szCs w:val="20"/>
          <w:color w:val="auto"/>
        </w:rPr>
      </w:pPr>
    </w:p>
    <w:p>
      <w:pPr>
        <w:jc w:val="both"/>
        <w:ind w:firstLine="20"/>
        <w:spacing w:after="0" w:line="263" w:lineRule="auto"/>
        <w:tabs>
          <w:tab w:leader="none" w:pos="2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Patient’s HSPCs are harvested by means of an apheresis process, and (2)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modified by an LVV. The obtained drug product is frozen and stored for clinical use (3). When needed, the therapeutic product may be thawed and infused back in patient’s bloodstream (4). The engineered HSPCs will repopulate the entire hematopoietic system, giving rise to differentiated progeny bearing the introduced modification</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 HSPCs are the Source of the Delivery Vehicle for Our Gene Therapy Approach</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 Ex-vivo LVV based Transduction</w:t>
      </w:r>
    </w:p>
    <w:p>
      <w:pPr>
        <w:spacing w:after="0" w:line="2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After collection, a functional copy of the therapeutic gene is inserted into the patient’s own HSPCs using a non-replicating LVV. This is an </w:t>
      </w:r>
      <w:r>
        <w:rPr>
          <w:rFonts w:ascii="Times New Roman" w:cs="Times New Roman" w:eastAsia="Times New Roman" w:hAnsi="Times New Roman"/>
          <w:sz w:val="17"/>
          <w:szCs w:val="17"/>
          <w:i w:val="1"/>
          <w:iCs w:val="1"/>
          <w:color w:val="auto"/>
        </w:rPr>
        <w:t>ex-vivo</w:t>
      </w:r>
      <w:r>
        <w:rPr>
          <w:rFonts w:ascii="Times New Roman" w:cs="Times New Roman" w:eastAsia="Times New Roman" w:hAnsi="Times New Roman"/>
          <w:sz w:val="17"/>
          <w:szCs w:val="17"/>
          <w:color w:val="auto"/>
        </w:rPr>
        <w:t xml:space="preserve"> process called transduction. We believe that LVVs are the first choice for </w:t>
      </w:r>
      <w:r>
        <w:rPr>
          <w:rFonts w:ascii="Times New Roman" w:cs="Times New Roman" w:eastAsia="Times New Roman" w:hAnsi="Times New Roman"/>
          <w:sz w:val="17"/>
          <w:szCs w:val="17"/>
          <w:i w:val="1"/>
          <w:iCs w:val="1"/>
          <w:color w:val="auto"/>
        </w:rPr>
        <w:t>ex-vivo</w:t>
      </w:r>
      <w:r>
        <w:rPr>
          <w:rFonts w:ascii="Times New Roman" w:cs="Times New Roman" w:eastAsia="Times New Roman" w:hAnsi="Times New Roman"/>
          <w:sz w:val="17"/>
          <w:szCs w:val="17"/>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(CD-19 CAR-T,</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Novartis Pharma) and Zynteglo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(β-Thal, Bluebird Bio). With more than 100 clinical trials either completed or in progress using LVVs worldwide, this delivery method accounts for more than a third of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modified gene therapy clinical trials.</w:t>
      </w:r>
    </w:p>
    <w:p>
      <w:pPr>
        <w:spacing w:after="0" w:line="19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Accordingly, extensive clinical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studies, based on LVV gene transfer, have been performed in recent years by SR-Tiget for the prevention and treatment of some severe inherited disorders, resulting in approved drugs, such as Libmeldy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These studies have shown that LVVs constitute a valuable and safer alternative to gamma-retroviral vectors, enabling a more efficient gene transfer into HSPCs and resulting in a robust and long-term transgene expression in their progeny. The studies have also demonstrated an alleviated risk of genotoxicity because of the vector design.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Differences exist between LVVs used for </w:t>
      </w:r>
      <w:r>
        <w:rPr>
          <w:rFonts w:ascii="Times New Roman" w:cs="Times New Roman" w:eastAsia="Times New Roman" w:hAnsi="Times New Roman"/>
          <w:sz w:val="17"/>
          <w:szCs w:val="17"/>
          <w:i w:val="1"/>
          <w:iCs w:val="1"/>
          <w:color w:val="auto"/>
        </w:rPr>
        <w:t>ex-vivo</w:t>
      </w:r>
      <w:r>
        <w:rPr>
          <w:rFonts w:ascii="Times New Roman" w:cs="Times New Roman" w:eastAsia="Times New Roman" w:hAnsi="Times New Roman"/>
          <w:sz w:val="17"/>
          <w:szCs w:val="17"/>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spacing w:after="0" w:line="17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In February 2021, Bluebird Bio temporarily suspended its gene therapy clinical trials for SCD (HGB-206 and HGB-210) and the marketing of Zynteglo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Bluebird Bio announced on August 9, 2021, that the SUSAR involving myelodysplastic syndrome occurred in one patient treated with Lenti-D over a year earlier. Bluebird Bio stated that this SUSAR “was likely mediated by Lenti-D lentiviral vector (LVV) insertion,” and that “specific design features of Lenti-D LVV likely contributed to this event.” As a result of this SUSAR, the FDA has placed a clinical hold on Bluebird Bio’s Lenti-D phase 3 trial for cerebral adrenoleukodystrophy.</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 Tumor-Targeted Payload Delivery</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platform technology, used by all of our product candidates, including Temferon, is designed to turn TEMs, which normally have an affinity for and travel to tumors, into a “Trojan Horse” to deliver a tumor-targeted payload. The technology enables the payload to be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transgene payload expression cassette consists of two key components: the Tie-2 promoter (RED) and miRNA-126 target sequences (LIGHT BLUE)</w:t>
      </w:r>
    </w:p>
    <w:p>
      <w:pPr>
        <w:spacing w:after="0" w:line="218" w:lineRule="exact"/>
        <w:rPr>
          <w:sz w:val="20"/>
          <w:szCs w:val="20"/>
          <w:color w:val="auto"/>
        </w:rPr>
      </w:pPr>
    </w:p>
    <w:p>
      <w:pPr>
        <w:jc w:val="both"/>
        <w:ind w:left="1280" w:hanging="633"/>
        <w:spacing w:after="0" w:line="250" w:lineRule="auto"/>
        <w:tabs>
          <w:tab w:leader="none" w:pos="128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Tie-2 promoter. </w:t>
      </w:r>
      <w:r>
        <w:rPr>
          <w:rFonts w:ascii="Times New Roman" w:cs="Times New Roman" w:eastAsia="Times New Roman" w:hAnsi="Times New Roman"/>
          <w:sz w:val="18"/>
          <w:szCs w:val="18"/>
          <w:color w:val="auto"/>
        </w:rPr>
        <w:t>The Tie-2 promoter enables the transformation of TEMs into a “Trojan Horse”, to deliver the therapeutic payload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5" w:name="page76"/>
    <w:bookmarkEnd w:id="75"/>
    <w:p>
      <w:pPr>
        <w:jc w:val="both"/>
        <w:ind w:left="1280" w:hanging="633"/>
        <w:spacing w:after="0" w:line="254" w:lineRule="auto"/>
        <w:tabs>
          <w:tab w:leader="none" w:pos="128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miRNA-126 target sequences</w:t>
      </w:r>
      <w:r>
        <w:rPr>
          <w:rFonts w:ascii="Times New Roman" w:cs="Times New Roman" w:eastAsia="Times New Roman" w:hAnsi="Times New Roman"/>
          <w:sz w:val="18"/>
          <w:szCs w:val="18"/>
          <w:color w:val="auto"/>
        </w:rPr>
        <w:t>. The miRNA-126 target sequence serves as a post-transcriptional regulation layer that allows the expression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-6350</wp:posOffset>
            </wp:positionV>
            <wp:extent cx="6947535" cy="3346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47535" cy="334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Post-transcriptional control mechanism of transgene expression</w:t>
      </w:r>
    </w:p>
    <w:p>
      <w:pPr>
        <w:spacing w:after="0" w:line="220" w:lineRule="exact"/>
        <w:rPr>
          <w:sz w:val="20"/>
          <w:szCs w:val="20"/>
          <w:color w:val="auto"/>
        </w:rPr>
      </w:pPr>
    </w:p>
    <w:p>
      <w:pPr>
        <w:ind w:firstLine="647"/>
        <w:spacing w:after="0" w:line="279" w:lineRule="auto"/>
        <w:tabs>
          <w:tab w:leader="none" w:pos="861"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59" w:lineRule="exact"/>
        <w:rPr>
          <w:rFonts w:ascii="Times New Roman" w:cs="Times New Roman" w:eastAsia="Times New Roman" w:hAnsi="Times New Roman"/>
          <w:sz w:val="18"/>
          <w:szCs w:val="18"/>
          <w:i w:val="1"/>
          <w:iCs w:val="1"/>
          <w:color w:val="auto"/>
        </w:rPr>
      </w:pPr>
    </w:p>
    <w:p>
      <w:pPr>
        <w:ind w:firstLine="647"/>
        <w:spacing w:after="0" w:line="279" w:lineRule="auto"/>
        <w:tabs>
          <w:tab w:leader="none" w:pos="861"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-20955</wp:posOffset>
            </wp:positionV>
            <wp:extent cx="6947535" cy="20840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7535"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i w:val="1"/>
          <w:iCs w:val="1"/>
          <w:color w:val="auto"/>
        </w:rPr>
        <w:t>Transgene payload expression as the result of the transcriptional (promoter) and post-transcriptional regulation (miRNA-126 target sequence) imposed by our expression cassette.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4" w:right="339" w:bottom="1440" w:gutter="0" w:footer="0" w:header="0"/>
        </w:sectPr>
      </w:pPr>
    </w:p>
    <w:bookmarkStart w:id="76" w:name="page77"/>
    <w:bookmarkEnd w:id="76"/>
    <w:p>
      <w:pPr>
        <w:jc w:val="both"/>
        <w:spacing w:after="0" w:line="279" w:lineRule="auto"/>
        <w:rPr>
          <w:sz w:val="20"/>
          <w:szCs w:val="20"/>
          <w:color w:val="auto"/>
        </w:rPr>
      </w:pPr>
      <w:r>
        <w:rPr>
          <w:rFonts w:ascii="Times New Roman" w:cs="Times New Roman" w:eastAsia="Times New Roman" w:hAnsi="Times New Roman"/>
          <w:sz w:val="18"/>
          <w:szCs w:val="18"/>
          <w:color w:val="auto"/>
        </w:rPr>
        <w:t>We believe that combining our built-in post-transcriptional control mechanism (</w:t>
      </w:r>
      <w:r>
        <w:rPr>
          <w:rFonts w:ascii="Times New Roman" w:cs="Times New Roman" w:eastAsia="Times New Roman" w:hAnsi="Times New Roman"/>
          <w:sz w:val="18"/>
          <w:szCs w:val="18"/>
          <w:i w:val="1"/>
          <w:iCs w:val="1"/>
          <w:color w:val="auto"/>
        </w:rPr>
        <w:t>miRNA-126 target sequences</w:t>
      </w:r>
      <w:r>
        <w:rPr>
          <w:rFonts w:ascii="Times New Roman" w:cs="Times New Roman" w:eastAsia="Times New Roman" w:hAnsi="Times New Roman"/>
          <w:sz w:val="18"/>
          <w:szCs w:val="18"/>
          <w:color w:val="auto"/>
        </w:rPr>
        <w:t>), with TEMs designed as a “Trojan Horse,” will allow our platform to restrict transgene expression and avoid systemic toxicity while reaching the therapeutic index to drive efficacy.</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Our Leading Product Candidate: Temferon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lead product candidate, Temferon, consists of genetically modified HSPCs that use our platform to deliver interferon-alpha (“IFN-α”), within the tumor microenvironment via TEMs (HSPCs differentiated myeloid progeny). The IFN-α reduces angiogenesis, counteracts tumor cell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-19685</wp:posOffset>
            </wp:positionV>
            <wp:extent cx="6947535" cy="35585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47535" cy="355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Temferon manufacturing process and mechanism of action.</w:t>
      </w:r>
    </w:p>
    <w:p>
      <w:pPr>
        <w:spacing w:after="0" w:line="218"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Patient’s </w:t>
      </w:r>
      <w:r>
        <w:rPr>
          <w:rFonts w:ascii="Times New Roman" w:cs="Times New Roman" w:eastAsia="Times New Roman" w:hAnsi="Times New Roman"/>
          <w:sz w:val="18"/>
          <w:szCs w:val="18"/>
          <w:b w:val="1"/>
          <w:bCs w:val="1"/>
          <w:i w:val="1"/>
          <w:iCs w:val="1"/>
          <w:color w:val="auto"/>
        </w:rPr>
        <w:t>HSPCs</w:t>
      </w:r>
      <w:r>
        <w:rPr>
          <w:rFonts w:ascii="Times New Roman" w:cs="Times New Roman" w:eastAsia="Times New Roman" w:hAnsi="Times New Roman"/>
          <w:sz w:val="18"/>
          <w:szCs w:val="18"/>
          <w:i w:val="1"/>
          <w:iCs w:val="1"/>
          <w:color w:val="auto"/>
        </w:rPr>
        <w:t xml:space="preserve"> are harvested, (1) </w:t>
      </w:r>
      <w:r>
        <w:rPr>
          <w:rFonts w:ascii="Times New Roman" w:cs="Times New Roman" w:eastAsia="Times New Roman" w:hAnsi="Times New Roman"/>
          <w:sz w:val="18"/>
          <w:szCs w:val="18"/>
          <w:b w:val="1"/>
          <w:bCs w:val="1"/>
          <w:i w:val="1"/>
          <w:iCs w:val="1"/>
          <w:color w:val="auto"/>
        </w:rPr>
        <w:t>ex-vivo</w:t>
      </w:r>
      <w:r>
        <w:rPr>
          <w:rFonts w:ascii="Times New Roman" w:cs="Times New Roman" w:eastAsia="Times New Roman" w:hAnsi="Times New Roman"/>
          <w:sz w:val="18"/>
          <w:szCs w:val="18"/>
          <w:i w:val="1"/>
          <w:iCs w:val="1"/>
          <w:color w:val="auto"/>
        </w:rPr>
        <w:t xml:space="preserve"> modified by </w:t>
      </w:r>
      <w:r>
        <w:rPr>
          <w:rFonts w:ascii="Times New Roman" w:cs="Times New Roman" w:eastAsia="Times New Roman" w:hAnsi="Times New Roman"/>
          <w:sz w:val="18"/>
          <w:szCs w:val="18"/>
          <w:b w:val="1"/>
          <w:bCs w:val="1"/>
          <w:i w:val="1"/>
          <w:iCs w:val="1"/>
          <w:color w:val="auto"/>
        </w:rPr>
        <w:t>LVVs</w:t>
      </w:r>
      <w:r>
        <w:rPr>
          <w:rFonts w:ascii="Times New Roman" w:cs="Times New Roman" w:eastAsia="Times New Roman" w:hAnsi="Times New Roman"/>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Temferon for uMGMT-GBM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GBM is a solid tumor affecting the brain. We have chosen this indication due to the following factors:</w:t>
      </w:r>
    </w:p>
    <w:p>
      <w:pPr>
        <w:spacing w:after="0" w:line="216" w:lineRule="exact"/>
        <w:rPr>
          <w:sz w:val="20"/>
          <w:szCs w:val="20"/>
          <w:color w:val="auto"/>
        </w:rPr>
      </w:pPr>
    </w:p>
    <w:p>
      <w:pPr>
        <w:ind w:left="1280" w:hanging="633"/>
        <w:spacing w:after="0"/>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unmet medical need. </w:t>
      </w:r>
      <w:r>
        <w:rPr>
          <w:rFonts w:ascii="Times New Roman" w:cs="Times New Roman" w:eastAsia="Times New Roman" w:hAnsi="Times New Roman"/>
          <w:sz w:val="18"/>
          <w:szCs w:val="18"/>
          <w:color w:val="auto"/>
        </w:rPr>
        <w:t>The prognosis for GBM patients remains poor with few therapeutic options having limited clinical benefits.</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53" w:lineRule="auto"/>
        <w:tabs>
          <w:tab w:leader="none" w:pos="1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Temferon’s MoA targets TEMs which have an active role in uMGMT-GBM pathology. </w:t>
      </w:r>
      <w:r>
        <w:rPr>
          <w:rFonts w:ascii="Times New Roman" w:cs="Times New Roman" w:eastAsia="Times New Roman" w:hAnsi="Times New Roman"/>
          <w:sz w:val="18"/>
          <w:szCs w:val="18"/>
          <w:color w:val="auto"/>
        </w:rPr>
        <w:t>GBMs are highly vascularized tumors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critically 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77" w:name="page78"/>
    <w:bookmarkEnd w:id="77"/>
    <w:p>
      <w:pPr>
        <w:jc w:val="both"/>
        <w:ind w:left="1280" w:hanging="633"/>
        <w:spacing w:after="0" w:line="258" w:lineRule="auto"/>
        <w:tabs>
          <w:tab w:leader="none" w:pos="1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Immunosuppressive tumor microenvironment. </w:t>
      </w:r>
      <w:r>
        <w:rPr>
          <w:rFonts w:ascii="Times New Roman" w:cs="Times New Roman" w:eastAsia="Times New Roman" w:hAnsi="Times New Roman"/>
          <w:sz w:val="18"/>
          <w:szCs w:val="18"/>
          <w:color w:val="auto"/>
        </w:rPr>
        <w:t>GBM is characterized by an immunosuppressive microenvironment that is mediated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tumor-associated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177" w:lineRule="exact"/>
        <w:rPr>
          <w:rFonts w:ascii="Times New Roman" w:cs="Times New Roman" w:eastAsia="Times New Roman" w:hAnsi="Times New Roman"/>
          <w:sz w:val="18"/>
          <w:szCs w:val="18"/>
          <w:color w:val="auto"/>
        </w:rPr>
      </w:pPr>
    </w:p>
    <w:p>
      <w:pPr>
        <w:jc w:val="both"/>
        <w:ind w:left="1280" w:hanging="633"/>
        <w:spacing w:after="0" w:line="264" w:lineRule="auto"/>
        <w:tabs>
          <w:tab w:leader="none" w:pos="1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Availability of a “competent” immune system. </w:t>
      </w:r>
      <w:r>
        <w:rPr>
          <w:rFonts w:ascii="Times New Roman" w:cs="Times New Roman" w:eastAsia="Times New Roman" w:hAnsi="Times New Roman"/>
          <w:sz w:val="18"/>
          <w:szCs w:val="18"/>
          <w:color w:val="auto"/>
        </w:rPr>
        <w:t>Our approach relies on a patient’s immune system being capable of providing an 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upon recognition of the tumor. Therefore, we believe newly diagnosed uMGMT-GBM patients who have relatively “competent” immune systems, not yet damaged by repeated cycles of chemotherapies, are strong candidates for our study.</w:t>
      </w:r>
    </w:p>
    <w:p>
      <w:pPr>
        <w:spacing w:after="0" w:line="170" w:lineRule="exact"/>
        <w:rPr>
          <w:rFonts w:ascii="Times New Roman" w:cs="Times New Roman" w:eastAsia="Times New Roman" w:hAnsi="Times New Roman"/>
          <w:sz w:val="18"/>
          <w:szCs w:val="18"/>
          <w:color w:val="auto"/>
        </w:rPr>
      </w:pPr>
    </w:p>
    <w:p>
      <w:pPr>
        <w:jc w:val="both"/>
        <w:ind w:left="1280" w:hanging="633"/>
        <w:spacing w:after="0" w:line="278" w:lineRule="auto"/>
        <w:tabs>
          <w:tab w:leader="none" w:pos="12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Compelling preclinical data. </w:t>
      </w:r>
      <w:r>
        <w:rPr>
          <w:rFonts w:ascii="Times New Roman" w:cs="Times New Roman" w:eastAsia="Times New Roman" w:hAnsi="Times New Roman"/>
          <w:sz w:val="17"/>
          <w:szCs w:val="17"/>
          <w:color w:val="auto"/>
        </w:rPr>
        <w:t>Our preclinical studies, published in peer-reviewed papers, suggest that TEMs play an active role in uMGMT-GBM, and when used as a “Trojan Horse,” may significantly shrink the tumor and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61" w:lineRule="exact"/>
        <w:rPr>
          <w:rFonts w:ascii="Times New Roman" w:cs="Times New Roman" w:eastAsia="Times New Roman" w:hAnsi="Times New Roman"/>
          <w:sz w:val="17"/>
          <w:szCs w:val="17"/>
          <w:color w:val="auto"/>
        </w:rPr>
      </w:pPr>
    </w:p>
    <w:p>
      <w:pPr>
        <w:ind w:left="1280" w:hanging="633"/>
        <w:spacing w:after="0" w:line="312" w:lineRule="auto"/>
        <w:tabs>
          <w:tab w:leader="none" w:pos="12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Market Opportunity. </w:t>
      </w:r>
      <w:r>
        <w:rPr>
          <w:rFonts w:ascii="Times New Roman" w:cs="Times New Roman" w:eastAsia="Times New Roman" w:hAnsi="Times New Roman"/>
          <w:sz w:val="17"/>
          <w:szCs w:val="17"/>
          <w:color w:val="auto"/>
        </w:rPr>
        <w:t>Based on currently available treatments, the global market size for all GBM is projected to grow to over $6 billion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2032. We believe a novel therapeutic, which demonstrates improvement over existing therapies, would greatly increase the market size.</w:t>
      </w:r>
    </w:p>
    <w:p>
      <w:pPr>
        <w:spacing w:after="0" w:line="13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are discussing other studies using Temferon in solid tumor indications, for which we are considering patients with unmet medical needs suffering from solid tumors that recruit TEMs in order to grow.</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Disease Overview</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GBM is the most common malignant primary brain tumor, accounting for more than half of all central nervous system cancers and for which there is a high unmet medical need. The incidence rate is 3.20 per 100,000 persons with over 13,000 deaths per year in the U.S.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Disease Overview (Background Information)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Renal cell carcinoma (“RCC”) accounts for over 80% of primary renal malignancies, with clear cell RCC representing the most common subtype. Combination immunotherapy and targeted regimens currently represent the standard of care in first-line treatment, with several additional therapies approved in later-line settings. [The above scientific and market overview is provided for contextual purposes only and does not reflect an ongoing development program by us as of the date of this filing.]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8" w:name="page79"/>
    <w:bookmarkEnd w:id="78"/>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Temferon in advanced genitourinary malignancies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TEM-GU Phase 1/2a Clinical Trial (Discontinued Program)</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TEM-GU study was originally designed as an open-label, single-center, Phase 1/2a therapeutic exploratory clinical trial intended to evaluate the safety, tolerability, biological activity, and preliminary efficacy of Temferon in patients with metastatic renal cell carcinoma (“mRCC”).</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study protocol contemplated the evaluation of Temferon in combination with either immune checkpoint inhibitors (“ICI”) or tyrosine kinase inhibitors (“TKI”) in patients who had experienced disease progression after standard treatments. The clinical activities were planned to be conducted at the Genitourinary Oncology Unit of San Raffaele Hospital in Milan, Italy, with hematological follow-up and administration procedures coordinated within the same hospital’s specialized hematology and bone marrow transplant unit.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However, following the strategic review completed in January 2026 and the related decision to discontinue the genitourinary (“GU”) development program, we are no longer actively pursuing clinical development under the TEM-GU protocol. No new patient enrollment is ongoing or planned, and no material research and development expenditures are currently allocated to this indication.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Additional Pipeline Platform Development</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Temferon platform was originally designed to be adaptable to multiple oncology indications through genetic modification of hematopoietic progenitor cells and targeted expression of therapeutic payloads.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light of the strategic transformation announced in January 2026 and the progressive wind-down of internal research and development activities, we are not currently allocating resources to new pre-clinical platform expansion programs or to the development of next-generation constructs. Any future reactivation of platform development activities would be subject to strategic review and capital allocation decisions.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Combination Treatment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therapies to treat several types of cancers, such as ICI, CAR-T and TCR, are rapidly transforming the practice of oncology, clinical data point to the risk of late relapses after treatment with these therapeutics. Thus, the data suggest that the durability of the response to these therapies remains a significant challenge. We believe that the potentially agnostic nature of Temferon, its activity observed in our clinical trials to date, which includes the abrogation of tumor induced tolerance, and its potentially synergistic mechanism of action, makes it a suitable candidate to be considered for combination treatments. Specifically, Temferon may be a good candidate to be used in combination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preclinical studies conducted in the laboratories of our founders, Prof.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Specifically, a CD19 CAR-T approach in a leukemia mouse model had a detectable, but not significant, effect on the tumor burden. However, when used in combination with Temferon, the combination treatment resulted in a significant inhibition of the hematological malignancy, with a significant fraction of CAR-T/Temferon treated mice surviving to the latest timepoint of analysis. Similarly, the combination of IFN gene therapy to α-CTLA4, an immune check point blocker, or adoptive T cell therapy, significantly improved the survival of the mice (Escobar et al., Nature Communication 2018). Further, in a multiple myeloma mouse model, Temferon was administered in combination with human TCR-edited T cells directed against NY-ESO1 and anti-myeloma drugs. The combination approach showed promising additive-to-synergistic effects without exacerbating hematologic or systemic toxicities. These results lead us to believe that IFN gene therapy might also boost the efficacy of other immunotherapies.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79" w:name="page80"/>
    <w:bookmarkEnd w:id="79"/>
    <w:p>
      <w:pPr>
        <w:ind w:left="640"/>
        <w:spacing w:after="0"/>
        <w:rPr>
          <w:sz w:val="20"/>
          <w:szCs w:val="20"/>
          <w:color w:val="auto"/>
        </w:rPr>
      </w:pPr>
      <w:r>
        <w:rPr>
          <w:rFonts w:ascii="Times New Roman" w:cs="Times New Roman" w:eastAsia="Times New Roman" w:hAnsi="Times New Roman"/>
          <w:sz w:val="18"/>
          <w:szCs w:val="18"/>
          <w:b w:val="1"/>
          <w:bCs w:val="1"/>
          <w:color w:val="auto"/>
        </w:rPr>
        <w:t>Switchable Platform</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founders are developing a second-generation platform designed to release the therapeutic payload “on demand” to potentially allow in vivo control of its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inducible version of the IFN-α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 Naldini with a glioblastoma mouse model showed similar anti-tumor activity of the inducible and wild-type IFN payload. Moreover, the inducible construct allows switching of IFN release upon tumor clearance (Birocchi et al., Sci Transl Med 2022). We plan to use our second-generation platform carrying an IFN-α payload in combination with CAR T cells to target glioblastoma-associated antigens or immune checkpoint blockers in an experimental tumor model in mice.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Other Payloads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platform is designed to allow the control of the expression of any payload we use. Similar to IFN-α, there are several alternative payloads with immunotherapeutic properties that were previously systemically delivered to patients but were discontinued due to significant toxicity that prevented the drug from reaching therapeutic dosages (e.g. TNF-Alpha). Because we believe that our first- and second-generation platforms may have the ability to overcome certain limitations associated with systemic administration, we are testing them with additional payloads such as IFN- γ, IL-12 and TNF-α. Because each payload triggers a unique biological response, we believe our platform may enable a personalized treatment approach.</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IFN-γ and TNF-α and further support our hypothesis that the specific transcriptional and microRNA regulated expression of the payload prevents toxicity. Data generated in the laboratory of our founders in a leukemia model showed that IFN-γ but not TNF-α mediates anti-tumor activity when delivered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Further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studies showed enhanced anti-tumor activity upon combined delivery of two cytokines by the TEM-based platform.</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experiments conducted with our second-generation inducible platform expressing IL-12 support the hypothesis that our proprietary transcriptional and microRNA regulated expression of the payload may prevent or limit toxicity. Indeed, IL-12 is a potent cytokine that must be kept within a therapeutic dose range to prevent toxicity. Targeted delivery and anti-tumor activity of the new inducible payload are being investigated (Mucci et al., EMBO Mol Med 2021). The laboratory of Prof. Naldini plans to test the combination of TEM-mediated gene-based delivery of inducible Il-12 or additional inducible payloads with CAR-T, TCR and ICI in experimental murine tumor models.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manufacturing process for our autologous cell and gene therapy approach requires the following steps:</w:t>
      </w:r>
    </w:p>
    <w:p>
      <w:pPr>
        <w:spacing w:after="0" w:line="220" w:lineRule="exact"/>
        <w:rPr>
          <w:sz w:val="20"/>
          <w:szCs w:val="20"/>
          <w:color w:val="auto"/>
        </w:rPr>
      </w:pPr>
    </w:p>
    <w:p>
      <w:pPr>
        <w:ind w:left="1280" w:hanging="633"/>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HSPCs harvesting in a specialized clinical center (leukapheresis)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of apheresis bag/s to the selected contract manufacturing organization (CMO)</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CD34+ cells enrichment</w:t>
      </w:r>
    </w:p>
    <w:p>
      <w:pPr>
        <w:spacing w:after="0" w:line="217"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Ex-vivo </w:t>
      </w:r>
      <w:r>
        <w:rPr>
          <w:rFonts w:ascii="Times New Roman" w:cs="Times New Roman" w:eastAsia="Times New Roman" w:hAnsi="Times New Roman"/>
          <w:sz w:val="18"/>
          <w:szCs w:val="18"/>
          <w:color w:val="auto"/>
        </w:rPr>
        <w:t>transduction of CD34+ cells with our LVV,</w:t>
      </w:r>
    </w:p>
    <w:p>
      <w:pPr>
        <w:spacing w:after="0" w:line="221"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Cryopreservation, characterization and release by a Qualified Person of the obtained drug product.</w:t>
      </w:r>
    </w:p>
    <w:p>
      <w:pPr>
        <w:spacing w:after="0" w:line="2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 xml:space="preserve">The LVV manufacturing needed for the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-20955</wp:posOffset>
            </wp:positionV>
            <wp:extent cx="6947535" cy="3346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47535" cy="334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Overview of Temferon Manufacturing Process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have entered into agreements with AGC Biologics to manufacture our LVV and certain drug products for our ongoing clinical programs in Italy. AGC Biologics is a leading global contract development and manufacturing organization (“CDMO”), providing world-class development and manufacture of mammalian and microbial-based therapeutic proteins of plasmid DNA and, with the acquisition of Molecular Medicine S.p.A. (“MolMed”), of viral vectors and genetically engineered cells. AGC Biologics is recognized as the leading cell and gene therapy CDMO focused on research, development, production and clinical validation of cell and gene therapies for the treatment of cancer and rare diseases. Indeed, Strimvelis, the first ever market approved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gene therapy for children, was developed and is still currently manufactured by AGC Biologics (formerly MolMed). Accordingly, Orchard Therapeutics (NasdaqGS: ORTX) in July 2020 renewed its collaboration agreement with AGC, which will continue to support activities related to the development and manufacturing of vectors and drug products for several of Orchard’s investigational </w:t>
      </w:r>
      <w:r>
        <w:rPr>
          <w:rFonts w:ascii="Times New Roman" w:cs="Times New Roman" w:eastAsia="Times New Roman" w:hAnsi="Times New Roman"/>
          <w:sz w:val="18"/>
          <w:szCs w:val="18"/>
          <w:i w:val="1"/>
          <w:iCs w:val="1"/>
          <w:color w:val="auto"/>
        </w:rPr>
        <w:t>ex-vivo</w:t>
      </w:r>
      <w:r>
        <w:rPr>
          <w:rFonts w:ascii="Times New Roman" w:cs="Times New Roman" w:eastAsia="Times New Roman" w:hAnsi="Times New Roman"/>
          <w:sz w:val="18"/>
          <w:szCs w:val="18"/>
          <w:color w:val="auto"/>
        </w:rPr>
        <w:t xml:space="preserve"> hematopoietic stem cell (HSC) gene therapies in the upcoming years, including the recent E.U. market authorized gene therapy drug </w:t>
      </w:r>
      <w:r>
        <w:rPr>
          <w:rFonts w:ascii="Times New Roman" w:cs="Times New Roman" w:eastAsia="Times New Roman" w:hAnsi="Times New Roman"/>
          <w:sz w:val="18"/>
          <w:szCs w:val="18"/>
          <w:i w:val="1"/>
          <w:iCs w:val="1"/>
          <w:color w:val="auto"/>
        </w:rPr>
        <w:t>Libmeldy.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AGC Biologics Capabilities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agreements with AGC establish agreed-upon timelines for purchase order submissions and manufacturing date changes/cancellation. The agreements also set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On January 9, 2025, we announced the introduction of an exclusive GMP suite at AGC Biologics’ facility in Italy, dedicated to the production of Temferon batches. The agreement with AGC Biologics related to the exclusive GMP suite has since been terminated, and the parties are currently involved in a legal dispute.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241" w:gutter="0" w:footer="0" w:header="0"/>
        </w:sectPr>
      </w:pPr>
    </w:p>
    <w:bookmarkStart w:id="81" w:name="page82"/>
    <w:bookmarkEnd w:id="81"/>
    <w:p>
      <w:pPr>
        <w:ind w:left="640"/>
        <w:spacing w:after="0"/>
        <w:rPr>
          <w:sz w:val="20"/>
          <w:szCs w:val="20"/>
          <w:color w:val="auto"/>
        </w:rPr>
      </w:pPr>
      <w:r>
        <w:rPr>
          <w:rFonts w:ascii="Times New Roman" w:cs="Times New Roman" w:eastAsia="Times New Roman" w:hAnsi="Times New Roman"/>
          <w:sz w:val="18"/>
          <w:szCs w:val="18"/>
          <w:i w:val="1"/>
          <w:iCs w:val="1"/>
          <w:color w:val="auto"/>
        </w:rPr>
        <w:t>First and Second Amendment to Development and Master Services Agreement</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we entered into an amendment to the Master Services Agreement with AGC Biologics to extend the term of the Master Services Agreement to June 30, 2025 (the “First Amendment”). The First Amendment was considered effective retroactively from March 5, 2024, the day on which the Master Service Agreement expired, to cover the preceding period during which the same Master Service Agreement continued to be operating. Additionally, on October 14, 2024, we entered into an Agreement for the Conduct of Clinical Trials on Medical Products with OSR) to conduct an open-label 1/2 clinical trial in Renal Cell Cancer.</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Effective December 24, 2024, we and AGC Biologics entered into the Second Amendment (the “Second Amendment”) to the Development and Master Services Agreement, effective as of March 6, 2019 and as amended as of March 5, 2024 (the “MSA”), pursuant to which AGC Biologics manufactures our LVV) and certain drug products for our ongoing clinical programs in Italy.</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conjunction with entry into the Second Amendment, we also entered into work statement No. 1 to manufacture, test and release certain of our cell therapy products.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Second Amendment provides that AGC Biologics will reserve an exclusive GMP suite (the “EGS”) for our exclusive benefit in connection with manufacturing services for cell therapy and commit a specified number of full-time equivalent employees to us. In addition, AGC Biologics will make the EGS available for a specified number of weeks per a recurring 12-month period commencing in the first quarter of 2025. In the event this specified number of weeks is not reached, AGC will issue certain credit notes to us equal to the lost volume of activity. Further, if AGC is unable to offer EGC availability for this specified number of weeks over a 12-month period, AGC Biologics will issue certain credit notes to us as a penalty based on formulas specified in the Second Amendment.</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Second Amendment also provides that AGC Biologics will charge us monthly fees during the ramp-up phase, which begins on such specified date in the first quarter of 2025 and is estimated to end in the third quarter of 2025, and annual fees, payable quarterly, once the ramp-up phase is completed, as specified in the work statement.</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July 1, 2025, AGC and we signed the Second Amendment to their original MSA dated 2019, effective on June 30, 2025, to further extend the term of the original MSA, until September 30, 2025, including the possibility of further extension upon mutual written agreement.</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2025, we issued a formal written notice of termination of Work Statement No. 01 dated December 24, 2024, pursuant to Section 4.1 of the MSA dated December 2024. This notice commences the twelve-month prior notice period ending on July 31, 2026 (the “Termination Date”), during which AGC will continue to issue quarterly invoices in accordance with the MSA, and the Company will remain responsible for all payment obligations relating to the Exclusive GMP Suite (EGS) and the EGS Team, as specified in Section 3 of Schedule 1A of the Second Amendment to the MSA, until the Termination Date.</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27, 2025, the Company received formal notification from AGC, referencing Work Statement 1 dated December 24, 2024, confirming that the Ramp-up phase - which began on February 1, 2025 - has been successfully completed. AGC stated that both contractual conditions have been met: the Authorization from AIFA to use the Exclusive Suite was received on July 3, 2025, and the training of the personnel assigned to the Dedicated Team has been finalized. Consequently, the Routine Phase is set to commence on September 1, 2025.</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2025, we filed a civil action before the Court of Milan against AGC Biologics S.p.A., seeking a declaratory judgment of nullity and/or invalidity, with retroactive effect, of the Master Service Agreement and related amendments executed on December 24, 2024. The claim is based on the failure of an essential underlying assumption - the availability of a minimum number of patients required to initiate and sustain clinical production activities. As a result, we believe that the manufacturing agreement with AGC is no longer operative; however, we proposed to continue working with AGC based on the availability of production slots, as in the previous agreement.</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proceedings are ongoing, the first hearing was on March 11, 2026, and the next hearing is scheduled for June 3, 2026. Please refer to Note 19 - Subsequent events.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4"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U.S. and in foreign countries and jurisdictions, along with compliance with applicable statutes and regulations and other regulatory authorities, require the expenditure of substantial time and financial resources.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Approval and Regulation of Drugs in the United States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drug products are regulated by the FDA under the Federal Food, Drug, and Cosmetic Act (the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the U.S., all cell therapy product candidates are regulated by the FDA as biologics. Biologics require the submission of a BLA and approval by the FDA before being marketed in the U.S. Manufacturers of biologics may also be subject to state and local regulation.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steps required before a biologic may be marketed in the U.S. generally include:</w:t>
      </w:r>
    </w:p>
    <w:p>
      <w:pPr>
        <w:spacing w:after="0" w:line="220" w:lineRule="exact"/>
        <w:rPr>
          <w:sz w:val="20"/>
          <w:szCs w:val="20"/>
          <w:color w:val="auto"/>
        </w:rPr>
      </w:pPr>
    </w:p>
    <w:p>
      <w:pPr>
        <w:ind w:left="1280" w:hanging="633"/>
        <w:spacing w:after="0" w:line="277" w:lineRule="auto"/>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application (“IND”), which must become effective before human clinical trials may commence;</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protocol and related documentation by an independent IRB or ethics committee at each clinical trial site before each trial may be initiated;</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80"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7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accept and file the application;</w:t>
      </w:r>
    </w:p>
    <w:p>
      <w:pPr>
        <w:spacing w:after="0" w:line="21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83" w:name="page84"/>
    <w:bookmarkEnd w:id="83"/>
    <w:p>
      <w:pPr>
        <w:ind w:left="1280" w:hanging="633"/>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 clinical trial sites that generated the data in support of the BLA in accordance with any applicable expedited programs or designations;</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to permit commercial marketing of the product for particular indications for use in the U.S.;</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the IND Process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preclinical studies must comply with federal regulations and requirements, including, as applicable, GLP and the Animal Welfare Act.</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approval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the terms authorized by the FDA.</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84" w:name="page85"/>
    <w:bookmarkEnd w:id="84"/>
    <w:p>
      <w:pPr>
        <w:spacing w:after="0" w:line="277" w:lineRule="auto"/>
        <w:rPr>
          <w:sz w:val="20"/>
          <w:szCs w:val="20"/>
          <w:color w:val="auto"/>
        </w:rPr>
      </w:pPr>
      <w:r>
        <w:rPr>
          <w:rFonts w:ascii="Times New Roman" w:cs="Times New Roman" w:eastAsia="Times New Roman" w:hAnsi="Times New Roman"/>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61" w:lineRule="exact"/>
        <w:rPr>
          <w:sz w:val="20"/>
          <w:szCs w:val="20"/>
          <w:color w:val="auto"/>
        </w:rPr>
      </w:pPr>
    </w:p>
    <w:p>
      <w:pPr>
        <w:jc w:val="both"/>
        <w:ind w:left="1280" w:hanging="633"/>
        <w:spacing w:after="0" w:line="253"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Phase 1 involves the initial introduction of a product candidate into humans. Phase 1 clinical trials are typically conducted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185" w:lineRule="exact"/>
        <w:rPr>
          <w:rFonts w:ascii="Times New Roman" w:cs="Times New Roman" w:eastAsia="Times New Roman" w:hAnsi="Times New Roman"/>
          <w:sz w:val="18"/>
          <w:szCs w:val="18"/>
          <w:color w:val="auto"/>
        </w:rPr>
      </w:pPr>
    </w:p>
    <w:p>
      <w:pPr>
        <w:jc w:val="both"/>
        <w:ind w:left="1280" w:hanging="633"/>
        <w:spacing w:after="0" w:line="258"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Phase 2 includes the controlled clinical trials conducted to obtain initial evidence of effectiveness of the product candidate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77" w:lineRule="exact"/>
        <w:rPr>
          <w:rFonts w:ascii="Times New Roman" w:cs="Times New Roman" w:eastAsia="Times New Roman" w:hAnsi="Times New Roman"/>
          <w:sz w:val="18"/>
          <w:szCs w:val="18"/>
          <w:color w:val="auto"/>
        </w:rPr>
      </w:pPr>
    </w:p>
    <w:p>
      <w:pPr>
        <w:jc w:val="both"/>
        <w:ind w:left="1280" w:hanging="633"/>
        <w:spacing w:after="0" w:line="253"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Phase 3 clinical trials are clinical trials conducted in an expanded patient population at geographically dispersed clinical trial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is included in IND applications and assessed by the FDA. Expansion cohort trials can potentially bring efficiency to biological product development and reduce developmental costs and time.</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the withdrawal of approval for products.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85" w:name="page86"/>
    <w:bookmarkEnd w:id="85"/>
    <w:p>
      <w:pPr>
        <w:jc w:val="both"/>
        <w:spacing w:after="0" w:line="252" w:lineRule="auto"/>
        <w:rPr>
          <w:sz w:val="20"/>
          <w:szCs w:val="20"/>
          <w:color w:val="auto"/>
        </w:rPr>
      </w:pPr>
      <w:r>
        <w:rPr>
          <w:rFonts w:ascii="Times New Roman" w:cs="Times New Roman" w:eastAsia="Times New Roman" w:hAnsi="Times New Roman"/>
          <w:sz w:val="18"/>
          <w:szCs w:val="18"/>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In addition, there are requirements for the registration of certain clinical trials of product candidates on public registries, such as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and the submission of certain information pertaining to these trials, including clinical trial results, after trial completion.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Biologics License Applications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obtain approval to market a biologic in the U.S.,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ensure compliance with GCP requirements.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6" w:name="page87"/>
    <w:bookmarkEnd w:id="86"/>
    <w:p>
      <w:pPr>
        <w:jc w:val="both"/>
        <w:spacing w:after="0" w:line="249"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biological safety, purity, or potency, which can be costly.</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those from new legislation, may be established that could delay or prevent regulatory approval of our product candidates under development or affect our ability to maintain product approvals we have obtained.</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may grant orphan drug designation to biologics intended to treat a rare disease or condition that affects fewer than 200,000 individuals in the U.S. or a disease or condition that affects 200,000 or more individuals in the U.S. but there is no reasonable expectation that the cost of developing and making the biologic would be recovered from sales in the U.S.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7" w:name="page88"/>
    <w:bookmarkEnd w:id="87"/>
    <w:p>
      <w:pPr>
        <w:jc w:val="both"/>
        <w:spacing w:after="0" w:line="249" w:lineRule="auto"/>
        <w:rPr>
          <w:sz w:val="20"/>
          <w:szCs w:val="20"/>
          <w:color w:val="auto"/>
        </w:rPr>
      </w:pPr>
      <w:r>
        <w:rPr>
          <w:rFonts w:ascii="Times New Roman" w:cs="Times New Roman" w:eastAsia="Times New Roman" w:hAnsi="Times New Roman"/>
          <w:sz w:val="18"/>
          <w:szCs w:val="18"/>
          <w:color w:val="auto"/>
        </w:rPr>
        <w:t>In the EEA, the criteria for designating an “orphan medicinal product” are similar in principle to those in the U.S.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an orphan medicinal product designation also entitles a party to financial incentives such as a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nor the European Commission is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 years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based on available evidence that the product is sufficiently profitable not to justify maintenance of market exclusivity.</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Expedited Programs in the United States and Other Jurisdictions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fast-track designation if it is intended for the treatment of a serious or life-threatening condition and demonstrates the potential to address unmet medical needs for such condition. Fast-track designation applies to the combination of the product and the specific indication for which it is being studied. The sponsor of a new drug or biologic may request the FDA to designate the drug or biologic as a fast-track product at any time during the clinical development of the product. With a fast-track designation, the sponsor may be eligible for more frequent opportunities to obtain the FDA’s feedback. Another benefit of fast-track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fast-track designation, the designation can be rescinded and provides no assurance that a product will be reviewed or approved more expeditiously than would otherwise have been the case, or that the product will be approved at all.</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 breakthrough therapy designation, the designation can be rescinded and provides no assurance that a product will be reviewed or approved more expeditiously than would otherwise have been the case, or that the product will be approved at all.</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based on adequate and well-controlled clinical trials establishing that the product has an effect on a surrogate endpoint that is reasonably likely to predict a clinical benefit, or based on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8" w:name="page89"/>
    <w:bookmarkEnd w:id="88"/>
    <w:p>
      <w:pPr>
        <w:jc w:val="both"/>
        <w:spacing w:after="0" w:line="254" w:lineRule="auto"/>
        <w:rPr>
          <w:sz w:val="20"/>
          <w:szCs w:val="20"/>
          <w:color w:val="auto"/>
        </w:rPr>
      </w:pPr>
      <w:r>
        <w:rPr>
          <w:rFonts w:ascii="Times New Roman" w:cs="Times New Roman" w:eastAsia="Times New Roman" w:hAnsi="Times New Roman"/>
          <w:sz w:val="18"/>
          <w:szCs w:val="18"/>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21st Century Cures Act, a drug is eligible for regenerative medicine advanced therapy (“RMAT”) designation if (i) the drug is a regenerative medicine therapy, which is defined by the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includes all the benefits of the fast track and breakthrough therapy designation programs, including early interactions with the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 -by-case basis for individual patients, intermediate-size patient populations, and larger populations for use of the drug under a treatment protocol or Treatment IND Application.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89" w:name="page90"/>
    <w:bookmarkEnd w:id="89"/>
    <w:p>
      <w:pPr>
        <w:jc w:val="both"/>
        <w:spacing w:after="0" w:line="251" w:lineRule="auto"/>
        <w:rPr>
          <w:sz w:val="20"/>
          <w:szCs w:val="20"/>
          <w:color w:val="auto"/>
        </w:rPr>
      </w:pPr>
      <w:r>
        <w:rPr>
          <w:rFonts w:ascii="Times New Roman" w:cs="Times New Roman" w:eastAsia="Times New Roman" w:hAnsi="Times New Roman"/>
          <w:sz w:val="18"/>
          <w:szCs w:val="18"/>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a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U.S. market exclusivity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90" w:name="page91"/>
    <w:bookmarkEnd w:id="90"/>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may also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products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Extension</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terms for one of our currently owned or licensed patents to add patent life beyond its current expiration date, depending on the expected length of the clinical trials and other factors involved in the filing of the relevant BLA.</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Many other countries also provide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Health Care Laws and Regulations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81" w:lineRule="exact"/>
        <w:rPr>
          <w:sz w:val="20"/>
          <w:szCs w:val="20"/>
          <w:color w:val="auto"/>
        </w:rPr>
      </w:pPr>
    </w:p>
    <w:p>
      <w:pPr>
        <w:jc w:val="both"/>
        <w:ind w:left="1280" w:hanging="633"/>
        <w:spacing w:after="0" w:line="257"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80" w:lineRule="exact"/>
        <w:rPr>
          <w:rFonts w:ascii="Times New Roman" w:cs="Times New Roman" w:eastAsia="Times New Roman" w:hAnsi="Times New Roman"/>
          <w:sz w:val="18"/>
          <w:szCs w:val="18"/>
          <w:color w:val="auto"/>
        </w:rPr>
      </w:pPr>
    </w:p>
    <w:p>
      <w:pPr>
        <w:jc w:val="both"/>
        <w:ind w:left="1280" w:hanging="633"/>
        <w:spacing w:after="0" w:line="257"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80"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76"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20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62" w:lineRule="exact"/>
        <w:rPr>
          <w:rFonts w:ascii="Times New Roman" w:cs="Times New Roman" w:eastAsia="Times New Roman" w:hAnsi="Times New Roman"/>
          <w:sz w:val="18"/>
          <w:szCs w:val="18"/>
          <w:color w:val="auto"/>
        </w:rPr>
      </w:pPr>
    </w:p>
    <w:p>
      <w:pPr>
        <w:ind w:left="1280" w:right="20" w:hanging="633"/>
        <w:spacing w:after="0" w:line="277"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4"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(“CMS”) within the U.S.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85"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92" w:name="page93"/>
    <w:bookmarkEnd w:id="92"/>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U.S.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containment of health care costs has also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2010, the U.S. Congress enacted the PPACA, which, among other things, included changes to the coverage and payment for drug products under government health care programs. Among other things, the PPACA imposed an annual, nondeductible fee on manufacturers of branded prescription drugs and biologics, expanded Medicaid eligibility and manufacturers' Medicaid rebate obligations, expanded the types of entities eligible for the 340B drug discount program, and established the Medicare Part D coverage gap discount program requiring manufacturers to provide point-of-sale discounts on applicable brand drugs to eligible beneficiaries. Since its enactment, the PPACA has been the subject of numerous legal challenges and legislative amendments, including the repeal of the individual insurance mandate and changes to various PPACA-mandated fees and assessments.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4" w:right="339" w:bottom="1440" w:gutter="0" w:footer="0" w:header="0"/>
        </w:sectPr>
      </w:pPr>
    </w:p>
    <w:bookmarkStart w:id="93" w:name="page94"/>
    <w:bookmarkEnd w:id="93"/>
    <w:p>
      <w:pPr>
        <w:jc w:val="both"/>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Several healthcare reform proposals culminated in the enactment of the Inflation Reduction Act of 2022 (the “IRA”) in August 2022, which, among other things, requires the U.S. Department of Health and Human Services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single-source drugs) are eligible to be selected by CMS for negotiation, with the negotiated price taking effect two years after the selection year. For 2026, the first year in which negotiated prices become effective, CMS selected 10 high-cost Medicare Part D products in 2023, negotiations took place in 2024, and the negotiated maximum fair price for each product has been announced. In addition, CMS has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will be excluded from the IRA’s price negotiation requirements, but will lose that exclusion if it receives designations for more than one rare disease or condition, or if it is approved for an indication that is not within that single designated rare disease or condition, unless such additional designation or such disqualifying approvals are withdrawn by the time CMS evaluates the drug for selection for negotiation.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IRA also imposes rebates on Medicare Part B and Part D drugs whose prices have increased at a rate greater than the rate of inflation, and in November 2024, CMS finalized regulations for the Medicare Part B and Part D inflation rebates. Manufacturers that fail to comply with the IRA may be subject to various penalties, including significant civil monetary penalties. These provisions have been and may continue to be subject to legal challenges. Thus, while it is unclear how the IRA will be fully implemented, it will likely have a significant impact on the biopharmaceutical industry and the pricing of prescription drug products.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federal administration is pursuing executive and regulatory actions directing the U.S. Department of Health and Human Services to pursue most favored nation (“MFN”) pricing targets for prescription drugs and to evaluate other potential reforms. For example, on December 23, 2025, CMS issued proposed regulations to establish, under the Center for Medicare and Medicaid Innovation, two mandatory MFN demonstration models under Medicare Parts B and D, respectively. If these rules or other MFN pricing rules are finalized, they are likely to reduce prices of at least some drugs in the United States, and even companies that do not market drugs in comparator countries could be indirectly affected if their drugs compete with drugs whose prices were reduced as a result of MFN pricing initiatives.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Europe</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market any medicinal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U.S. have a similar process that requires the submission of a CTA, much like the IND, before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In January 2022, the Clinical Trials Regulation entered into application, harmonizing the submission, assessment, and supervision processes for clinical trials in the E.U.</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94" w:name="page95"/>
    <w:bookmarkEnd w:id="94"/>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Regulations in Italy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it is not yet effective. The currently applicable rule is E.U. Directive 2001/20, as implemented in the various E.U. member countries from time to time through national laws and regulations.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currently conducting or planning Phase 1/2a clinical trials on Temferon in Italy, in accordance with the specific regulations applicable to such early-phase trials. As discussed elsewhere in this report, we are currently conducting our TEM-GBM 001 study on UMGMT-GBM patients, while the TEM-GU study on mRCC patients is under termination as resolved by the board of directors held on January 23, 2026.</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Italian Regulatory Authority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Times New Roman" w:cs="Times New Roman" w:eastAsia="Times New Roman" w:hAnsi="Times New Roman"/>
          <w:sz w:val="18"/>
          <w:szCs w:val="18"/>
          <w:i w:val="1"/>
          <w:iCs w:val="1"/>
          <w:color w:val="auto"/>
        </w:rPr>
        <w:t>Parere Unico</w:t>
      </w:r>
      <w:r>
        <w:rPr>
          <w:rFonts w:ascii="Times New Roman" w:cs="Times New Roman" w:eastAsia="Times New Roman" w:hAnsi="Times New Roman"/>
          <w:sz w:val="18"/>
          <w:szCs w:val="18"/>
          <w:color w:val="auto"/>
        </w:rPr>
        <w:t>, lit. “sole opinion” (“PU”) - and then the IECs of the other participating centers accept or refuse the PU in its entirety (they may seek amendment to the ICF on the basis of local operating circumstances).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Times New Roman" w:cs="Times New Roman" w:eastAsia="Times New Roman" w:hAnsi="Times New Roman"/>
          <w:sz w:val="18"/>
          <w:szCs w:val="18"/>
          <w:i w:val="1"/>
          <w:iCs w:val="1"/>
          <w:color w:val="auto"/>
        </w:rPr>
        <w:t>con riserva</w:t>
      </w:r>
      <w:r>
        <w:rPr>
          <w:rFonts w:ascii="Times New Roman" w:cs="Times New Roman" w:eastAsia="Times New Roman" w:hAnsi="Times New Roman"/>
          <w:sz w:val="18"/>
          <w:szCs w:val="18"/>
          <w:color w:val="auto"/>
        </w:rPr>
        <w:t>”) and can be loaded in advance accordingly, under the assumption that the documents subjected to evaluation - protocol (updated) version, ICF and the rest – coincide exactly.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Marketing Authorization Application for Biologic Medicinal Products</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To obtain regulatory approval to commercialize a new drug in the EEA (comprising the E.U. Member States plus Iceland, Liechtenstein and Norway, we must submit a marketing authorization application).</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95" w:name="page96"/>
    <w:bookmarkEnd w:id="95"/>
    <w:p>
      <w:pPr>
        <w:jc w:val="both"/>
        <w:spacing w:after="0" w:line="250" w:lineRule="auto"/>
        <w:rPr>
          <w:sz w:val="20"/>
          <w:szCs w:val="20"/>
          <w:color w:val="auto"/>
        </w:rPr>
      </w:pPr>
      <w:r>
        <w:rPr>
          <w:rFonts w:ascii="Times New Roman" w:cs="Times New Roman" w:eastAsia="Times New Roman" w:hAnsi="Times New Roman"/>
          <w:sz w:val="18"/>
          <w:szCs w:val="18"/>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Advertising, Promotion and Compliance</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 -label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Kingdom’s medicinal products legislation is still largely based on E.U. legislation, the promotion of prescription-only medicines to the public and the promotion of medicinal products not in compliance with the SmPC are both also prohibited under United Kingdom law.</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96" w:name="page97"/>
    <w:bookmarkEnd w:id="96"/>
    <w:p>
      <w:pPr>
        <w:ind w:left="640"/>
        <w:spacing w:after="0"/>
        <w:rPr>
          <w:sz w:val="20"/>
          <w:szCs w:val="20"/>
          <w:color w:val="auto"/>
        </w:rPr>
      </w:pPr>
      <w:r>
        <w:rPr>
          <w:rFonts w:ascii="Times New Roman" w:cs="Times New Roman" w:eastAsia="Times New Roman" w:hAnsi="Times New Roman"/>
          <w:sz w:val="18"/>
          <w:szCs w:val="18"/>
          <w:i w:val="1"/>
          <w:iCs w:val="1"/>
          <w:color w:val="auto"/>
        </w:rPr>
        <w:t>Regulatory Data Protection in the EEA</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with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Pediatric Studies and Exclusivity</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w:t>
      </w:r>
    </w:p>
    <w:p>
      <w:pPr>
        <w:spacing w:after="0" w:line="5" w:lineRule="exact"/>
        <w:rPr>
          <w:sz w:val="20"/>
          <w:szCs w:val="20"/>
          <w:color w:val="auto"/>
        </w:rPr>
      </w:pPr>
    </w:p>
    <w:p>
      <w:pPr>
        <w:jc w:val="both"/>
        <w:ind w:firstLine="7"/>
        <w:spacing w:after="0" w:line="249" w:lineRule="auto"/>
        <w:tabs>
          <w:tab w:leader="none" w:pos="2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7" w:name="page98"/>
    <w:bookmarkEnd w:id="97"/>
    <w:p>
      <w:pPr>
        <w:ind w:left="640"/>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2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63" w:lineRule="exact"/>
        <w:rPr>
          <w:sz w:val="20"/>
          <w:szCs w:val="20"/>
          <w:color w:val="auto"/>
        </w:rPr>
      </w:pPr>
    </w:p>
    <w:p>
      <w:pPr>
        <w:ind w:left="1280" w:hanging="633"/>
        <w:spacing w:after="0" w:line="277" w:lineRule="auto"/>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162" w:lineRule="exact"/>
        <w:rPr>
          <w:rFonts w:ascii="Times New Roman" w:cs="Times New Roman" w:eastAsia="Times New Roman" w:hAnsi="Times New Roman"/>
          <w:sz w:val="18"/>
          <w:szCs w:val="18"/>
          <w:color w:val="auto"/>
        </w:rPr>
      </w:pPr>
    </w:p>
    <w:p>
      <w:pPr>
        <w:jc w:val="both"/>
        <w:ind w:left="1280" w:hanging="633"/>
        <w:spacing w:after="0" w:line="254" w:lineRule="auto"/>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(“E.U. cGMP”). These requirements include compliance with E.U. cGMP standards when manufacturing medicinal products and APIs, including the manufacture of API outside of the E.U. with the intention of importing the API into the E.U..</w:t>
      </w:r>
    </w:p>
    <w:p>
      <w:pPr>
        <w:spacing w:after="0" w:line="185"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of individuals (natural persons) in the E.U., including personal health data, is governed by the GDPR, which became effective and applicable on May 25, 2018. Since the application of the GDPR, the European data protection law background has been constantly implemented through the activity of the European Data Protection Board (EDPB) and the respective national Supervisory Authorities, concerning the correct interpretation and application of the GDPR, as well as through the ruling of the Court of Justice of the E.U. (CJEU). The GDPR and E.U. Member States’ national data protection legislation, including Italy, is wide-ranging in scope and imposes numerous requirements on companies that process personal data, including requirements relating to the processing of health and other sensitive data. For example, it is essential to obtain consent of the individuals to whom the personal data relates, providing notice to individuals regarding data processing activities, implementing suitable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the United Kingdom, and allows data protection authorities to impose large penalties for violations of the GDPR, including potential fines of up to € 20 million or 4% of annual global revenues, whichever is greater. As regards the transfer of (pseudonymized) personal data to the U.S., the CJEU case C-3111/18, also known as Schrems II, invalidated the European Commission’s adequacy decision for the E.U.-U.S. Privacy Shield Framework, which the majority of U.S. companies relied on to conduct trans-Atlantic trade in compliance with E.U. data protection rules. The decision reinforced the importance of data protection to global commerce and imposed E.U. companies trading with U.S. companies or organizations to rely on the transfer of personal data on other legal basis or appropriate safeguards provided for in the GDPR, such as Standard Contractual Clauses (SCC), Binding Corporate Rules (BCR) or derogations for specific situations. The Privacy Shield Framework has now been replaced by the so-called “Data Privacy Framework E.U.-U.S. (DPF)”, an agreement that entered into force after the adoption of the EU Commission’s adequacy decision of 10 July 2023. US companies that adhere to the DPF are considered compliant with the GDPR requirements and data transfer from the E.U. to the U.S. within this framework is thus considered compliant. In June 2021, the E.U. Commission adopted decisions on the United Kingdom’s adequacy under the E.U.’s GDPR and Law Enforcement Directive (LED). In both cases, the European Commission found the United Kingdom to be adequate. This means that most data can continue to flow from the E.U. and the EEA without the need for additional safeguards. The GDPR also confers a private right of action on data subjects and consumer associations to lodge complaints with supervisory authorities, seek judicial remedies and obtain compensation for damages. Compliance with the GDPR and all relevant E.U. data protection rules will be a rigorous and time-intensive process that may increase our cost of doing business.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8" w:name="page99"/>
    <w:bookmarkEnd w:id="98"/>
    <w:p>
      <w:pPr>
        <w:jc w:val="both"/>
        <w:spacing w:after="0" w:line="277" w:lineRule="auto"/>
        <w:rPr>
          <w:sz w:val="20"/>
          <w:szCs w:val="20"/>
          <w:color w:val="auto"/>
        </w:rPr>
      </w:pPr>
      <w:r>
        <w:rPr>
          <w:rFonts w:ascii="Times New Roman" w:cs="Times New Roman" w:eastAsia="Times New Roman" w:hAnsi="Times New Roman"/>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Compliance with the GDPR and all relevant E.U. data protection rules will be a rigorous and time-intensive process that may increase our cost of doing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Drug Products</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U.S. and abroad. However, patent protection may not afford us with complete protection against competitors who seek to circumvent our patents.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Temferon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Temferon is protected by the following patent families that contain both issued and/or pending patent applications.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April 2025, we filed a PCT international patent application claiming priority to a US provisional application filed in April 2024 relating to methods of treating solid cancers with Temferon in combination with a checkpoint inhibitor. In October 2025, we filed a provisional patent application relating to methods of treating renal cell carcinoma with Temferon in combination with a checkpoint inhibitor. These pending applications are wholly owned by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99" w:name="page100"/>
    <w:bookmarkEnd w:id="99"/>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Focus / Family</w:t>
            </w: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w:t>
            </w:r>
          </w:p>
        </w:tc>
        <w:tc>
          <w:tcPr>
            <w:tcW w:w="22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07"/>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 Vector comprising mi-RNA</w:t>
            </w: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USP 10,000,757*</w:t>
            </w:r>
          </w:p>
        </w:tc>
        <w:tc>
          <w:tcPr>
            <w:tcW w:w="2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EP 2002003 B1</w:t>
            </w:r>
          </w:p>
        </w:tc>
        <w:tc>
          <w:tcPr>
            <w:tcW w:w="2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5/26/2026*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(composition and method of treatment claims)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USP 9,556,438</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4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USP 11,753,643</w:t>
            </w:r>
          </w:p>
        </w:tc>
        <w:tc>
          <w:tcPr>
            <w:tcW w:w="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PCT/IB2006/002266 (WO 2007/000668).</w:t>
            </w: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USSN 18/191,611</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3"/>
        </w:trPr>
        <w:tc>
          <w:tcPr>
            <w:tcW w:w="4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96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 Vector comprising mi-RNA</w:t>
            </w:r>
          </w:p>
        </w:tc>
        <w:tc>
          <w:tcPr>
            <w:tcW w:w="2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USP 10,287,579</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 2424571 B1</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4/30/2030</w:t>
            </w: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(composition and method of treatment claims)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USP 9,951,328</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 20167404.1</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4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USP 11,407,996</w:t>
            </w:r>
          </w:p>
        </w:tc>
        <w:tc>
          <w:tcPr>
            <w:tcW w:w="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PCT/IB2010/001166 (WO / 2010/125471)</w:t>
            </w: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USSN 17/855,135</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w:t>
            </w:r>
          </w:p>
        </w:tc>
        <w:tc>
          <w:tcPr>
            <w:tcW w:w="2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3"/>
        </w:trPr>
        <w:tc>
          <w:tcPr>
            <w:tcW w:w="4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4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EP 3612624 B1</w:t>
            </w: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Type 1 Interferon Gene Therapy</w:t>
            </w:r>
          </w:p>
        </w:tc>
        <w:tc>
          <w:tcPr>
            <w:tcW w:w="2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USSN 16/604,484</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 24202037.8</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4/20/2038**</w:t>
            </w: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 of treatment claims)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PCT/EP2018/060238 (WO 2018/193119)</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20" w:right="4240" w:hanging="6"/>
        <w:spacing w:after="0" w:line="495" w:lineRule="auto"/>
        <w:tabs>
          <w:tab w:leader="none" w:pos="1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 expiration for certain U.S. patents pursuant to patent term adjustment (35 U.S.C. §154(b)). ** Application pending, anticipated expiration based on 20-year patent term.</w:t>
      </w:r>
    </w:p>
    <w:p>
      <w:pPr>
        <w:jc w:val="both"/>
        <w:spacing w:after="0" w:line="252" w:lineRule="auto"/>
        <w:rPr>
          <w:sz w:val="20"/>
          <w:szCs w:val="20"/>
          <w:color w:val="auto"/>
        </w:rPr>
      </w:pPr>
      <w:r>
        <w:rPr>
          <w:rFonts w:ascii="Times New Roman" w:cs="Times New Roman" w:eastAsia="Times New Roman" w:hAnsi="Times New Roman"/>
          <w:sz w:val="18"/>
          <w:szCs w:val="18"/>
          <w:color w:val="auto"/>
        </w:rPr>
        <w:t>Our technology incorporates the use of a lentiviral vector (“LVV”) that combines a therapeutic transgene sequence, or payload, with our proprietary platform. Our proprietary platform consists of (i) the Tie-2 promoter, which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[We retain the option to exclusively license the PCT/EP2018/060238 and PCT/EP2024/057093 patent families (which we have not yet exercised), along with any improvements, for additional indications (fields of use) and other product candidates.]</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to patents and patent applications that we own or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Collaboration / Licensing</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License Agreement with Ospedale San Raffaele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entered into an amended and restated license agreement (the “ARLA”) with OSR in March 2023.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effectiveness of the ARLA was subject to Italy’s Law Decree No. 21 of March 15, 2012 (i.e., the Italian </w:t>
      </w:r>
      <w:r>
        <w:rPr>
          <w:rFonts w:ascii="Times New Roman" w:cs="Times New Roman" w:eastAsia="Times New Roman" w:hAnsi="Times New Roman"/>
          <w:sz w:val="18"/>
          <w:szCs w:val="18"/>
          <w:i w:val="1"/>
          <w:iCs w:val="1"/>
          <w:color w:val="auto"/>
        </w:rPr>
        <w:t>Golden Power</w:t>
      </w:r>
      <w:r>
        <w:rPr>
          <w:rFonts w:ascii="Times New Roman" w:cs="Times New Roman" w:eastAsia="Times New Roman" w:hAnsi="Times New Roman"/>
          <w:sz w:val="18"/>
          <w:szCs w:val="18"/>
          <w:color w:val="auto"/>
        </w:rPr>
        <w:t xml:space="preserve"> regulations), as subsequently amended and supplemented, and would not become effective until the applicable Italian governmental authority consented to the ARLA. On April 20, 2023, such consent was received, and the ARLA became effective.</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terms of the ARLA, OSR has granted us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 HSPC gene transfer with respect to (a) any solid cancer indication (including glioblastoma and solid liver cancer) and/or (b) any lympho-hematopoietic indication for which we exercise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us regarding the Lentigen know-how are non-exclusive and cannot be sublicensed due to a pre-existing nonexclusive sublicense to these rights between OSR and GlaxoSmithKline Intellectual Property Development Limited.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ARLA, we have an exclusive option exercisable until April 20, 2026, to any OSR product improvements at no additional cost, which could be useful for the development and/or commercialization of licensed products in the field of use. We also have an exclusive option exercisable until April 20, 2026 (the “LHI Option Period”) to any lympho-hematopoietic indication(s) to be included as part of the field of use, on an indication-by-indication basis, subject to the payment of specified option fees and milestone payments:</w:t>
      </w:r>
    </w:p>
    <w:p>
      <w:pPr>
        <w:spacing w:after="0" w:line="181" w:lineRule="exact"/>
        <w:rPr>
          <w:sz w:val="20"/>
          <w:szCs w:val="20"/>
          <w:color w:val="auto"/>
        </w:rPr>
      </w:pPr>
    </w:p>
    <w:p>
      <w:pPr>
        <w:ind w:left="640" w:hanging="633"/>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for the first lympho-hematopoietic indication;</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for the second lympho-hematopoietic indication; and</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for the third lympho-hematopoietic indication.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option fee is due for the fourth lympho-hematopoietic indication and any subsequent lympho-hematopoietic indications.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We have the right to extend the LHI Option Period twice for additional 12-month periods, subject to the payment of specified extension fees.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effective date of the ARLA, we paid OSR an upfront fee in the amount equal to €250,000 pursuant to the Original OSR License Agreement.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ARLA, as consideration, we agreed to pay OSR additional license fees equal to up to €875,000 in total, which were paid on April 20, 2023 for €225,000, on December 31, 2023 for €150,000, and the remaining portion of €500,000 are to be paid upon our entering into a sublicense agreement with a third party sublicensee (pursuant to which we are entitled to receive an upfront payment in an amount exceeding a specified threshold from such sublicensee) during the period between September 30, 2022 and April 20, 2028 (with most of these additional license fees being triggered upon our entering into such a sublicense agreement). In addition, we have agreed to pay OSR royalties on a single-digit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market country, MAA approval in the U.S., the first commercial sale of a licensed product in the U.S. and certain E.U. countries, and achievement of certain net sales levels.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ARLA, we have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We are also obligated to carry out our development activities using qualified and experienced professionals and a sufficient level of resources. In particular, consistent with the terms of the Original OSR License Agreement, the ARLA continues to require us to invest (a) at least €5,425,000 with respect to the development of the licensed products, and (b) at least €2,420,000 with respect to the manufacturing of such licensed products (subject to certain adjustments).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OSR controls the enforcement of the patents and know-how rights, at its own expense. In the event that OSR fails to file suit to enforce such rights after notice from us, we have the right to enforce the licensed technology within the field of use. Both we and OSR must consent to settlement of any such litigation, and all monies recovered will be shared, after reimbursement for costs, in relation to the damage suffered by each party, or failing a bona fide agreement between us and OSR, on a 50% - 50% basis.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ARLA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payments, additional license fees, sublicensing income or milestone payments within 30 days of due dates for each. In addition, OSR may terminate (with a 60-business-day prior written notice) our rights as to certain fields of use for our failure to achieve certain development milestones for specified licensed products within certain time periods, which may be subject to extension.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Amendment to Amended and Restated License Agreement with OSR</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28, 2023, we entered into an amendment to the ARLA, whereby we and OSR agreed that we had fulfilled the obligations as set forth in the ARLA specific to Candidate Products 1 pursuant to the CP1 SRA (as defined below). Furthermore, the amendment provides that we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sponsored research agreement with regards to Candidate Products 2, OSR granted us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our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us. We did not exercise this option, and we formally notified OSR prior to its expiration that we were waiving such right.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Sponsored Research Agreement</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2023, we entered into a Sponsored Research Agreement (“CP1 SRA”), which was contemplated under the ARLA, pursuant to which we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us and provide an estimate for completing the research.</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period from the date of execution of the CP1 SRA until six months from the last report delivered to us under the CP1 SRA (the “CP1 Option Period”), we have the exclusive option to include certain intellectual property related to Candidate Products 1 and Candidate Products 1 as part of the licensed patents and licensed products under the ARLA. To exercise this option, we must pay an option exercise fee. We also have the right to extend the CP1 Option Period twice for an additional 24-month period. The extension requires payment of an extension fee for each 24-month extension.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Know-How License Agreement with Fondazione Telethon</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At December 31, 2024, there were no royalty payments due. The parties may terminate the agreement in the event the other party breaches its obligations therein, which termination shall become effective sixty (60) business days following written notice thereof to the breaching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2025, we filed a civil action before the Court of Milan against AGC Biologics S.p.A., seeking a declaratory judgment of nullity and/or termination, with retroactive effect, of the Master Service Agreement and related amendments executed on December 24, 2024. The claim is based on the failure of an essential underlying assumption - the availability of a minimum number of patients required to initiate and sustain clinical production activities. As a result, we believe that the manufacturing agreement with AGC is no longer operative; however, we have proposed to continue working with AGC based on the availability of production slots, as in the previous agreement. The proceedings are ongoing. The first hearing was scheduled for March 11, 2026, and the next hearing is scheduled for June 3, 2026 (See Note 19. Subsequent events for more details).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January 2026, we commenced legal proceedings before the Court of Milan against Fondazione Enea e Tech Biomedical, with which we previously entered into a €20 million convertible bond loan agreement in March 2025. Under the convertible bond loan agreement, we have received, to date, only €7.5 million. The lawsuit seeks, inter alia, to have the convertible bond loan agreement declared null and void and to recover damages. The basis of our claim is that Fondazione Enea e Tech Biomedical, which entered into a memorandum of understanding in 2022 and later (through two different term sheets) postponed signing of the convertible bond loan agreement until March 2025 – at which time it also changed the amount, number of installments, and other loan terms – acted in bad faith and rendered the convertible bond loan agreement void for lack of cause. The proceedings are ongoing (See Note 19. Subsequent events for more details).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Science S.p.A. owns 100% of Genenta Science,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151130</wp:posOffset>
            </wp:positionV>
            <wp:extent cx="2075815" cy="20929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75815" cy="209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Plants, Property and Equipment</w:t>
      </w:r>
    </w:p>
    <w:p>
      <w:pPr>
        <w:spacing w:after="0" w:line="2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corporate headquarters were located in Milan, Via Olgettina 58 within OSR - San Raffaele Hospital, Italy, where we lease approximately 51 square meters of office space (three (3) offices). The lease commenced in January 2020 and had a six (6) year initial term. It expired on December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2025. Please refer to Note 19. Subsequent events, for further details. Our registered office changed on January 27, 2026, to Via dell’Annunciata, 31, 20121, Milan. For further details, please refer to the section entitled “A. History and Development of the Company.” We believe that our existing facilities are adequate for our near-term needs, and we believe that suitable additional or alternative office will be available as required in the future on commercially reasonable terms.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included in this Annual Report beginning on page F-1. The following discussion and analysis contain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engaged in the development of hematopoietic stem cell gene therapies for the treatment of solid tumors, and we are embarking on a strategic transformation to evolve into a next-generation strategic industrial consolidator focused on acquiring privately held businesses operating in national-security regulated sectors contemplated by the Italian “Golden Power” legislation. “Golden Power” is Italy’s investment screening framework — broadly comparable to CFIUS in the United States, the IEF regime in France, and the United Kingdom’s NSI Act — and covers strategic domains such as biotechnology, biosecurity, defense, cybersecurity, AI-driven intelligence, aerospace, quantum technologies, secure communications, and critical infrastructure. We are targeting majority ownership in companies with established operating profitability, typically generating up to approximately €5 million in EBITDA, which will eventually be consolidated into our financial statements. We will only target companies where we can control the company by owning a majority (i.e., more than 50%) of the company. Historically, we developed a novel biologic platform which involves the </w:t>
      </w:r>
      <w:r>
        <w:rPr>
          <w:rFonts w:ascii="Times New Roman" w:cs="Times New Roman" w:eastAsia="Times New Roman" w:hAnsi="Times New Roman"/>
          <w:sz w:val="18"/>
          <w:szCs w:val="18"/>
          <w:i w:val="1"/>
          <w:iCs w:val="1"/>
          <w:color w:val="auto"/>
        </w:rPr>
        <w:t xml:space="preserve">ex-vivo </w:t>
      </w:r>
      <w:r>
        <w:rPr>
          <w:rFonts w:ascii="Times New Roman" w:cs="Times New Roman" w:eastAsia="Times New Roman" w:hAnsi="Times New Roman"/>
          <w:sz w:val="18"/>
          <w:szCs w:val="18"/>
          <w:color w:val="auto"/>
        </w:rPr>
        <w:t>gene transfer of a therapeutic candidate into autologous hematopoietic stem/progenitor cells (“HSPCs”) to deliver immunomodulatory molecules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to the tumor by infiltrating monocytes/macrophages (Tie2 Expressing Monocytes or TEMs). Our biotechnology is designed to turn TEMs, which normally have an affinity for and travel to tumors, into a “Trojan Horse” to counteract cancer progression and prevent tumor relapse. Because our technology is not target-dependent, we believe it can be used for treatment across a broad variety of cancers. As we move forward, we intend to pursue a value-creation strategy by acquiring targets at private-market valuations and integrating these companies. Through this integration, we will seek to enhance these businesses through operational upgrades, institutional-grade governance, and improved financial visibility. In connection with the extension of our corporate purpose, we may reconsider a corporate name change and a new Nasdaq ticker symbol in the future. The adoption of a new corporate name will be subject to approval by our shareholders.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04" w:name="page105"/>
    <w:bookmarkEnd w:id="104"/>
    <w:p>
      <w:pPr>
        <w:jc w:val="both"/>
        <w:spacing w:after="0" w:line="254" w:lineRule="auto"/>
        <w:rPr>
          <w:sz w:val="20"/>
          <w:szCs w:val="20"/>
          <w:color w:val="auto"/>
        </w:rPr>
      </w:pPr>
      <w:r>
        <w:rPr>
          <w:rFonts w:ascii="Times New Roman" w:cs="Times New Roman" w:eastAsia="Times New Roman" w:hAnsi="Times New Roman"/>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and convertible debt securities, which through December 31, 2025, aggregated gross cash proceeds of approximately €82.4 million.</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or on our ability to successfully execute our strategic transformation into a next-generation industrial consolidator. Our net losses for the years ended December 31, 2025, 2024, and 2023 were approximately €6.5 million, €8.9 million, and €11.6 million, respectively. At December 31, 2025, we had an accumulated deficit of approximately €62.6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combined with our acquisition of privately held businesses operating in national security-regulated sectors. In addition, if we eventually obtain marketing approval for any of our product candidates, we expect to incur significant commercialization expenses related to product manufacturing, marketing, sales, and distribution, if we are unable to attract a strategic partner with those capabilities. We may also incur expenses in connection with the in-licensing or acquisition of additional product candidates. Furthermore, we expect to continue incurring additional costs associated with operating as a public company, including significant legal, accounting, investor relations, compliance, and other expenses.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result, for our long-term strategy, we may need substantial additional funding to support our continuing operations and pursue our growth strategy, unless our strategic acquisitions, all of which are contemplated to have positive EBITDA, can support such operations. Until we can generate significant revenue from product sales or acquisition related cash flows, if ever, we expect to finance our operations with proceeds from outside sources, with most of such proceeds to be derived from sales of equity, debt and convertible securities in public offerings and private placements, including the net proceeds from our initial public offering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mainly due to the numerous risks and uncertainties associated with product development, acquisition strategy,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approximately €5.5 million and marketable securities of approximately €22.6 million. Our existing cash and cash equivalents as of December 31, 2025, will enable us to fund our operating expenses and capital expenditure requirements at least until December 2027. Although we are prudent with our cash reserves, and are focused on long-term shareholder value, we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have not generated any revenue since inception and do not expect to generate any revenue from the sale of products until we obtain regulatory approval of, and commercialize, our product candidate(s). We may begin to generate revenue from acquisition targets once we own more than 20% of the acquired company (i.e., through a partial consolidation) or once we own more than 50% of the acquired company (i.e., through a full consolidation).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Our current operating expenses consist of two components: research and development expenses; and, general and administrative expenses. Going forward, we intend to charge some of our general and administrative expenses to our acquisition companies for services provided.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In our biotech sector, we expense research and development costs as incurred. These expenses consist of costs incurred in connection with the development of our product candidates, including:</w:t>
      </w:r>
    </w:p>
    <w:p>
      <w:pPr>
        <w:spacing w:after="0" w:line="163" w:lineRule="exact"/>
        <w:rPr>
          <w:sz w:val="20"/>
          <w:szCs w:val="20"/>
          <w:color w:val="auto"/>
        </w:rPr>
      </w:pPr>
    </w:p>
    <w:p>
      <w:pPr>
        <w:ind w:left="1280" w:hanging="633"/>
        <w:spacing w:after="0"/>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incurred in connection with our license agreements;</w:t>
      </w:r>
    </w:p>
    <w:p>
      <w:pPr>
        <w:spacing w:after="0" w:line="219"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contract manufacturing organizations (“CMOs”), as well as investigative sites and consultants that conduct our clinical trials, preclinical studies, and other scientific development services;</w:t>
      </w:r>
    </w:p>
    <w:p>
      <w:pPr>
        <w:spacing w:after="0" w:line="162" w:lineRule="exact"/>
        <w:rPr>
          <w:rFonts w:ascii="Times New Roman" w:cs="Times New Roman" w:eastAsia="Times New Roman" w:hAnsi="Times New Roman"/>
          <w:sz w:val="18"/>
          <w:szCs w:val="18"/>
          <w:color w:val="auto"/>
        </w:rPr>
      </w:pPr>
    </w:p>
    <w:p>
      <w:pPr>
        <w:ind w:left="1280" w:hanging="633"/>
        <w:spacing w:after="0" w:line="277"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89" w:lineRule="exact"/>
        <w:rPr>
          <w:rFonts w:ascii="Times New Roman" w:cs="Times New Roman" w:eastAsia="Times New Roman" w:hAnsi="Times New Roman"/>
          <w:sz w:val="18"/>
          <w:szCs w:val="18"/>
          <w:color w:val="auto"/>
        </w:rPr>
      </w:pPr>
    </w:p>
    <w:p>
      <w:pPr>
        <w:jc w:val="both"/>
        <w:ind w:left="1280" w:hanging="633"/>
        <w:spacing w:after="0" w:line="262" w:lineRule="auto"/>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7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costs, depreciation, and other expenses, which include rent and utilities.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currently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to manage our preclinical development, process development, manufacturing, and clinical development activities. These employees work across programs, and therefore, we do not track their costs by program. We elected to present the research and development expenditure net of research and development tax credit benefit in the Consolidated Statements of Operations and Comprehensive Loss. However, not all our research and development expenses are allocated by program:</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07"/>
        </w:trPr>
        <w:tc>
          <w:tcPr>
            <w:tcW w:w="5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(in Euros)</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TEM-GBM Phase 1</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1,175,026</w:t>
            </w:r>
          </w:p>
        </w:tc>
        <w:tc>
          <w:tcPr>
            <w:tcW w:w="2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1,331,166</w:t>
            </w:r>
          </w:p>
        </w:tc>
      </w:tr>
      <w:tr>
        <w:trPr>
          <w:trHeight w:val="21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TEM-GBM Phase 2</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10,766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TEM-MM</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TEM-LT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TEM-GU Phase 1</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953,794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costs: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(including share-based compensation)</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1,113,489</w:t>
            </w:r>
          </w:p>
        </w:tc>
      </w:tr>
      <w:tr>
        <w:trPr>
          <w:trHeight w:val="21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Consultants and other third party</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412,229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305,289</w:t>
            </w:r>
          </w:p>
        </w:tc>
      </w:tr>
      <w:tr>
        <w:trPr>
          <w:trHeight w:val="21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Materials &amp; supplies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783,880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3,639,920</w:t>
            </w:r>
          </w:p>
        </w:tc>
      </w:tr>
      <w:tr>
        <w:trPr>
          <w:trHeight w:val="21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Travel &amp; entertainment</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17,976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29,137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44,242</w:t>
            </w:r>
          </w:p>
        </w:tc>
      </w:tr>
      <w:tr>
        <w:trPr>
          <w:trHeight w:val="227"/>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40,335</w:t>
            </w:r>
          </w:p>
        </w:tc>
      </w:tr>
      <w:tr>
        <w:trPr>
          <w:trHeight w:val="22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Research and development activities are central to our historical and current business model. Product candidates in later stages of clinical development generally have higher development costs than those in earlier stages of clinical development, primarily due to the increased size and duration of later-stage clinical trials. Our research and development efforts may result in significant expenses over time, including costs associated with personnel, clinical activities, contractors, and facilities. We could also incur additional obligations, such as milestone or royalty payments, under existing or future license agreements related to our product candidates. We are actively seeking a strategic partner to assist us with our future development efforts. There can be no assurance that we will identify a strategic partner, or that the strategic partner will offer terms favorable to us to continue the development of Temferon. If we do not find such a partner, we may not be able to continue developing Temferon toward commercialization.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06" w:name="page107"/>
    <w:bookmarkEnd w:id="106"/>
    <w:p>
      <w:pPr>
        <w:jc w:val="both"/>
        <w:spacing w:after="0" w:line="257" w:lineRule="auto"/>
        <w:rPr>
          <w:sz w:val="20"/>
          <w:szCs w:val="20"/>
          <w:color w:val="auto"/>
        </w:rPr>
      </w:pPr>
      <w:r>
        <w:rPr>
          <w:rFonts w:ascii="Times New Roman" w:cs="Times New Roman" w:eastAsia="Times New Roman" w:hAnsi="Times New Roman"/>
          <w:sz w:val="18"/>
          <w:szCs w:val="18"/>
          <w:color w:val="auto"/>
        </w:rPr>
        <w:t>[Starting from 2023, we implemented a new management accounting system, enabling the division of expenses by project, allowing for a more precise allocation of direct costs, including manufacturing costs, to the respective projects. This process has consequently led to a reduction in the balance of manufacturing costs that are not specifically allocated to any project but are incurred for the general benefit of all ongoing research and development activities, as shown in the table above.]</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research and development expenses decreased in 2025, compared to 2024, due to several factors as explained in the section “Results of Operations - </w:t>
      </w:r>
      <w:r>
        <w:rPr>
          <w:rFonts w:ascii="Times New Roman" w:cs="Times New Roman" w:eastAsia="Times New Roman" w:hAnsi="Times New Roman"/>
          <w:sz w:val="18"/>
          <w:szCs w:val="18"/>
          <w:i w:val="1"/>
          <w:iCs w:val="1"/>
          <w:color w:val="auto"/>
        </w:rPr>
        <w:t>Comparison of Year Ended December 31, 2025 to Year Ended December 31, 2024</w:t>
      </w:r>
      <w:r>
        <w:rPr>
          <w:rFonts w:ascii="Times New Roman" w:cs="Times New Roman" w:eastAsia="Times New Roman" w:hAnsi="Times New Roman"/>
          <w:sz w:val="18"/>
          <w:szCs w:val="18"/>
          <w:color w:val="auto"/>
        </w:rPr>
        <w:t>,” but we may incur increased research and development expenses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several years, depending on the timing and scope of our ongoing and planned clinical and preclinical activities, including any potential expansion of patient enrollment in our clinical trials. Such increases could also result from higher personnel-related costs, including share-based compensation, contractor expenses, and facilities costs, as we continue to evaluate and advance the development of our product candidates. We may also incur additional expenses related to milestone and royalty payments payable to third parties under our license agreements, subject to the achievement of specified development, regulatory, or commercial events.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is highly uncertain. Although we believe that we do not have sufficient cash to fund a full Phase 2 clinical trial for any of our product candidates, we cannot reasonably estimate or know the nature, timing, and total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6" w:lineRule="exact"/>
        <w:rPr>
          <w:sz w:val="20"/>
          <w:szCs w:val="20"/>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preclinical development activities, clinical trials, and other research and development activities;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design, initiation, and completion of, clinical trials;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clinical and commercial manufacturing capabilities or making arrangements with third-party manufacturers;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clinical trials and for commercial launch;</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and maintaining, adequate coverage and reimbursement by the government and other payors for any product candidate for which we obtain marketing approval;</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7" w:name="page108"/>
    <w:bookmarkEnd w:id="107"/>
    <w:p>
      <w:pPr>
        <w:jc w:val="both"/>
        <w:spacing w:after="0" w:line="267" w:lineRule="auto"/>
        <w:rPr>
          <w:sz w:val="20"/>
          <w:szCs w:val="20"/>
          <w:color w:val="auto"/>
        </w:rPr>
      </w:pPr>
      <w:r>
        <w:rPr>
          <w:rFonts w:ascii="Times New Roman" w:cs="Times New Roman" w:eastAsia="Times New Roman" w:hAnsi="Times New Roman"/>
          <w:sz w:val="17"/>
          <w:szCs w:val="17"/>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European Medicines Agency (“EMA”), United States (“U.S.”) Food and Drug Administration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consulting fees, related benefits, travel, and stock-based compensation expenses for individuals on our Board of Directors and personnel in executive, finance, and administrative functions. General and administrative expenses also include professional fees for legal, consulting, accounting, and audit services.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may increase in the future as we increase our headcount to support our continued research activities, the development of our product candidates, and the acquisition of target companies in national security-regulated sectors contemplated by the Italian Golden Power legislation. We also anticipate that we may continue to incur additional accounting, audit, legal, regulatory, compliance, directors’ and officers’ insurance costs, as well as investor and public relations expenses associated with being a public company. Additionally, if regulatory approval of a product candidate appears likely, we may incur further expenses in preparation for potential commercialization, including those related to sales and marketing activities. Finally, we may incur additional legal fees either as a result of our strategic transformation or other normal business disputes and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(expense), foreign exchange income (loss), and gain (loss) from the sale or maturity of available-for-sale debt securities.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2025, the net balance of other income (expense) amounted to approximately €74,000 and mainly related to net financial interest income of approximately €620,000, net unrealized foreign exchange loss of approximately € (558,000), and net realized foreign exchange gain of approximately €12,000.</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2024, the net balance of other income/(expense) amounted to approximately €852,000 and mainly related to net financial interest income of approximately €611,000, net unrealized foreign exchange gain of approximately €248,000, and net realized foreign exchange loss of approximately € (7,000).</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2023, the net balance of other income/(expense) amounted to approximately €87,000 and mainly related to net financial interest income of approximately €304,000, net unrealized foreign exchange losses of approximately € (257,000), and net realized foreign exchange gain of approximately €40,000.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8" w:name="page109"/>
    <w:bookmarkEnd w:id="108"/>
    <w:p>
      <w:pPr>
        <w:jc w:val="both"/>
        <w:spacing w:after="0" w:line="262" w:lineRule="auto"/>
        <w:rPr>
          <w:sz w:val="20"/>
          <w:szCs w:val="20"/>
          <w:color w:val="auto"/>
        </w:rPr>
      </w:pPr>
      <w:r>
        <w:rPr>
          <w:rFonts w:ascii="Times New Roman" w:cs="Times New Roman" w:eastAsia="Times New Roman" w:hAnsi="Times New Roman"/>
          <w:sz w:val="18"/>
          <w:szCs w:val="18"/>
          <w:color w:val="auto"/>
        </w:rPr>
        <w:t>The differences between periods in the Other income (expense) category is due to the performance of our investment activities, which are influenced by the price trends of US Treasury Bills and Italian Government Bonds and interest rates, and to the macroeconomic situation that affects the purchasing power of currencies like the US Dollar versus the Euro.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subject to taxation in Italy and the U.S. taxes are recorded on an accrual basis. These taxes therefore, represent the allowances for taxes paid or to be paid for the year, calculated according to the current enacted rates and applicable laws. Due to the tax loss position reported, no income taxes were due for the years ended December 31, 2025, 2024 and 2023.</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each reporting date, we consider existing evidence, both positive and negative, that could impact our view regarding the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December 31, 2025. In the future, should we conclude that it is more likely than not that the deferred tax assets are partially or fully realizable, the valuation allowance would be reduced to the extent of such expected realization, and the amount would be recognized as a deferred income tax benefit in our Consolidated Statements of Operations and Comprehensive Loss.</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are open statutes of limitations for Italian tax authorities to audit our tax returns. There have been no material income tax-related interests or penalties assessed or recorded.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liability related to uncertain tax positions reported in our consolidated financial statements.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line with the legislation in force, as updated by the Italian Budget Law 2022, companies in Italy that invested in eligible research and development activities, regardless of the legal form and economic sector in which they operate, can benefit from a tax credit up to 10% of the increase of annual research and development expenses incurred, up to a maximum of €5.0 million, which can be used as compensation to reduce most taxes payable, including income tax or regional tax on productive activities, as well as of social security contributions. In addition, the tax credit due can only be used as compensation in three equal annual installments. The measure is provided up to the tax period ending December 31, 2031; however, starting with the fiscal year 2023, and in respect to subsequent fiscal periods, the tax credit rate was reduced from 20% to 10% of the eligible expenses, and the annual ceiling of the credit was increased from €4.0 million to €5.0 million.</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Italian Budget Law also established that the actual support of eligible expenses, and correspondence with the accounting documents must result from a specific certification issued by the person responsible for the legal audit, and in addition to the audit report, a technical report is also required.</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the years ended December 31, 2025, 2024, and 2023, we recorded research and development tax benefits of approximately €264,183, €373,000, and €428,000,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2025 to Year Ended December 31,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where we had only the biotechnology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20"/>
        </w:trPr>
        <w:tc>
          <w:tcPr>
            <w:tcW w:w="69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07"/>
        </w:trPr>
        <w:tc>
          <w:tcPr>
            <w:tcW w:w="6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gridSpan w:val="4"/>
          </w:tcPr>
          <w:p>
            <w:pPr>
              <w:jc w:val="center"/>
              <w:ind w:left="891"/>
              <w:spacing w:after="0"/>
              <w:rPr>
                <w:sz w:val="20"/>
                <w:szCs w:val="20"/>
                <w:color w:val="auto"/>
              </w:rPr>
            </w:pPr>
            <w:r>
              <w:rPr>
                <w:rFonts w:ascii="Times New Roman" w:cs="Times New Roman" w:eastAsia="Times New Roman" w:hAnsi="Times New Roman"/>
                <w:sz w:val="18"/>
                <w:szCs w:val="18"/>
                <w:color w:val="auto"/>
                <w:w w:val="99"/>
              </w:rPr>
              <w:t>(in Euros)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2,699,342</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4,812,854</w:t>
            </w:r>
          </w:p>
        </w:tc>
      </w:tr>
      <w:tr>
        <w:trPr>
          <w:trHeight w:val="227"/>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3,904,398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4,951,456</w:t>
            </w:r>
          </w:p>
        </w:tc>
      </w:tr>
      <w:tr>
        <w:trPr>
          <w:trHeight w:val="207"/>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6,603,740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9,764,310</w:t>
            </w:r>
          </w:p>
        </w:tc>
        <w:tc>
          <w:tcPr>
            <w:tcW w:w="100" w:type="dxa"/>
            <w:vAlign w:val="bottom"/>
            <w:tcBorders>
              <w:bottom w:val="single" w:sz="8" w:color="CCEEFF"/>
            </w:tcBorders>
          </w:tcPr>
          <w:p>
            <w:pPr>
              <w:spacing w:after="0"/>
              <w:rPr>
                <w:sz w:val="17"/>
                <w:szCs w:val="17"/>
                <w:color w:val="auto"/>
              </w:rPr>
            </w:pPr>
          </w:p>
        </w:tc>
      </w:tr>
      <w:tr>
        <w:trPr>
          <w:trHeight w:val="207"/>
        </w:trPr>
        <w:tc>
          <w:tcPr>
            <w:tcW w:w="6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tcPr>
          <w:p>
            <w:pPr>
              <w:spacing w:after="0"/>
              <w:rPr>
                <w:sz w:val="18"/>
                <w:szCs w:val="18"/>
                <w:color w:val="auto"/>
              </w:rPr>
            </w:pPr>
          </w:p>
        </w:tc>
        <w:tc>
          <w:tcPr>
            <w:tcW w:w="16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(6,603,740)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(9,764,310)</w:t>
            </w:r>
          </w:p>
        </w:tc>
      </w:tr>
      <w:tr>
        <w:trPr>
          <w:trHeight w:val="213"/>
        </w:trPr>
        <w:tc>
          <w:tcPr>
            <w:tcW w:w="6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11,456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529,683</w:t>
            </w: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440" w:type="dxa"/>
            <w:vAlign w:val="bottom"/>
          </w:tcPr>
          <w:p>
            <w:pPr>
              <w:spacing w:after="0"/>
              <w:rPr>
                <w:sz w:val="18"/>
                <w:szCs w:val="18"/>
                <w:color w:val="auto"/>
              </w:rPr>
            </w:pPr>
          </w:p>
        </w:tc>
        <w:tc>
          <w:tcPr>
            <w:tcW w:w="16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608,508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81,140</w:t>
            </w:r>
          </w:p>
        </w:tc>
      </w:tr>
      <w:tr>
        <w:trPr>
          <w:trHeight w:val="227"/>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exchange rate gain (loss)</w:t>
            </w: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(546,051)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240,992</w:t>
            </w:r>
          </w:p>
        </w:tc>
      </w:tr>
      <w:tr>
        <w:trPr>
          <w:trHeight w:val="207"/>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4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851,815</w:t>
            </w:r>
          </w:p>
        </w:tc>
        <w:tc>
          <w:tcPr>
            <w:tcW w:w="100" w:type="dxa"/>
            <w:vAlign w:val="bottom"/>
            <w:tcBorders>
              <w:bottom w:val="single" w:sz="8" w:color="CCEEFF"/>
            </w:tcBorders>
          </w:tcPr>
          <w:p>
            <w:pPr>
              <w:spacing w:after="0"/>
              <w:rPr>
                <w:sz w:val="17"/>
                <w:szCs w:val="17"/>
                <w:color w:val="auto"/>
              </w:rPr>
            </w:pPr>
          </w:p>
        </w:tc>
      </w:tr>
      <w:tr>
        <w:trPr>
          <w:trHeight w:val="207"/>
        </w:trPr>
        <w:tc>
          <w:tcPr>
            <w:tcW w:w="6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tcPr>
          <w:p>
            <w:pPr>
              <w:spacing w:after="0"/>
              <w:rPr>
                <w:sz w:val="18"/>
                <w:szCs w:val="18"/>
                <w:color w:val="auto"/>
              </w:rPr>
            </w:pPr>
          </w:p>
        </w:tc>
        <w:tc>
          <w:tcPr>
            <w:tcW w:w="16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(6,529,827)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(8,912,495)</w:t>
            </w:r>
          </w:p>
        </w:tc>
      </w:tr>
      <w:tr>
        <w:trPr>
          <w:trHeight w:val="227"/>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(6,529,827</w:t>
            </w:r>
          </w:p>
        </w:tc>
        <w:tc>
          <w:tcPr>
            <w:tcW w:w="200" w:type="dxa"/>
            <w:vAlign w:val="bottom"/>
            <w:tcBorders>
              <w:bottom w:val="single" w:sz="8" w:color="CCEEFF"/>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(8,912,495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69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Net loss per share - basic</w:t>
            </w:r>
          </w:p>
        </w:tc>
        <w:tc>
          <w:tcPr>
            <w:tcW w:w="44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(0.33</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19,710,187</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18,273,490</w:t>
            </w:r>
          </w:p>
        </w:tc>
        <w:tc>
          <w:tcPr>
            <w:tcW w:w="100" w:type="dxa"/>
            <w:vAlign w:val="bottom"/>
            <w:tcBorders>
              <w:bottom w:val="single" w:sz="8" w:color="CCEEFF"/>
            </w:tcBorders>
          </w:tcPr>
          <w:p>
            <w:pPr>
              <w:spacing w:after="0"/>
              <w:rPr>
                <w:sz w:val="22"/>
                <w:szCs w:val="22"/>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change of marketable debt securities</w:t>
            </w:r>
          </w:p>
        </w:tc>
        <w:tc>
          <w:tcPr>
            <w:tcW w:w="440" w:type="dxa"/>
            <w:vAlign w:val="bottom"/>
          </w:tcPr>
          <w:p>
            <w:pPr>
              <w:spacing w:after="0"/>
              <w:rPr>
                <w:sz w:val="18"/>
                <w:szCs w:val="18"/>
                <w:color w:val="auto"/>
              </w:rPr>
            </w:pPr>
          </w:p>
        </w:tc>
        <w:tc>
          <w:tcPr>
            <w:tcW w:w="16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7,205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(118,750)</w:t>
            </w:r>
          </w:p>
        </w:tc>
      </w:tr>
      <w:tr>
        <w:trPr>
          <w:trHeight w:val="227"/>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70,360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(23,446)</w:t>
            </w:r>
          </w:p>
        </w:tc>
      </w:tr>
      <w:tr>
        <w:trPr>
          <w:trHeight w:val="20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(142,196)</w:t>
            </w:r>
          </w:p>
        </w:tc>
        <w:tc>
          <w:tcPr>
            <w:tcW w:w="100" w:type="dxa"/>
            <w:vAlign w:val="bottom"/>
          </w:tcPr>
          <w:p>
            <w:pPr>
              <w:spacing w:after="0"/>
              <w:rPr>
                <w:sz w:val="17"/>
                <w:szCs w:val="17"/>
                <w:color w:val="auto"/>
              </w:rPr>
            </w:pPr>
          </w:p>
        </w:tc>
      </w:tr>
      <w:tr>
        <w:trPr>
          <w:trHeight w:val="24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(6,452,262)</w:t>
            </w:r>
          </w:p>
        </w:tc>
        <w:tc>
          <w:tcPr>
            <w:tcW w:w="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(9,054,691)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presented basic and diluted loss per share as of December 31, 2025, which consists of our historical loss divided by the basic and diluted weighted average number of ordinary shares outstanding of December 31, 2025. There was no dilutive impact due to our net loss position.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were approximately €2.7 million for the year ended December 31, 2025, as compared to approximately €4.8 million for the year ended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of €2.1 million was mainly due to:</w:t>
      </w:r>
    </w:p>
    <w:p>
      <w:pPr>
        <w:spacing w:after="0" w:line="220" w:lineRule="exact"/>
        <w:rPr>
          <w:sz w:val="20"/>
          <w:szCs w:val="20"/>
          <w:color w:val="auto"/>
        </w:rPr>
      </w:pPr>
    </w:p>
    <w:p>
      <w:pPr>
        <w:jc w:val="both"/>
        <w:ind w:left="640" w:hanging="313"/>
        <w:spacing w:after="0" w:line="251"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manufacturing costs of approximately €1.2 million primarily due to: (i) lower Drug Product manufacturing activity in 2025, with costs incurred for two batch slots for TEM-GU and none for TEM-GBM, compared to 2024, when four batch slots for TEM-GBM and one batch slot for TEM-GU were produced; (ii) the reclassification of Lentiviral Vector (LVV) production costs, which in 2024 were recorded within manufacturing costs but in 2025 were allocated to manufacturing associated activities account, as such costs relate across multiple studies and projects; and (iii) the benefit of an R&amp;D tax credit offset recognized in 2025;</w:t>
      </w:r>
    </w:p>
    <w:p>
      <w:pPr>
        <w:spacing w:after="0" w:line="4" w:lineRule="exact"/>
        <w:rPr>
          <w:rFonts w:ascii="Times New Roman" w:cs="Times New Roman" w:eastAsia="Times New Roman" w:hAnsi="Times New Roman"/>
          <w:sz w:val="18"/>
          <w:szCs w:val="18"/>
          <w:color w:val="auto"/>
        </w:rPr>
      </w:pPr>
    </w:p>
    <w:p>
      <w:pPr>
        <w:jc w:val="both"/>
        <w:ind w:left="640" w:hanging="313"/>
        <w:spacing w:after="0" w:line="249"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CRO fees of approximately €0.4 million primarily due to: (i) changes in clinical trial activity, as both the TEM-GBM and TEM-GU trials were active in 2024, whereas in 2025 the Company’s focus shifted primarily to TEM-GU, resulting in reduced CRO activity and costs for TEM-GBM; (ii) higher CRO costs recorded in 2024 in connection with the TEM-GU trial, including the upfront billing of 15% of total project costs at project commencement; (iii) a slowdown in patient enrollment for the TEM-GU trial beginning in the second half of 2025, which reduced CRO-related activity; and (iv) amendments to the CRO contracts in November 2025 introducing an “on-hold” period, which reduced CRO fees to minimum levels and resulted in the reimbursement of the previously billed 15% upfront TEM-GU project costs;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10" w:name="page111"/>
    <w:bookmarkEnd w:id="110"/>
    <w:p>
      <w:pPr>
        <w:ind w:left="640" w:hanging="313"/>
        <w:spacing w:after="0" w:line="258"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clinical trial costs of approximately €0.2 million, primarily due to the absence in 2025 of patient enrolment and site-related activities incurred in 2024 in connection with the TEM-GBM study;</w:t>
      </w:r>
    </w:p>
    <w:p>
      <w:pPr>
        <w:jc w:val="both"/>
        <w:ind w:left="640" w:hanging="313"/>
        <w:spacing w:after="0" w:line="247"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external research and development of approximately €0.1 million, primarily related to lower costs for exploratory analyses and Data Monitoring Committee activities. Exploratory analysis costs were higher in 2024 in connection with the TEM-GBM study, while in 2025 the Company’s activities were mainly focused on the TEM-GU study, which was in its initial clinical trial phase and did not require comparable analyses. The decrease was further impacted by lower patient enrollment during the second half of 2025. In addition, DMC-related costs decreased due to one DMC meeting held in 2025 compared to two DMC meetings held in 2024;</w:t>
      </w:r>
    </w:p>
    <w:p>
      <w:pPr>
        <w:spacing w:after="0" w:line="2"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€0.4 million in manufacturing activities, mainly due to an exclusive GMP suite and dedicated team costs incurred under an agreement entered into with AGC at the beginning of fiscal year 2025. Manufacturing activities in 2025 benefited from an R&amp;D tax credit offset, and accordingly, the underlying increase would have been higher in the absence of this offset.</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approximately €0.1 million in consultant costs, primarily due to cost-saving amendments to existing consulting contracts and reduced consulting activity in 2025. Consulting agreements with our co-founders (Drs. Naldini and Gentner) were reviewed and reduced, and several consultant contracts were not renewed. In addition, recurring R&amp;D consulting activities were significantly reduced during the second half of 2025.</w:t>
      </w:r>
    </w:p>
    <w:p>
      <w:pPr>
        <w:jc w:val="both"/>
        <w:ind w:left="640" w:hanging="313"/>
        <w:spacing w:after="0" w:line="250"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compensation of approximately €0.5 million primarily due to: (1) the reversal of bonus accruals recorded in during 2023 and 2024 for the CMO, which were not subsequently confirmed and therefore were not paid during 2025; (2) the absence of any bonus accruals for the year 2025 following a change in our bonus recognition policy, whereby bonuses are recognized only upon Board approval; and (3) the resignation of our CMO at the end of September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were approximately €3.9 million for the year ended December 31, 2025, compared to approximately €5.0 million for the year ended December 31, 2024. The decrease of approximately €1.1 million was primarily driven by a reduction in personnel-related costs of approximately €0.5 million, mainly attributable to lower employee and related-party compensation following changes in our headcount and bonus compensation arrangements during 2025. In addition, consulting, legal, and professional fees and other expenses decreased by approximately €0.5 million, primarily reflecting the conclusion of certain consulting engagements, lower audit-related costs compared to the prior year, and a decrease in patent maintenance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Other income was €11,456 for the year ended December 31, 2025, compared to approximately €0.5 million for the year ended December 31, 2024. The decrease was primarily due to a reclassification from other income to finance income, mainly relating to interest income and the reimbursement of financial fees from BNY related to our American Depositary Shares (“ADSs”), to better reflect the nature of the income.</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Net finance income was approximately €0.6 million for the year ended December 31, 2025, compared to net finance income of approximately €0.1 million for the year ended December 31, 2024. The increase primarily reflects the reclassification described above.</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Finance income amounted to approximately €1.1 million and included financial interest income of approximately €0.4 million and the reimbursement of financial fees from BNY of approximately €0.7 million. Finance expenses amounted to approximately €0.5 million, mainly related to due diligence expenses and the unrealized fair value adjustment associated with the mandatory convertible bond.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exchange rate gain (loss)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had a net exchange loss of approximately €0.5 million for the year ended December 31, 2025, compared to a net exchange gain of approximately €0.2 million for the year ended December 31, 2024. The change compared to the preceding year was mainly due to the adverse fluctuation of the USD versus the Euro exchange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the foregoing, our net loss was approximately €6.5 million for the year ended December 31, 2025, as compared to approximately €8.9 million for the year ended December 31, 2024. The decrease in our net loss of approximately €2.4 million was primarily due to a decrease in research and development expenses of approximately €2.1 million, a decrease in general and administrative expenses of approximately €1.0 million, and an adverse exchange rate fluctuation effect of approximately €0.8 million compared to the previous year.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2024 to Year Ended December 31, 2023</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The following table summarizes our results of operations for the years ended December 31, 2024, and 2023:</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6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00" w:type="dxa"/>
            <w:vAlign w:val="bottom"/>
            <w:gridSpan w:val="6"/>
          </w:tcPr>
          <w:p>
            <w:pPr>
              <w:jc w:val="center"/>
              <w:ind w:right="78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20"/>
        </w:trPr>
        <w:tc>
          <w:tcPr>
            <w:tcW w:w="698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07"/>
        </w:trPr>
        <w:tc>
          <w:tcPr>
            <w:tcW w:w="6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gridSpan w:val="4"/>
          </w:tcPr>
          <w:p>
            <w:pPr>
              <w:jc w:val="center"/>
              <w:ind w:left="571"/>
              <w:spacing w:after="0"/>
              <w:rPr>
                <w:sz w:val="20"/>
                <w:szCs w:val="20"/>
                <w:color w:val="auto"/>
              </w:rPr>
            </w:pPr>
            <w:r>
              <w:rPr>
                <w:rFonts w:ascii="Times New Roman" w:cs="Times New Roman" w:eastAsia="Times New Roman" w:hAnsi="Times New Roman"/>
                <w:sz w:val="18"/>
                <w:szCs w:val="18"/>
                <w:color w:val="auto"/>
                <w:w w:val="99"/>
              </w:rPr>
              <w:t>(in Euros)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4,812,853</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6,474,441</w:t>
            </w:r>
          </w:p>
        </w:tc>
      </w:tr>
      <w:tr>
        <w:trPr>
          <w:trHeight w:val="227"/>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4,951,456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5,258,501</w:t>
            </w:r>
          </w:p>
        </w:tc>
      </w:tr>
      <w:tr>
        <w:trPr>
          <w:trHeight w:val="207"/>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9,764,310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11,732,942</w:t>
            </w:r>
          </w:p>
        </w:tc>
        <w:tc>
          <w:tcPr>
            <w:tcW w:w="100" w:type="dxa"/>
            <w:vAlign w:val="bottom"/>
            <w:tcBorders>
              <w:bottom w:val="single" w:sz="8" w:color="CCEEFF"/>
            </w:tcBorders>
          </w:tcPr>
          <w:p>
            <w:pPr>
              <w:spacing w:after="0"/>
              <w:rPr>
                <w:sz w:val="17"/>
                <w:szCs w:val="17"/>
                <w:color w:val="auto"/>
              </w:rPr>
            </w:pPr>
          </w:p>
        </w:tc>
      </w:tr>
      <w:tr>
        <w:trPr>
          <w:trHeight w:val="207"/>
        </w:trPr>
        <w:tc>
          <w:tcPr>
            <w:tcW w:w="6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60" w:type="dxa"/>
            <w:vAlign w:val="bottom"/>
          </w:tcPr>
          <w:p>
            <w:pPr>
              <w:spacing w:after="0"/>
              <w:rPr>
                <w:sz w:val="18"/>
                <w:szCs w:val="18"/>
                <w:color w:val="auto"/>
              </w:rPr>
            </w:pP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(9,764,310)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(11,732,942)</w:t>
            </w:r>
          </w:p>
        </w:tc>
      </w:tr>
      <w:tr>
        <w:trPr>
          <w:trHeight w:val="213"/>
        </w:trPr>
        <w:tc>
          <w:tcPr>
            <w:tcW w:w="6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 income (expense)</w:t>
            </w:r>
          </w:p>
        </w:tc>
        <w:tc>
          <w:tcPr>
            <w:tcW w:w="7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529,683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760" w:type="dxa"/>
            <w:vAlign w:val="bottom"/>
          </w:tcPr>
          <w:p>
            <w:pPr>
              <w:spacing w:after="0"/>
              <w:rPr>
                <w:sz w:val="18"/>
                <w:szCs w:val="18"/>
                <w:color w:val="auto"/>
              </w:rPr>
            </w:pPr>
          </w:p>
        </w:tc>
        <w:tc>
          <w:tcPr>
            <w:tcW w:w="136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81,140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309,253</w:t>
            </w:r>
          </w:p>
        </w:tc>
      </w:tr>
      <w:tr>
        <w:trPr>
          <w:trHeight w:val="227"/>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exchange rate gain (loss)</w:t>
            </w:r>
          </w:p>
        </w:tc>
        <w:tc>
          <w:tcPr>
            <w:tcW w:w="7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240,992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(216,891)</w:t>
            </w:r>
          </w:p>
        </w:tc>
      </w:tr>
      <w:tr>
        <w:trPr>
          <w:trHeight w:val="207"/>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7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851,815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87,487</w:t>
            </w:r>
          </w:p>
        </w:tc>
        <w:tc>
          <w:tcPr>
            <w:tcW w:w="100" w:type="dxa"/>
            <w:vAlign w:val="bottom"/>
            <w:tcBorders>
              <w:bottom w:val="single" w:sz="8" w:color="CCEEFF"/>
            </w:tcBorders>
          </w:tcPr>
          <w:p>
            <w:pPr>
              <w:spacing w:after="0"/>
              <w:rPr>
                <w:sz w:val="17"/>
                <w:szCs w:val="17"/>
                <w:color w:val="auto"/>
              </w:rPr>
            </w:pPr>
          </w:p>
        </w:tc>
      </w:tr>
      <w:tr>
        <w:trPr>
          <w:trHeight w:val="207"/>
        </w:trPr>
        <w:tc>
          <w:tcPr>
            <w:tcW w:w="6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60" w:type="dxa"/>
            <w:vAlign w:val="bottom"/>
          </w:tcPr>
          <w:p>
            <w:pPr>
              <w:spacing w:after="0"/>
              <w:rPr>
                <w:sz w:val="18"/>
                <w:szCs w:val="18"/>
                <w:color w:val="auto"/>
              </w:rPr>
            </w:pP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(8,912,495)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(11,645,455)</w:t>
            </w:r>
          </w:p>
        </w:tc>
      </w:tr>
      <w:tr>
        <w:trPr>
          <w:trHeight w:val="227"/>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(8,912,495</w:t>
            </w:r>
          </w:p>
        </w:tc>
        <w:tc>
          <w:tcPr>
            <w:tcW w:w="200" w:type="dxa"/>
            <w:vAlign w:val="bottom"/>
            <w:tcBorders>
              <w:bottom w:val="single" w:sz="8" w:color="CCEEFF"/>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(11,645,455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69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Net loss per share - basic</w:t>
            </w:r>
          </w:p>
        </w:tc>
        <w:tc>
          <w:tcPr>
            <w:tcW w:w="76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(0.49</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18,273,490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18,216,907</w:t>
            </w:r>
          </w:p>
        </w:tc>
        <w:tc>
          <w:tcPr>
            <w:tcW w:w="100" w:type="dxa"/>
            <w:vAlign w:val="bottom"/>
            <w:tcBorders>
              <w:bottom w:val="single" w:sz="8" w:color="CCEEFF"/>
            </w:tcBorders>
          </w:tcPr>
          <w:p>
            <w:pPr>
              <w:spacing w:after="0"/>
              <w:rPr>
                <w:sz w:val="22"/>
                <w:szCs w:val="22"/>
                <w:color w:val="auto"/>
              </w:rPr>
            </w:pPr>
          </w:p>
        </w:tc>
      </w:tr>
      <w:tr>
        <w:trPr>
          <w:trHeight w:val="194"/>
        </w:trPr>
        <w:tc>
          <w:tcPr>
            <w:tcW w:w="6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change of marketable debt securities</w:t>
            </w:r>
          </w:p>
        </w:tc>
        <w:tc>
          <w:tcPr>
            <w:tcW w:w="760" w:type="dxa"/>
            <w:vAlign w:val="bottom"/>
          </w:tcPr>
          <w:p>
            <w:pPr>
              <w:spacing w:after="0"/>
              <w:rPr>
                <w:sz w:val="18"/>
                <w:szCs w:val="18"/>
                <w:color w:val="auto"/>
              </w:rPr>
            </w:pPr>
          </w:p>
        </w:tc>
        <w:tc>
          <w:tcPr>
            <w:tcW w:w="13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(118,750)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214,984</w:t>
            </w:r>
          </w:p>
        </w:tc>
      </w:tr>
      <w:tr>
        <w:trPr>
          <w:trHeight w:val="227"/>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7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(23,446)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r>
      <w:tr>
        <w:trPr>
          <w:trHeight w:val="20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7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199,131</w:t>
            </w:r>
          </w:p>
        </w:tc>
        <w:tc>
          <w:tcPr>
            <w:tcW w:w="100" w:type="dxa"/>
            <w:vAlign w:val="bottom"/>
          </w:tcPr>
          <w:p>
            <w:pPr>
              <w:spacing w:after="0"/>
              <w:rPr>
                <w:sz w:val="17"/>
                <w:szCs w:val="17"/>
                <w:color w:val="auto"/>
              </w:rPr>
            </w:pPr>
          </w:p>
        </w:tc>
      </w:tr>
      <w:tr>
        <w:trPr>
          <w:trHeight w:val="24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(9,054,691)</w:t>
            </w:r>
          </w:p>
        </w:tc>
        <w:tc>
          <w:tcPr>
            <w:tcW w:w="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(11,446,324)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have presented basic and diluted loss per share of December 31, 2024, which consists of our historical loss divided by the basic and diluted weighted average number of ordinary shares outstanding of December 31, 2024. There was no dilutive impact due to our net loss position.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Research and development expenses were approximately €4.8 million for the year ended December 31, 2024, as compared to approximately €6.5 million for the year ended December 31,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of €1.7 million was mainly due to:</w:t>
      </w:r>
    </w:p>
    <w:p>
      <w:pPr>
        <w:spacing w:after="0" w:line="220" w:lineRule="exact"/>
        <w:rPr>
          <w:sz w:val="20"/>
          <w:szCs w:val="20"/>
          <w:color w:val="auto"/>
        </w:rPr>
      </w:pPr>
    </w:p>
    <w:p>
      <w:pPr>
        <w:jc w:val="both"/>
        <w:ind w:left="640" w:hanging="313"/>
        <w:spacing w:after="0" w:line="254"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manufacturing costs of approximately €0.4 million, as a net result of: i) a decrease in manufacturing activities and plasmid preparation of Lentiviral Vector (“LVV”) of approximately €0.7 million; and ii) an increase in CRO fees due to the commencement in October 2024 of the TEM-GU clinical trial of approximately €0.3 million;</w:t>
      </w:r>
    </w:p>
    <w:p>
      <w:pPr>
        <w:spacing w:after="0" w:line="2"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manufacturing costs of approximately €0.4 million related to the final phase of the scale-up manufacturing of LVV for gene therapy, mostly incurred in 2023;</w:t>
      </w:r>
    </w:p>
    <w:p>
      <w:pPr>
        <w:ind w:left="640" w:hanging="313"/>
        <w:spacing w:after="0" w:line="247"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approximately €0.3 million in the costs associated with the technology transfer from the AGC Biologics’ Olgettina facility to its Bresso site for drug product manufacturing, mostly completed in 2023;</w:t>
      </w:r>
    </w:p>
    <w:p>
      <w:pPr>
        <w:jc w:val="both"/>
        <w:ind w:left="640" w:hanging="313"/>
        <w:spacing w:after="0" w:line="247"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trial costs of approximately €0.1 million as a net result of: i) a decrease in trial costs related to the last cohort of our TEM-GBM Phase 1 dose-ranging study completed in May 2024, for approximately €0.2 million; and ii) an increase in trial costs related to TEM-GU clinical trial commenced in October 2024 of approximately €0.1 million; and</w:t>
      </w:r>
    </w:p>
    <w:p>
      <w:pPr>
        <w:spacing w:after="0" w:line="1" w:lineRule="exact"/>
        <w:rPr>
          <w:rFonts w:ascii="Times New Roman" w:cs="Times New Roman" w:eastAsia="Times New Roman" w:hAnsi="Times New Roman"/>
          <w:sz w:val="18"/>
          <w:szCs w:val="18"/>
          <w:color w:val="auto"/>
        </w:rPr>
      </w:pPr>
    </w:p>
    <w:p>
      <w:pPr>
        <w:ind w:left="640" w:hanging="313"/>
        <w:spacing w:after="0" w:line="255"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fees to OSR of approximately €0.5 million in line with the fee payment schedule provided by the ARLA and related Sponsored Research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were approximately €5.0 million for the year ended December 31, 2024, as compared to approximately €5.3 million for the year ended December 31, 2023. The decrease of approximately €0.3 million was primarily due to a reduction in compensation expense, including stock option expenses of approximately €0.2 million as a result of two (2) employees who left the company in the second half of 2024, and a cumulative reduction of approximately €0.1 million in other general and administrative expenses mainly related to audit costs and insurance costs.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Other income (expense) was approximately €0.5 million at December 31, 2024, while other income (expense) was not material for the year ended December 31, 2023. The reason for this change was due to an increase in capital gain income from favorable performance of our financial investments.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net financial income was approximately €0.1 million for the year ended December 31, 2024, compared to a net financial income of approximately €0.3 million for the year ended December 31, 2023. The change was mainly related to financial interest income on financial investments made in 2024 and 2023 in U.S. Treasury bills and Italian government bonds.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exchange rate gain (loss)</w:t>
      </w:r>
    </w:p>
    <w:p>
      <w:pPr>
        <w:spacing w:after="0" w:line="22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The net exchange gain was approximately €0.3 million for the year ended December 31, 2024, compared to a net exchange loss of approximately €0.2 million for the year ended December 31, 2023. The change in respect of the preceding year was due to the fluctuation of the USD versus Euro exchange rate.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a result of the foregoing, our net loss was approximately €8.9 million for the year ended December 31, 2024, as compared to approximately €11.6 million for the year ended December 31, 2023. The decrease in our net loss of approximately €2.7 million was primarily due to a decrease in research and development expenses of approximately €1.6 million, a decrease in general and administrative expenses of approximately €0.3 million, an increase in net financial income of approximately €0.3 million, and a positive exchange rate fluctuation effect of approximately €0.5 million compared to the previous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believe that the accounting policies described below are critical to understand the judgments and estimates used in ourfinancial statements, and to fully understand and evaluate our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87" w:lineRule="exact"/>
        <w:rPr>
          <w:sz w:val="20"/>
          <w:szCs w:val="20"/>
          <w:color w:val="auto"/>
        </w:rPr>
      </w:pPr>
    </w:p>
    <w:p>
      <w:pPr>
        <w:ind w:left="640" w:right="20" w:hanging="313"/>
        <w:spacing w:after="0" w:line="277"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central laboratories, in connection with preclinical development activities, especially, OSR, a co-founding shareholder, significant related party vendor, and a leading center for ex-vivo gene therapy for inherited diseases;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and clinical studies;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and clinical trial materials.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13" w:name="page114"/>
    <w:bookmarkEnd w:id="113"/>
    <w:p>
      <w:pPr>
        <w:jc w:val="both"/>
        <w:spacing w:after="0" w:line="250"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way as the award recipient’s payroll costs are classified or in which the award recipient’s service payments are classified.</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With the adoption of Accounting Standards Update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Tax Credit Receivables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our research and development tax credit receivable when there is reasonable assurance that: (1) the recipient will comply with the relevant conditions; and (2) the grant will be received. We elected to present the credit net of the related expenditure on the statements of operations and comprehensive loss. While these taxes can be carried forward indefinitely, we recognized an amount that reflects management’s best estimate of the amount that is reasonably assured to be realized or utilized in the foreseeable future based on historical benefits realized, adjusted for expected changes, as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Under the U.S. Jumpstart Our Business Startups Act (“JOBS Act”), an emerging growth company can delay adopting new or revised accounting standards issued after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not engaged in any off-balance sheet arrangements, such as the use of unconsolidated subsidiaries, structured finance, special purpose entities, or variable interest entities.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the Company’s financial position due to adverse changes in financial market prices and rates. The Company’s current investment policy is conservative due to the need to support operations. The Company maintains bank accounts with reputable banks and financial institutions and invests available cash in Italian and U.S. government bonds and treasury notes with short-term maturities and a minimum credit rating of “BBB.” A minority of the Company’s cash and cash equivalents and marketable securities are held in deposits that bear a small amount of interest. The Company’s market risk exposure is primarily a result of foreign currency exchange rates, which is discussed in detail in the following section.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early-stage cell and gene therapy company commercializing technology licensed from OSR. The Company intends to continue to conduct its operations so that neither it nor its subsidiary is required to register as an investment company under the Investment Company Act of 1940, as amended, and the rules and regulations promulgated thereunder (the “‘40 Act”). To ensure that the Company does not become subject to regulation under the ‘40 Act, the Company may be limited in the type of assets that it may own or acquire. If the Company were to become inadvertently subject to the ‘40 Act, any violation of the ‘40 Act could subject the Company to material adverse consequences.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results of operations and cash flow may be subject to significant fluctuations due to changes in foreign currency exchange rates. Our liquid assets and our expenses are denominated in EUR and USD.</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we continue to grow our business, our results of operations and our cash flows might be subject to significant fluctuations due to changes in foreign currency exchange rates, which could adversely impact our results of operations.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 hypothetical movement of 10% in USD to the EUR exchange rate would have had an impact of approximately €0.3 million on our net result for the year ended December 31, 2025.</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Currently,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inception, we have not generated any revenue and have incurred significant operating losses and negative cash flows from our operations. We have funded our operations to date primarily with proceeds from the sales of quotas, in prior years as an S.r.l., and through our shares, in our IPO and follow on offerings as an S.p.A. We received gross cash proceeds of approximately €33.6 million from sales of quotas prior to our IPO, approximately €32.7 million of gross proceeds from the IPO and approximately €3.4 million from our at-the-market (“ATM”) offerings. Additionally, we received approximately €11.8, net cash proceeds from the registered direct offering (the “Registered Offering”) in October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approximately €28.1 million in cash and cash equivalents and marketable securities.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cash flow for the years indicated:</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54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7"/>
          </w:tcPr>
          <w:p>
            <w:pPr>
              <w:ind w:left="118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7"/>
        </w:trPr>
        <w:tc>
          <w:tcPr>
            <w:tcW w:w="5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(in Euros)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(6,867,959)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(6,240,174)</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(11,205,023)</w:t>
            </w: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in)/produced by investing activities</w:t>
            </w:r>
          </w:p>
        </w:tc>
        <w:tc>
          <w:tcPr>
            <w:tcW w:w="4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(14,543,936)</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6,883,064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(14,892,666)</w:t>
            </w: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22,287,458</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270,885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r>
      <w:tr>
        <w:trPr>
          <w:trHeight w:val="22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6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70,360</w:t>
            </w:r>
          </w:p>
        </w:tc>
        <w:tc>
          <w:tcPr>
            <w:tcW w:w="2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(6,278)</w:t>
            </w:r>
          </w:p>
        </w:tc>
      </w:tr>
      <w:tr>
        <w:trPr>
          <w:trHeight w:val="207"/>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945,923</w:t>
            </w: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890,329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(26,103,436)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4,581,749</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3,691,420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29,794,856</w:t>
            </w:r>
          </w:p>
        </w:tc>
      </w:tr>
      <w:tr>
        <w:trPr>
          <w:trHeight w:val="207"/>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5,527,672</w:t>
            </w: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4,581,749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3,691,420</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approximately €6.9 million of cash, cash equivalents, and marketable securities. This cash outflow resulted from our net loss of approximately €6.5 million, adjusted for non-cash charges of approximately €1.2 million, and further impacted by net cash used in changes in operating assets and liabilities of approximately €1.6 million.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Non-cash charges primarily included €1.0 million of share-based compensation expense, €0.1 million of retirement benefit obligation expense, €0.1 million of fair value loss on the convertible bond and other minor amounts, including depreciation expense and a fair value adjustment on available-for-sale financial instruments.</w:t>
      </w:r>
    </w:p>
    <w:p>
      <w:pPr>
        <w:spacing w:after="0" w:line="17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Net changes in operating assets and liabilities primarily reflected an increase in other non-current assets of approximately €1.6 million and a decrease in accrued expenses-related parties of approximately €1.1 million, which were partially offset by an increase in accounts payable of approximately €1.2 million.</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approximately €6.2 million of cash, cash equivalents, and marketable securities, resulting from our net loss of approximately €8.9 million, partially offset by non-cash charges of approximately €1.0 million and the cash generated by our operating assets and liabilities of approximately €1.7 million. The non-cash charges primarily included approximately €0.8 million of share-based compensation expense, and approximately €0.1 million of depreciation and retirement benefit obligation expense.</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net cash inflow from operating assets and liabilities was primarily driven by a decrease in other non-current assets of approximately €0.7 million (manly due to a long-term VAT refund of approximately €0.4 million) and a decrease in prepaid expenses and other current assets of approximately €0.7 million (mainly due to a decrease in the R&amp;D tax credit valuation), partially offset by modest increases in accrued expenses – related parties and accounts payable.</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approximately €11.0 million of cash and cash equivalents, resulting from our net loss of approximately €11.6 million, partially offset by non-cash charges of approximately €1.1 million and the cash generated by our operating assets and liabilities of approximately €0.4 million. The non-cash charges primarily included approximately €0.7 million of share-based compensation expense, approximately €0.2 million of unrealized gain on purchase of marketable securities, and other minor amounts of depreciation, retirement benefit obligation expense and cumulative translation adjustment. The net changes in our operating assets and liabilities were primarily due to a decrease in accounts payable. The decrease in accounts payable compared to the prior period, was mainly due to bills from certain suppliers, advisors, and legal consultants received in December 2022 that were paid in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invest liquidity not immediately required for current operations in accordance with our internal treasury policy, which provides for investments in low-risk, highly liquid financial instruments, primarily government securities. These investments are intended to preserve capital while generating modest returns on excess cash balances.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investing activities used approximately €14.5 million of cash, cash equivalents, and marketable securities, primarily reflecting net investments in marketable securities. Purchases of marketable securities, consisting of U.S. Treasury bills and Italian government bonds, amounted to approximately €33.2 million and were partially offset by proceeds from maturities of marketable securities of approximately €18.6 million. Investing activities also included purchases of fixed assets of approximately €7,600, mainly consisting of laptops and other work tools for employees.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2024, investing activities used approximately €16.4 million for the purchase of marketable securities, consisting of U.S.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bills and Italian government bonds. Proceeds from maturities and sales of marketable securities amounted to approximately €23.2 million.</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approximately €4,000 of our cash and cash equivalents were used to primarily purchase laptops and other work tools for new employees hired during the fiscal year ending on December 31, 2024.</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2023, investing activities used approximately €14.9 million to purchase marketable securities (U.S. treasury bills and Italian government bonds), in order to deploy the liquidity available and not used in current operations more profitably, while respecting the principle of selecting low-risk profile assets. In addition, approximately €14,000 of our cash and cash equivalents were used to primarily purchase laptops and other work tools for new employees hired during the fiscal year ending on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2025, the net cash provided by financing activities mainly relates to net proceeds of €7.5 million from the issuance of a convertible bond, net proceeds of approximately €3.0 million raised through our ATM program, and net proceeds of approximately €11.8 million from our registered direct offering.</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year ended December 31, 2024, the net cash provided by financing activities of approximately €0.3 million related to the proceeds from our ATM offerings.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there was no cash provided by financing activities.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Outlook</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date, we have not generated revenue and do not expect to generate significant revenues from the sale of any product candidate in the near future. We may begin to generate revenue from acquisition targets once we own more than 20% of an acquired company (i.e., through a partial consolidation) or once we own more than 50% of an acquired company (i.e., through a full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our cash, cash equivalents, and marketable securities were approximately €28.1 million.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Based on our existing cash and anticipated cash from short-term financing activities, we estimate that such funds will be sufficient to fund our operations and capital expenditure requirements to at least December 31, 2027. We have based this estimate on assumptions that may prove to be wrong, and we could use our available capital resources sooner than we currently expect.</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Our operating plans may change as a result of factors that are currently uncertain, including ongoing legal proceedings, our strategic transformation into a next-generation industrial consolidator, and/or the results of our research and development activities.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and financial condition will depend on many factors, including:</w:t>
      </w:r>
    </w:p>
    <w:p>
      <w:pPr>
        <w:spacing w:after="0" w:line="220" w:lineRule="exact"/>
        <w:rPr>
          <w:sz w:val="20"/>
          <w:szCs w:val="20"/>
          <w:color w:val="auto"/>
        </w:rPr>
      </w:pPr>
    </w:p>
    <w:p>
      <w:pPr>
        <w:ind w:left="5500" w:right="4380" w:hanging="5493"/>
        <w:spacing w:after="0" w:line="524" w:lineRule="auto"/>
        <w:tabs>
          <w:tab w:leader="none" w:pos="1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ongoing and potential legal proceedings and related matters;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4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17" w:name="page118"/>
    <w:bookmarkEnd w:id="117"/>
    <w:p>
      <w:pPr>
        <w:ind w:left="160" w:hanging="153"/>
        <w:spacing w:after="0"/>
        <w:tabs>
          <w:tab w:leader="none" w:pos="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the continuation or suspension of our research and development activities, including employee-related costs;</w:t>
      </w:r>
    </w:p>
    <w:p>
      <w:pPr>
        <w:spacing w:after="0" w:line="25" w:lineRule="exact"/>
        <w:rPr>
          <w:rFonts w:ascii="Times New Roman" w:cs="Times New Roman" w:eastAsia="Times New Roman" w:hAnsi="Times New Roman"/>
          <w:sz w:val="18"/>
          <w:szCs w:val="18"/>
          <w:color w:val="auto"/>
        </w:rPr>
      </w:pPr>
    </w:p>
    <w:p>
      <w:pPr>
        <w:ind w:left="160" w:hanging="153"/>
        <w:spacing w:after="0"/>
        <w:tabs>
          <w:tab w:leader="none" w:pos="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restructure, renegotiate, or terminate existing agreements, including manufacturing, licensing, and collaboration arrangements;</w:t>
      </w:r>
    </w:p>
    <w:p>
      <w:pPr>
        <w:spacing w:after="0" w:line="6" w:lineRule="exact"/>
        <w:rPr>
          <w:rFonts w:ascii="Times New Roman" w:cs="Times New Roman" w:eastAsia="Times New Roman" w:hAnsi="Times New Roman"/>
          <w:sz w:val="18"/>
          <w:szCs w:val="18"/>
          <w:color w:val="auto"/>
        </w:rPr>
      </w:pPr>
    </w:p>
    <w:p>
      <w:pPr>
        <w:ind w:left="160" w:hanging="153"/>
        <w:spacing w:after="0"/>
        <w:tabs>
          <w:tab w:leader="none" w:pos="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defending, or monetizing our intellectual property portfolio;</w:t>
      </w:r>
    </w:p>
    <w:p>
      <w:pPr>
        <w:spacing w:after="0" w:line="6" w:lineRule="exact"/>
        <w:rPr>
          <w:rFonts w:ascii="Times New Roman" w:cs="Times New Roman" w:eastAsia="Times New Roman" w:hAnsi="Times New Roman"/>
          <w:sz w:val="18"/>
          <w:szCs w:val="18"/>
          <w:color w:val="auto"/>
        </w:rPr>
      </w:pPr>
    </w:p>
    <w:p>
      <w:pPr>
        <w:ind w:left="160" w:hanging="153"/>
        <w:spacing w:after="0"/>
        <w:tabs>
          <w:tab w:leader="none" w:pos="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arising under existing in-licensing or other contractual arrangements;</w:t>
      </w:r>
    </w:p>
    <w:p>
      <w:pPr>
        <w:spacing w:after="0" w:line="6" w:lineRule="exact"/>
        <w:rPr>
          <w:rFonts w:ascii="Times New Roman" w:cs="Times New Roman" w:eastAsia="Times New Roman" w:hAnsi="Times New Roman"/>
          <w:sz w:val="18"/>
          <w:szCs w:val="18"/>
          <w:color w:val="auto"/>
        </w:rPr>
      </w:pPr>
    </w:p>
    <w:p>
      <w:pPr>
        <w:ind w:left="160" w:hanging="153"/>
        <w:spacing w:after="0"/>
        <w:tabs>
          <w:tab w:leader="none" w:pos="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strategic alternatives, including business combinations, licensing transactions, or other restructuring transactions;</w:t>
      </w:r>
    </w:p>
    <w:p>
      <w:pPr>
        <w:spacing w:after="0" w:line="6" w:lineRule="exact"/>
        <w:rPr>
          <w:rFonts w:ascii="Times New Roman" w:cs="Times New Roman" w:eastAsia="Times New Roman" w:hAnsi="Times New Roman"/>
          <w:sz w:val="18"/>
          <w:szCs w:val="18"/>
          <w:color w:val="auto"/>
        </w:rPr>
      </w:pPr>
    </w:p>
    <w:p>
      <w:pPr>
        <w:ind w:right="20" w:firstLine="7"/>
        <w:spacing w:after="0" w:line="247" w:lineRule="auto"/>
        <w:tabs>
          <w:tab w:leader="none" w:pos="1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acquisition activities, as we evolve into a next-generation strategic industrial consolidator, including the cost related to acquiring and supporting businesses operating in national-security regulated sectors contemplated by the “Golden Power” legislation;</w:t>
      </w:r>
    </w:p>
    <w:p>
      <w:pPr>
        <w:ind w:left="160" w:hanging="153"/>
        <w:spacing w:after="0"/>
        <w:tabs>
          <w:tab w:leader="none" w:pos="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and compliance costs of transitioning to an industrial consolidator; and,</w:t>
      </w:r>
    </w:p>
    <w:p>
      <w:pPr>
        <w:spacing w:after="0" w:line="6" w:lineRule="exact"/>
        <w:rPr>
          <w:rFonts w:ascii="Times New Roman" w:cs="Times New Roman" w:eastAsia="Times New Roman" w:hAnsi="Times New Roman"/>
          <w:sz w:val="18"/>
          <w:szCs w:val="18"/>
          <w:color w:val="auto"/>
        </w:rPr>
      </w:pPr>
    </w:p>
    <w:p>
      <w:pPr>
        <w:ind w:firstLine="7"/>
        <w:spacing w:after="0" w:line="255" w:lineRule="auto"/>
        <w:tabs>
          <w:tab w:leader="none" w:pos="1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our remaining general and administrative expenses necessary to maintain our corporate existence and comply with applicable legal and regulatory requirements.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Until we can generate significant revenues, if ever, we expect to satisfy our future cash needs through our existing cash, cash equivalents, short-term deposits, and short-term marketable securities as well as through additional financings, which we may seek through a combination of private and public equity offerings, debt financings and collaboration, in-licensing arrangements, joint ventures, strategic alliances or partnerships.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example, on May 12, 2023, we filed with the SEC a shelf registration statement, which was declared effective by the SEC on May 24, 2023 and permits us to sell from time to time additional ordinary shares, ordinary shares represented by ADSs or rights exercisable for ordinary shares or ADSs in one or more offerings in amounts, at prices and on the terms that we will determine at the time of offering for aggregate gross sales proceeds of up to $100.0 million. As of December 31, 2025, approximately $86.0 million worth of securities remained available under this registration statement. Furthermore, we have entered into an ATM sales agreement, as amended (the “Sales Agreement”), with Virtu Americas LLC and Rodman &amp; Renshaw LLC (the “Sales Agents”) pursuant to which we may, but are not obligated to, offer and sell, from time to time, ADSs with an aggregate offering price up to $29,696,999 through the Sales Agents, subject to the terms and conditions described in the Sales Agreement and SEC rules and regulations (our “ATM offering”). As of December 31, 2025, approximately $26.4 million of capacity remained available under this ATM offering.</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in March 2025, we completed a mandatory convertible bond financing, pursuant to which we received the first tranche of €7,500,000, as part of a broader financing transaction totaling €20,000,000, pursuant to the agreement with Fondazione Enea Tech e Biomedical (the “Investor”) signed on March 12, 2025.</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October 2025, we entered into a Securities Purchase Agreement (the “Purchase Agreement”) with certain institutional investors (each, an “Investor”) relating to the offer and sale of 4,285,715 ADSs, at a purchase price of $3.50 per ADS, for net proceeds of €11,810,398 (gross proceeds of $15,000,000) in a registered direct offering (the “Registered Offering”). Please see Note 1 – Nature of business and history – Shelf Registration Statement and Sales Agreement of our audited consolidated financial statements for further information.</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This expected use of cash and cash equivalents represents our intentions based upon our current plans and business conditions, which could change in the future as our plans and business conditions evolve.</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may also use a portion of our available cash, cash equivalents, and marketable securities to in-license, acquire, or invest in additional businesses, technologies, products, or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 -B. Business Overview -Intellectual Property Rights.”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fiscal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critical accounting estimates, see “Item 5. Operating and Financial Review and Prospects - A. Operating Results - Critical Accounting Policies.”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members of the Board of Directors (the “Board”) at December 31, 2025 were: Pierluigi Paracchi, who is the Chairman, Francesco Galimi, MD, PhD, Miguel Maria Mutti, Giacomoantonio Paracchi, and Armon R. Sharei, PhD.</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name, age as of March 26, 2026, and position of the individuals who serve as our directors and executive officers.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78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300" w:type="dxa"/>
            <w:vAlign w:val="bottom"/>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w w:val="97"/>
              </w:rPr>
              <w:t>Year elected or appointed</w:t>
            </w:r>
          </w:p>
        </w:tc>
      </w:t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Pierluigi Paracchi</w:t>
            </w:r>
          </w:p>
        </w:tc>
        <w:tc>
          <w:tcPr>
            <w:tcW w:w="8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52</w:t>
            </w: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Chairman of the Board of Directors, and General</w:t>
            </w:r>
          </w:p>
        </w:tc>
        <w:tc>
          <w:tcPr>
            <w:tcW w:w="23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13"/>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Manager</w:t>
            </w:r>
          </w:p>
        </w:tc>
        <w:tc>
          <w:tcPr>
            <w:tcW w:w="2300" w:type="dxa"/>
            <w:vAlign w:val="bottom"/>
          </w:tcPr>
          <w:p>
            <w:pPr>
              <w:spacing w:after="0"/>
              <w:rPr>
                <w:sz w:val="18"/>
                <w:szCs w:val="18"/>
                <w:color w:val="auto"/>
              </w:rPr>
            </w:pPr>
          </w:p>
        </w:tc>
      </w:tr>
      <w:tr>
        <w:trPr>
          <w:trHeight w:val="232"/>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Francesco Galimi</w:t>
            </w:r>
          </w:p>
        </w:tc>
        <w:tc>
          <w:tcPr>
            <w:tcW w:w="8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58</w:t>
            </w: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Acting Chief Medical Officer and Head of Development (4)</w:t>
            </w:r>
          </w:p>
        </w:tc>
        <w:tc>
          <w:tcPr>
            <w:tcW w:w="23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2025</w:t>
            </w:r>
          </w:p>
        </w:tc>
      </w:tr>
      <w:tr>
        <w:trPr>
          <w:trHeight w:val="42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Miguel Maria Mutti</w:t>
            </w:r>
          </w:p>
        </w:tc>
        <w:tc>
          <w:tcPr>
            <w:tcW w:w="8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51</w:t>
            </w: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(1) (2)</w:t>
            </w:r>
          </w:p>
        </w:tc>
        <w:tc>
          <w:tcPr>
            <w:tcW w:w="23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2025</w:t>
            </w:r>
          </w:p>
        </w:tc>
      </w:tr>
      <w:tr>
        <w:trPr>
          <w:trHeight w:val="42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Giacomoantonio Paracchi</w:t>
            </w:r>
          </w:p>
        </w:tc>
        <w:tc>
          <w:tcPr>
            <w:tcW w:w="8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48</w:t>
            </w: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(3)</w:t>
            </w:r>
          </w:p>
        </w:tc>
        <w:tc>
          <w:tcPr>
            <w:tcW w:w="23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2025</w:t>
            </w:r>
          </w:p>
        </w:tc>
      </w:tr>
      <w:tr>
        <w:trPr>
          <w:trHeight w:val="42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Armon Reza Sharei</w:t>
            </w:r>
          </w:p>
        </w:tc>
        <w:tc>
          <w:tcPr>
            <w:tcW w:w="8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38</w:t>
            </w: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(1) (2)</w:t>
            </w:r>
          </w:p>
        </w:tc>
        <w:tc>
          <w:tcPr>
            <w:tcW w:w="23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2024</w:t>
            </w:r>
          </w:p>
        </w:tc>
      </w:tr>
      <w:tr>
        <w:trPr>
          <w:trHeight w:val="42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Richard B. Slansky</w:t>
            </w:r>
          </w:p>
        </w:tc>
        <w:tc>
          <w:tcPr>
            <w:tcW w:w="8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68</w:t>
            </w:r>
          </w:p>
        </w:tc>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2021</w:t>
            </w:r>
          </w:p>
        </w:tc>
      </w:tr>
    </w:tbl>
    <w:p>
      <w:pPr>
        <w:spacing w:after="0" w:line="194" w:lineRule="exact"/>
        <w:rPr>
          <w:sz w:val="20"/>
          <w:szCs w:val="20"/>
          <w:color w:val="auto"/>
        </w:rPr>
      </w:pPr>
    </w:p>
    <w:p>
      <w:pPr>
        <w:ind w:left="640" w:hanging="313"/>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(as defined under Nasdaq Stock Market rules)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Nomination, and Governance Committee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 independent Director - Mr. Giacomoantonio Paracchi is the brother of Pierluigi Paracchi, the Company’s Chief Executive Officer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 independent Director – Dr. Galimi assumed the role of Acting Chief Medical Officer and Head of Development in October 2025</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consists of five (5) members, and each of their terms will expire at our general shareholders’ meeting called to approve the financial statements for the year ending December 31, 2025 to be held in June/July 2026, or earlier upon resignation. The aggregate annual directors’ compensation for the entire board is €165,000.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Pierluigi Paracchi, Chief Executive Officer, Chairman of the Board of Directors, and General Manager</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Mr. Paracchi is a member of the Assobiotec Steering Committee, the Italian Association for the development of biotechnology. He also serves on the board of directors of the autoimmune disease and cancer company Altheia Science, as non-executive Chairman, at a medical device company, Lipogems International, and is a venture partner with AurorA Science, an independent biotech investment vehicle.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i w:val="1"/>
          <w:iCs w:val="1"/>
          <w:color w:val="auto"/>
        </w:rPr>
        <w:t>Richard B. Slansky, Chief Financial Officer</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Slansky is a senior financial executive with more than 30 years of experience as Chief Financial Officer in various biopharmaceutical, diagnostic, high-tech, and life science companies, including Biological Dynamics, OncoSec Medical, GenMark Diagnostics, (now part of Roche), and C-N Biosciences, (now a part of Millipore Sigma, a division of Merck KGaA). His experience spans across public and private healthcare and technology companies at various stages of growth, from pre-revenue to commercial. He has been responsible for strategic vision and oversight of financial and operational teams, organizational leadership, creating maximum stakeholder value, financial and governmental compliance, among other activities. He also serves on the board of directors of several private companies in the life science, aerospace, and real estate market segments.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Francesco Galimi, M.D., Ph.D., Acting Chief Medical Officer and Head of Development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Dr. Galimi is a physician-executive with over 30 years of experience in healthcare R&amp;D, including leadership roles in private and public biotechs, as well as large pharma companies. Most recently, he was Senior Vice President and Chief Medical Officer at Adicet Bio, a company focused on allogeneic cell therapy technologies in hemato-oncology and autoimmune disorders. Previously, he served as Global Program General Manager at Amgen, where he led a portfolio of oncology programs, from pre-IND to late-stage. Prior to Amgen, Dr. Galimi was Head of Clinical Development at Onyx Pharmaceuticals and Executive Medical Leader at GNF/Novartis. Dr. Galimi holds an M.D. from the University of Torino Medical School with a specialty certification in Medical Oncology, and a Ph.D. in Oncology from the University of Torino Medical School. He conducted his post-doctoral research, focused on gene transfer models in hematology, at the Salk Institute in La Jolla, California.</w:t>
      </w:r>
    </w:p>
    <w:p>
      <w:pPr>
        <w:spacing w:after="0" w:line="183" w:lineRule="exact"/>
        <w:rPr>
          <w:sz w:val="20"/>
          <w:szCs w:val="20"/>
          <w:color w:val="auto"/>
        </w:rPr>
      </w:pPr>
    </w:p>
    <w:p>
      <w:pPr>
        <w:jc w:val="center"/>
        <w:ind w:right="854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Armon Reza Sharei, Ph.D., Director</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Armon is Founder and CEO of Portal Bio and formerly the CEO and Founder of SQZ Biotechnologies (NYSE: SQZ), where he led the company from invention to post-IPO with over $300M in equity financing, a $1Bn collaboration with Roche, and three clinical trials. He graduated from Stanford University, obtained his PhD at Massachusetts Institute of Technology, and received his Post-Doctoral at Harvard Medical School.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Miguel Maria Mutti, Director</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Mutti is a senior executive with over 25 years of international experience in the pharmaceutical and investment banking sectors. He has a proven track record in corporate and business development, M&amp;A, licensing, and general management, having led major growth, restructuring, and integration projects across Europe, Latin America, and Asia. Currently, he serves as Managing Partner at Sinergetica Healthcare, a strategic consulting and investment firm focused on pharma, biotech, and medtech. Previously, he held senior leadership roles at Lupin Limited, Grünenthal GmbH, Chemo Group, and Citigroup. Mr. Mutti combines strategic vision, financial expertise, and hands-on operational leadership, supported by an MBA from ISTUD and executive training at INSEAD. He is fluent in Italian, Spanish, and English.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Giacomoantonio Paracchi, Director</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Paracchi is a business lawyer with extensive experience as General Counsel and Head of Legal &amp; Corporate Affairs within structured multinational groups. Since September 2023, he has been serving as General Counsel of the Geodis Group, and since May 2025, he has also joined LEXIA as a Partner in the Corporate, M&amp;A, and Capital Markets Department. Previously, he held senior legal and corporate positions at Comifar Group, Valtellina Group, and Techint Group, overseeing legal, corporate affairs, and compliance functions. His professional background is complemented by an excellent command of the English language and a strong focus on business-oriented legal strategy. Mr. Paracchi is the brother of Pierluigi Paracchi, the Company’s Chief Executive Officer, Chairman, General Manager, and cofounder.</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Executive Scientific Board</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December 31, 2025, the mandates of the members of our Executive Scientific Board expired and were not renewed. Accordingly, the Executive Scientific Board is no longer active, and we do not currently maintain an Executive Scientific Board.</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Until December 31, 2025, the Executive Scientific Board provided scientific and strategic advisory support to us in connection with our research and development activities.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Strategic Advisors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 to the Company include: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20" w:name="page121"/>
    <w:bookmarkEnd w:id="120"/>
    <w:p>
      <w:pPr>
        <w:ind w:left="640"/>
        <w:spacing w:after="0"/>
        <w:rPr>
          <w:sz w:val="20"/>
          <w:szCs w:val="20"/>
          <w:color w:val="auto"/>
        </w:rPr>
      </w:pPr>
      <w:r>
        <w:rPr>
          <w:rFonts w:ascii="Times New Roman" w:cs="Times New Roman" w:eastAsia="Times New Roman" w:hAnsi="Times New Roman"/>
          <w:sz w:val="18"/>
          <w:szCs w:val="18"/>
          <w:b w:val="1"/>
          <w:bCs w:val="1"/>
          <w:color w:val="auto"/>
        </w:rPr>
        <w:t>Daiwa Corporate Advisory</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Following the achievement of key clinical milestones, we engaged DC Advisory as our exclusive financial advisor to support strategic partnering initiatives relating to our cell therapy platform and the Temferon clinical program. DC Advisory’s mandate includes identifying potential pharmaceutical and biotechnology partners to advance Temferon, leveraging available clinical data, including information on tumour microenvironment modulation (“TME”), safety profile, and certain observed long-term survival outcomes. Our partnering strategy is intended to support the continued development of Temferon, including as a monotherapy in glioblastoma multiforme, as well as to explore broader applications of our technology platform, including combination therapy approaches and additional solid tumor indications, while maintaining a capital-efficient development strategy and continuing the ongoing GBM clinical trial.</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mentioned above, Mr. Giacomoantonio Paracchi, a member of the Company’s Board of Directors, is the brother of Pierluigi Paracchi, the Company’s Chief Executive Officer, Chairman, General Manager, and co-founder.</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Arrangements Concerning Election of Directors and Members of Management</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are no arrangements or understandings with major shareholders, customers, suppliers, or others pursuant to which any of our directors or members of senior management were selected as such.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presents in the aggregate all compensation we paid to all our directors and senior management as a group for the year ended December 31, 2025.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 that the shareholders’ meeting may determine a total amount for the compensation of the directors, including managing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paid to all directors and senior managers as a group was approximately €1.4 million for the year ended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Pension, Retirement,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420" w:type="dxa"/>
            <w:vAlign w:val="bottom"/>
          </w:tcPr>
          <w:p>
            <w:pPr>
              <w:spacing w:after="0"/>
              <w:rPr>
                <w:sz w:val="18"/>
                <w:szCs w:val="18"/>
                <w:color w:val="auto"/>
              </w:rPr>
            </w:pPr>
          </w:p>
        </w:tc>
        <w:tc>
          <w:tcPr>
            <w:tcW w:w="2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Salary, Bonuses, and</w:t>
            </w:r>
          </w:p>
        </w:tc>
        <w:tc>
          <w:tcPr>
            <w:tcW w:w="12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and Other Similar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r>
      <w:tr>
        <w:trPr>
          <w:trHeight w:val="236"/>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Related Benefits</w:t>
            </w:r>
          </w:p>
        </w:tc>
        <w:tc>
          <w:tcPr>
            <w:tcW w:w="12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Benefits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r>
      <w:tr>
        <w:trPr>
          <w:trHeight w:val="207"/>
        </w:trPr>
        <w:tc>
          <w:tcPr>
            <w:tcW w:w="5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5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All directors and senior management as a group, consisting of six (6)</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1,415,414</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cost to us for the year ended December 31, 2025, related to all directors and senior managers as a group was approximately €1.5 million.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Pension, Retirement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420" w:type="dxa"/>
            <w:vAlign w:val="bottom"/>
          </w:tcPr>
          <w:p>
            <w:pPr>
              <w:spacing w:after="0"/>
              <w:rPr>
                <w:sz w:val="18"/>
                <w:szCs w:val="18"/>
                <w:color w:val="auto"/>
              </w:rPr>
            </w:pPr>
          </w:p>
        </w:tc>
        <w:tc>
          <w:tcPr>
            <w:tcW w:w="20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Salary, Bonuses and</w:t>
            </w:r>
          </w:p>
        </w:tc>
        <w:tc>
          <w:tcPr>
            <w:tcW w:w="12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and Other Similar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r>
      <w:tr>
        <w:trPr>
          <w:trHeight w:val="236"/>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Related Benefits</w:t>
            </w:r>
          </w:p>
        </w:tc>
        <w:tc>
          <w:tcPr>
            <w:tcW w:w="12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Benefits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r>
      <w:tr>
        <w:trPr>
          <w:trHeight w:val="207"/>
        </w:trPr>
        <w:tc>
          <w:tcPr>
            <w:tcW w:w="5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5"/>
        </w:trPr>
        <w:tc>
          <w:tcPr>
            <w:tcW w:w="5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All directors and senior management as a group, consisting of six (6)</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1,059,419</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60,154</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510,014</w:t>
            </w:r>
          </w:p>
        </w:tc>
      </w:tr>
    </w:tbl>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difference between the total amount paid by us and the total cost to us, stems from the fact that the cost for each employee is higher than what is actually paid out during each fiscal year due to tax and contribution charges affecting labor costs. Additionally, according to the regulations applicable to Italian employees, severance pay is set aside annually, and thus constitutes a cost to us, while it is disbursed and paid out only in the event of the employee’s resignation or dismissal. Furthermore, provisions for unexercised stock options during the fiscal year are also included in our cost based on a Black-Scholes calculation, regardless of the exercise price, (i.e., the options could be “in-the-money” or “out-of-the-money”).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follow the historical Italian corporate governance system, with a board of directors (</w:t>
      </w:r>
      <w:r>
        <w:rPr>
          <w:rFonts w:ascii="Times New Roman" w:cs="Times New Roman" w:eastAsia="Times New Roman" w:hAnsi="Times New Roman"/>
          <w:sz w:val="18"/>
          <w:szCs w:val="18"/>
          <w:i w:val="1"/>
          <w:iCs w:val="1"/>
          <w:color w:val="auto"/>
        </w:rPr>
        <w:t>consiglio di amministrazione</w:t>
      </w:r>
      <w:r>
        <w:rPr>
          <w:rFonts w:ascii="Times New Roman" w:cs="Times New Roman" w:eastAsia="Times New Roman" w:hAnsi="Times New Roman"/>
          <w:sz w:val="18"/>
          <w:szCs w:val="18"/>
          <w:color w:val="auto"/>
        </w:rPr>
        <w:t>) and a separate board of statutory auditors (</w:t>
      </w:r>
      <w:r>
        <w:rPr>
          <w:rFonts w:ascii="Times New Roman" w:cs="Times New Roman" w:eastAsia="Times New Roman" w:hAnsi="Times New Roman"/>
          <w:sz w:val="18"/>
          <w:szCs w:val="18"/>
          <w:i w:val="1"/>
          <w:iCs w:val="1"/>
          <w:color w:val="auto"/>
        </w:rPr>
        <w:t>collegio sindacale</w:t>
      </w:r>
      <w:r>
        <w:rPr>
          <w:rFonts w:ascii="Times New Roman" w:cs="Times New Roman" w:eastAsia="Times New Roman" w:hAnsi="Times New Roman"/>
          <w:sz w:val="18"/>
          <w:szCs w:val="18"/>
          <w:color w:val="auto"/>
        </w:rPr>
        <w:t xml:space="preserve">) with supervisory functions. The two boards are separate, and no individual may be a member of both corporate bodies. Both the members of the board of directors and the members of the board of statutory auditors owe duties of loyalty and care to us. The board of statutory auditors acts as the Board’s audit committee for purposes of SEC and Nasdaq compliance (see </w:t>
      </w:r>
      <w:r>
        <w:rPr>
          <w:rFonts w:ascii="Times New Roman" w:cs="Times New Roman" w:eastAsia="Times New Roman" w:hAnsi="Times New Roman"/>
          <w:sz w:val="18"/>
          <w:szCs w:val="18"/>
          <w:i w:val="1"/>
          <w:iCs w:val="1"/>
          <w:color w:val="auto"/>
        </w:rPr>
        <w:t>Differences between Italian Laws and Nasdaq Requirements</w:t>
      </w:r>
      <w:r>
        <w:rPr>
          <w:rFonts w:ascii="Times New Roman" w:cs="Times New Roman" w:eastAsia="Times New Roman" w:hAnsi="Times New Roman"/>
          <w:sz w:val="18"/>
          <w:szCs w:val="18"/>
          <w:color w:val="auto"/>
        </w:rPr>
        <w:t xml:space="preserve">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Statutory Auditors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Board of Statutory Auditors for the three-year period of 2024-2026 consists of: Carlo Alberto Nicchio (Chairman), Jacopo Doveri, and Giuseppe Gentile, while Luca Domenico Maranzana and Adalberto Adriano Minazzi were appointed as alternates. The annual Board of Statutory Auditor compensation is €18,000 for the chairman and €12,000 for each active member, while no compensation is provided for the alternates unless they replace an active member.</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2025, our Board of Statutory Auditors received aggregate compensation of approximately €44,000 for their services to us, of which €31,200 related to compensation accrued as of December 31, 2025, for invoices not yet received.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Statutory Auditors’ term will expire with our general shareholders’ meeting called to approve the financial statements for the year ending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to be held in 2027. The following table sets forth the name, age as of March 26, 2026, and position of the individuals who serve as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Statutory Auditors, and their alternates.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Age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elected or re-appointed</w:t>
            </w:r>
          </w:p>
        </w:tc>
      </w:tr>
      <w:tr>
        <w:trPr>
          <w:trHeight w:val="188"/>
        </w:trPr>
        <w:tc>
          <w:tcPr>
            <w:tcW w:w="3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Carlo-Alberto Nicchio</w:t>
            </w: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w w:val="77"/>
              </w:rPr>
              <w:t>51</w:t>
            </w:r>
          </w:p>
        </w:tc>
        <w:tc>
          <w:tcPr>
            <w:tcW w:w="240" w:type="dxa"/>
            <w:vAlign w:val="bottom"/>
          </w:tcPr>
          <w:p>
            <w:pPr>
              <w:spacing w:after="0"/>
              <w:rPr>
                <w:sz w:val="16"/>
                <w:szCs w:val="16"/>
                <w:color w:val="auto"/>
              </w:rPr>
            </w:pPr>
          </w:p>
        </w:tc>
        <w:tc>
          <w:tcPr>
            <w:tcW w:w="4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Chairman of the Board of Statutory Auditors</w:t>
            </w:r>
          </w:p>
        </w:tc>
        <w:tc>
          <w:tcPr>
            <w:tcW w:w="220" w:type="dxa"/>
            <w:vAlign w:val="bottom"/>
          </w:tcPr>
          <w:p>
            <w:pPr>
              <w:spacing w:after="0"/>
              <w:rPr>
                <w:sz w:val="16"/>
                <w:szCs w:val="16"/>
                <w:color w:val="auto"/>
              </w:rPr>
            </w:pPr>
          </w:p>
        </w:tc>
        <w:tc>
          <w:tcPr>
            <w:tcW w:w="22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2024</w:t>
            </w:r>
          </w:p>
        </w:tc>
      </w:tr>
      <w:tr>
        <w:trPr>
          <w:trHeight w:val="21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Giuseppe Gentile</w:t>
            </w:r>
          </w:p>
        </w:tc>
        <w:tc>
          <w:tcPr>
            <w:tcW w:w="6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58</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Statutory auditor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1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Jacopo Doveri</w:t>
            </w:r>
          </w:p>
        </w:tc>
        <w:tc>
          <w:tcPr>
            <w:tcW w:w="6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53</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Statutory auditor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1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Luca Domenico Maranzana</w:t>
            </w:r>
          </w:p>
        </w:tc>
        <w:tc>
          <w:tcPr>
            <w:tcW w:w="6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58</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Alternate auditor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Adalberto Adriano Minazzi</w:t>
            </w:r>
          </w:p>
        </w:tc>
        <w:tc>
          <w:tcPr>
            <w:tcW w:w="66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Alternate auditor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Each shareholder and shareholders belonging to the same group shall not submit, or contribute to submit, or to cast their vote for more than one slate, including through a nominee. Each candidate may only be listed on a single slate or, otherwise, will be ineligible for election if named in multiple slates.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rely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Board Committees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Italian law does not require that we adopt a Compensation, Nomination and Governance Committee according to Nasdaq Listing Rule 5615(a)(3). The members of our Compensation, Nomination, and Governance Committee include: Armon R. Sharei and Miguel Maria Mutti. They were nominated on April 30, 2025. The Compensation, Nomination, and Governance Committee assists our Board of Directors in overseeing our compensation and equity award recommendations for our executive officers, along with the rationale for such recommendations, as well as summary information regarding the aggregate compensation provided to our executive officers, among other functions.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Italian Laws and Nasdaq Requirements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Sarbanes-Oxley Act, as well as related rules subsequently implemented by the SEC, requires foreign private issuers, such as us, to comply with various corporate governance practices. In addition, following the listing of the ADSs on Nasdaq, we are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174" w:lineRule="exact"/>
        <w:rPr>
          <w:sz w:val="20"/>
          <w:szCs w:val="20"/>
          <w:color w:val="auto"/>
        </w:rPr>
      </w:pPr>
    </w:p>
    <w:p>
      <w:pPr>
        <w:jc w:val="both"/>
        <w:ind w:left="640" w:hanging="313"/>
        <w:spacing w:after="0" w:line="259"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the board of directors</w:t>
      </w:r>
      <w:r>
        <w:rPr>
          <w:rFonts w:ascii="Times New Roman" w:cs="Times New Roman" w:eastAsia="Times New Roman" w:hAnsi="Times New Roman"/>
          <w:sz w:val="18"/>
          <w:szCs w:val="18"/>
          <w:color w:val="auto"/>
        </w:rPr>
        <w:t>. Italian law does not require that the majority of our board of directors consist of independent directors.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therefore, may include fewer independent directors than would be required if we were subject to Nasdaq Listing Rule 5605(b)</w:t>
      </w:r>
    </w:p>
    <w:p>
      <w:pPr>
        <w:spacing w:after="0" w:line="1" w:lineRule="exact"/>
        <w:rPr>
          <w:rFonts w:ascii="Times New Roman" w:cs="Times New Roman" w:eastAsia="Times New Roman" w:hAnsi="Times New Roman"/>
          <w:sz w:val="18"/>
          <w:szCs w:val="18"/>
          <w:color w:val="auto"/>
        </w:rPr>
      </w:pPr>
    </w:p>
    <w:p>
      <w:pPr>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addition, we are not subject to Nasdaq Listing Rule 5605(b)(2), which requires that independent directors must regularly have scheduled meetings at which only independent directors are present.</w:t>
      </w:r>
    </w:p>
    <w:p>
      <w:pPr>
        <w:spacing w:after="0" w:line="179" w:lineRule="exact"/>
        <w:rPr>
          <w:rFonts w:ascii="Times New Roman" w:cs="Times New Roman" w:eastAsia="Times New Roman" w:hAnsi="Times New Roman"/>
          <w:sz w:val="18"/>
          <w:szCs w:val="18"/>
          <w:color w:val="auto"/>
        </w:rPr>
      </w:pPr>
    </w:p>
    <w:p>
      <w:pPr>
        <w:jc w:val="both"/>
        <w:ind w:left="640" w:hanging="313"/>
        <w:spacing w:after="0" w:line="258"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In accordance with Italian law quorum requirements generally applicable to general meetings of shareholders are set forth in the Italian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Civil Code,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79" w:lineRule="exact"/>
        <w:rPr>
          <w:rFonts w:ascii="Times New Roman" w:cs="Times New Roman" w:eastAsia="Times New Roman" w:hAnsi="Times New Roman"/>
          <w:sz w:val="18"/>
          <w:szCs w:val="18"/>
          <w:color w:val="auto"/>
        </w:rPr>
      </w:pPr>
    </w:p>
    <w:p>
      <w:pPr>
        <w:jc w:val="both"/>
        <w:ind w:left="6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Italian law, the management report and the annual financial statements shall be presented to our auditors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our auditors, must remain deposited at our registered office for the 15 days preceding the shareholders’ meeting called to approve them.</w:t>
      </w:r>
    </w:p>
    <w:p>
      <w:pPr>
        <w:spacing w:after="0" w:line="183" w:lineRule="exact"/>
        <w:rPr>
          <w:rFonts w:ascii="Times New Roman" w:cs="Times New Roman" w:eastAsia="Times New Roman" w:hAnsi="Times New Roman"/>
          <w:sz w:val="18"/>
          <w:szCs w:val="18"/>
          <w:color w:val="auto"/>
        </w:rPr>
      </w:pPr>
    </w:p>
    <w:p>
      <w:pPr>
        <w:jc w:val="both"/>
        <w:ind w:left="640" w:hanging="313"/>
        <w:spacing w:after="0" w:line="258"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Proxy Solicitations</w:t>
      </w:r>
      <w:r>
        <w:rPr>
          <w:rFonts w:ascii="Times New Roman" w:cs="Times New Roman" w:eastAsia="Times New Roman" w:hAnsi="Times New Roman"/>
          <w:sz w:val="18"/>
          <w:szCs w:val="18"/>
          <w:color w:val="auto"/>
        </w:rPr>
        <w:t>. Under Italian law shareholders may appoint attorneys-in-fact by delivering in writing an appropriate power of attorney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varies from the requirements of Nasdaq Listing Rule 5620(b), which sets forth certain requirements regarding the solicitation of proxies.</w:t>
      </w:r>
    </w:p>
    <w:p>
      <w:pPr>
        <w:spacing w:after="0" w:line="177" w:lineRule="exact"/>
        <w:rPr>
          <w:rFonts w:ascii="Times New Roman" w:cs="Times New Roman" w:eastAsia="Times New Roman" w:hAnsi="Times New Roman"/>
          <w:sz w:val="18"/>
          <w:szCs w:val="18"/>
          <w:color w:val="auto"/>
        </w:rPr>
      </w:pPr>
    </w:p>
    <w:p>
      <w:pPr>
        <w:jc w:val="both"/>
        <w:ind w:left="640" w:hanging="313"/>
        <w:spacing w:after="0" w:line="258"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Issuances</w:t>
      </w:r>
      <w:r>
        <w:rPr>
          <w:rFonts w:ascii="Times New Roman" w:cs="Times New Roman" w:eastAsia="Times New Roman" w:hAnsi="Times New Roman"/>
          <w:sz w:val="18"/>
          <w:szCs w:val="18"/>
          <w:color w:val="auto"/>
        </w:rPr>
        <w:t>. Pursuant to Italian law, we have opted out of shareholder approval requirements by way of including authorized and conditional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capital for the issuance of securities in connection with certain events such as the acquisition of stock, assets, or convertible notes, certain private placements, and/or public offerings. To this extent, our practice varies from the requirements of Nasdaq Listing Rule 5635, which generally requires an issuer to obtain shareholder approval for the issuance of securities in connection with such events.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23" w:name="page124"/>
    <w:bookmarkEnd w:id="123"/>
    <w:p>
      <w:pPr>
        <w:jc w:val="both"/>
        <w:ind w:left="320" w:hanging="313"/>
        <w:spacing w:after="0" w:line="250" w:lineRule="auto"/>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U.S. companies listed on Nasdaq are required to have an audit committee that satisfies the requirements of Rule 10A-3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and certain additional requirements set by the Nasdaq.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but not to the independent auditor. We follow the “traditional” model of corporate governance for Italian companies and accordingly have established a board of statutory auditors established in accordance with Italian law, which performs substantially the same functions and is accordingly exempt from the audit committee requirements established by Rule 10A-3 and Nasdaq rules. Our reliance on such exemption is based on the circumstance that our board of statutory auditors meets the following requirements set forth in Exchange Act Rule 10A-3(c)(3):</w:t>
      </w:r>
    </w:p>
    <w:p>
      <w:pPr>
        <w:spacing w:after="0" w:line="19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established and selected pursuant to Italian law expressly permitting such a board;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required under Italian law to be separate from our board of directors;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not elected by us, and none of our executive officers are a member of the board of statutory auditors;</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Italian law provides for standards for the independence of the board of statutory auditors from us; and</w:t>
      </w:r>
    </w:p>
    <w:p>
      <w:pPr>
        <w:spacing w:after="0" w:line="219" w:lineRule="exact"/>
        <w:rPr>
          <w:rFonts w:ascii="Times New Roman" w:cs="Times New Roman" w:eastAsia="Times New Roman" w:hAnsi="Times New Roman"/>
          <w:sz w:val="18"/>
          <w:szCs w:val="18"/>
          <w:color w:val="auto"/>
        </w:rPr>
      </w:pPr>
    </w:p>
    <w:p>
      <w:pPr>
        <w:jc w:val="both"/>
        <w:ind w:left="960" w:hanging="313"/>
        <w:spacing w:after="0" w:line="257" w:lineRule="auto"/>
        <w:tabs>
          <w:tab w:leader="none" w:pos="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in accordance with applicable Italian law and our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us.</w:t>
      </w:r>
    </w:p>
    <w:p>
      <w:pPr>
        <w:spacing w:after="0" w:line="181" w:lineRule="exact"/>
        <w:rPr>
          <w:sz w:val="20"/>
          <w:szCs w:val="20"/>
          <w:color w:val="auto"/>
        </w:rPr>
      </w:pPr>
    </w:p>
    <w:p>
      <w:pPr>
        <w:ind w:left="320"/>
        <w:spacing w:after="0" w:line="277" w:lineRule="auto"/>
        <w:rPr>
          <w:sz w:val="20"/>
          <w:szCs w:val="20"/>
          <w:color w:val="auto"/>
        </w:rPr>
      </w:pPr>
      <w:r>
        <w:rPr>
          <w:rFonts w:ascii="Times New Roman" w:cs="Times New Roman" w:eastAsia="Times New Roman" w:hAnsi="Times New Roman"/>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61" w:lineRule="exact"/>
        <w:rPr>
          <w:sz w:val="20"/>
          <w:szCs w:val="20"/>
          <w:color w:val="auto"/>
        </w:rPr>
      </w:pPr>
    </w:p>
    <w:p>
      <w:pPr>
        <w:jc w:val="both"/>
        <w:ind w:left="320" w:hanging="313"/>
        <w:spacing w:after="0" w:line="252" w:lineRule="auto"/>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Italian law does not require the appointment of a compensation committee composed of independent directors as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Nasdaq Listing Rules. As a matter of Italian law applicable to Italian stock corporations whose shares are not listed on a regulated market in the E.U. and under our bylaws, the compensation of executive directors, including the CEO, is determined by the board of directors, after consultation with the board of statutory auditors, while our shareholders, according to Italian law and our bylaws, may determine a total amount for the compensation of the directors, including managing directors. Compensation of our executive officers is determined by Board of Directors or by the CEO, if duly empowered. Nevertheless, although not required under Italian law, we have established a Compensation, Nomination, and Governance Committee.</w:t>
      </w:r>
    </w:p>
    <w:p>
      <w:pPr>
        <w:spacing w:after="0" w:line="186" w:lineRule="exact"/>
        <w:rPr>
          <w:rFonts w:ascii="Times New Roman" w:cs="Times New Roman" w:eastAsia="Times New Roman" w:hAnsi="Times New Roman"/>
          <w:sz w:val="18"/>
          <w:szCs w:val="18"/>
          <w:color w:val="auto"/>
        </w:rPr>
      </w:pPr>
    </w:p>
    <w:p>
      <w:pPr>
        <w:jc w:val="both"/>
        <w:ind w:left="320" w:hanging="313"/>
        <w:spacing w:after="0" w:line="258" w:lineRule="auto"/>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Code of Conduct</w:t>
      </w:r>
      <w:r>
        <w:rPr>
          <w:rFonts w:ascii="Times New Roman" w:cs="Times New Roman" w:eastAsia="Times New Roman" w:hAnsi="Times New Roman"/>
          <w:sz w:val="18"/>
          <w:szCs w:val="18"/>
          <w:color w:val="auto"/>
        </w:rPr>
        <w:t>. Pursuant to Italian law, we have adopted an “Organization and Operational Model” as required by Italian Legislative Decree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8, 2001, No. 231 (relating to administrative responsibility) that consists of: (i) a Code of Ethics; and (ii) operating procedures and reporting systems applicable to all of our directors, officers and employees, which may not comply with the requirements for a code of conduct meeting the criteria under Nasdaq Listing Rule 5610.</w:t>
      </w: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706" w:right="339" w:bottom="1440" w:gutter="0" w:footer="0" w:header="0"/>
        </w:sectPr>
      </w:pPr>
    </w:p>
    <w:bookmarkStart w:id="124" w:name="page125"/>
    <w:bookmarkEnd w:id="124"/>
    <w:p>
      <w:pPr>
        <w:jc w:val="both"/>
        <w:ind w:left="640" w:hanging="313"/>
        <w:spacing w:after="0" w:line="251" w:lineRule="auto"/>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Loyalty Share Program</w:t>
      </w:r>
      <w:r>
        <w:rPr>
          <w:rFonts w:ascii="Times New Roman" w:cs="Times New Roman" w:eastAsia="Times New Roman" w:hAnsi="Times New Roman"/>
          <w:sz w:val="18"/>
          <w:szCs w:val="18"/>
          <w:color w:val="auto"/>
        </w:rPr>
        <w:t>. As described in more detail in “Item 10. Additional Information. B. Memorandum and Articles of Association”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a loyalty share program. Under our loyalty share program, each ordinary share held in registered form entitles the shareholder to a double vote (i.e. two votes for each ordinary share) if the ordinary share has been held by the same shareholder for a continuous period of not less than twenty-four months from the date of its registration in the special list maintained by us, and an additional vote is also granted upon the expiration of each 12-month period following the expiration of the period referred to above, in which such ordinary share has been held by the shareholder, up to a total maximum of ten votes per ordinary share. Pursuant to the home country exemption set forth under Nasdaq Stock Market Rule 5640, in establishing the loyalty share program, we elected to be exempt from the requirement under Nasdaq Stock Market Rule 5640, which provides that the voting rights of existing shareholders of publicly traded common stock registered under Section 12 of the Exchange Act cannot be disparately reduced or restricted through any corporate action or issuance.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are a foreign private issuer, our officers, directors and principal shareholders have historically been exempt from the reporting and short-swing profit disclosure and recovery provisions under Section 16 of the Exchange Act. The Holding Foreign Insiders Accountable Act was signed into law on December 18, 2025, and requires directors and officers of foreign private issuers, like us, to file insider reports under Section 16(a) of the Exchange Act, including the requirements to file Forms 3, 4 and 5, effective March 18, 2026. Directors and officers of foreign private issuers will remain exempt from the short-swing profit disclosure and recovery provisions of Section 16 of the Exchange Act.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March 31, 2026, we had nine (9) full-time employees, eight (8) located in Milan, Italy, and one (1) located in the U.S. We also rely on consultants and several collaborators at SR-TIGET and OSR. Our full-time employees are engaged in clinical, research and development, product development, quality assurance, finance, accounting, legal support, and administrative activities.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7.A. – Major Shareholders”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ordinary shares as of March 30, 2026 by:</w:t>
      </w:r>
    </w:p>
    <w:p>
      <w:pPr>
        <w:spacing w:after="0" w:line="220" w:lineRule="exact"/>
        <w:rPr>
          <w:sz w:val="20"/>
          <w:szCs w:val="20"/>
          <w:color w:val="auto"/>
        </w:rPr>
      </w:pPr>
    </w:p>
    <w:p>
      <w:pPr>
        <w:ind w:left="1280" w:hanging="633"/>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5% of our outstanding ordinary shares;</w:t>
      </w:r>
    </w:p>
    <w:p>
      <w:pPr>
        <w:spacing w:after="0" w:line="25"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Percentage ownership is based on 23,591,020 ordinary shares (including ordinary shares represented by ADSs) outstanding on March 30, 2026. Beneficial ownership is determined in accordance with the rules of the SEC, which generally provide that a person has beneficial ownership of a security if he, she, or it possesses sole or shared voting or investment power over that security or has the right to acquire a security, such as through the exercise of stock options, within 60 days. Shares subject to options that are currently exercisable or exercisable within 60 days of the date above are considered outstanding and beneficially owned by the person holding such options for the purpose of computing the percentage ownership of that person, but are not treated as outstanding for the purpose of computing the percentage ownership of any other person.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5" w:name="page126"/>
    <w:bookmarkEnd w:id="125"/>
    <w:p>
      <w:pPr>
        <w:jc w:val="both"/>
        <w:spacing w:after="0" w:line="257" w:lineRule="auto"/>
        <w:rPr>
          <w:sz w:val="20"/>
          <w:szCs w:val="20"/>
          <w:color w:val="auto"/>
        </w:rPr>
      </w:pPr>
      <w:r>
        <w:rPr>
          <w:rFonts w:ascii="Times New Roman" w:cs="Times New Roman" w:eastAsia="Times New Roman" w:hAnsi="Times New Roman"/>
          <w:sz w:val="18"/>
          <w:szCs w:val="18"/>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Our major shareholders do not have different voting rights from other holders of our ordinary shares. The information is not necessarily indicative of beneficial ownership for any other purpose. Unless otherwise noted below, each beneficial owner’s address is: c/o Genenta Science S.p.A., Via dell’Annunciata, 31, 20121, Milan, Italy.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No. of</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36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 of</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 of</w:t>
            </w: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36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4"/>
              </w:rPr>
              <w:t>Percentage</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6"/>
        </w:trPr>
        <w:tc>
          <w:tcPr>
            <w:tcW w:w="36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r>
      <w:tr>
        <w:trPr>
          <w:trHeight w:val="207"/>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Pierluigi Paracchi</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2,302,516</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129,936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2,432,452</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10.31%</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22,755,160</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24.11%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427"/>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 Slansky</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22,147</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124,596</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146,743</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19,947</w:t>
            </w: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42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Giacomoantonio Paracchi</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427"/>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Miguel M. Mutti</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33,333</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33,333</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42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Francesco Galimi</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46,891</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46,891</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27"/>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Armon R. Sharei</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24,274</w:t>
            </w:r>
          </w:p>
        </w:tc>
        <w:tc>
          <w:tcPr>
            <w:tcW w:w="13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24,274</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191"/>
        </w:trPr>
        <w:tc>
          <w:tcPr>
            <w:tcW w:w="36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(6 persons)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2,357,996</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325,697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2,683,693</w:t>
            </w:r>
          </w:p>
        </w:tc>
        <w:tc>
          <w:tcPr>
            <w:tcW w:w="3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11.38%</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22,775,107</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24.13%</w:t>
            </w:r>
          </w:p>
        </w:tc>
        <w:tc>
          <w:tcPr>
            <w:tcW w:w="700" w:type="dxa"/>
            <w:vAlign w:val="bottom"/>
          </w:tcPr>
          <w:p>
            <w:pPr>
              <w:spacing w:after="0"/>
              <w:rPr>
                <w:sz w:val="20"/>
                <w:szCs w:val="20"/>
                <w:color w:val="auto"/>
              </w:rPr>
            </w:pPr>
          </w:p>
        </w:tc>
      </w:tr>
      <w:tr>
        <w:trPr>
          <w:trHeight w:val="21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OSR - San Raffaele Hospital</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1,896,730</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1,896,730</w:t>
            </w: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18,967,300</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20.10%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Luigi Naldini</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1,386,145</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1,386,145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12,783,667</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bl>
    <w:p>
      <w:pPr>
        <w:spacing w:after="0" w:line="195" w:lineRule="exact"/>
        <w:rPr>
          <w:sz w:val="20"/>
          <w:szCs w:val="20"/>
          <w:color w:val="auto"/>
        </w:rPr>
      </w:pPr>
    </w:p>
    <w:p>
      <w:pPr>
        <w:ind w:left="780" w:hanging="133"/>
        <w:spacing w:after="0"/>
        <w:tabs>
          <w:tab w:leader="none" w:pos="7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2,302,516 shares (2,275,516 ordinary shares plus 27,000 ADSs) held by Mr. Paracchi and 129,936 shares underlying options to acquire ADSs of Genenta Science S.p.A. exercisable within 60 days of March 30, 2026. Mr. Paracchi is also enrolled in our loyalty share program and, based on his more than ten-year investment in Genenta Science S.p.A, has the right to 10 votes per share with respect to his ordinary shares.</w:t>
      </w:r>
    </w:p>
    <w:p>
      <w:pPr>
        <w:spacing w:after="0" w:line="2"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22,147 shares (19,947 ordinary shares plus 2,200 ADSs acquired through a 10b5-1 plan in July &amp; August 2024) held directly by Mr. Slansky and 124,596 ordinary shares underlying options to acquire ordinary shares of Genenta Science S.p.A. exercisable within 60 days of March 30, 2026. Mr. Slansky is not enrolled in our loyalty share program.</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Mr. G. Paracchi holds no shares or options in Genenta Science S.p.A.</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33,333 ADSs of Genenta Science S.p.A held by Mr. Mutti.</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46,891 shares underlying options to acquire ADSs of Genenta Science S.p.A. exercisable within 60 days of March 30, 2026.</w:t>
      </w:r>
    </w:p>
    <w:p>
      <w:pPr>
        <w:spacing w:after="0" w:line="6" w:lineRule="exact"/>
        <w:rPr>
          <w:sz w:val="20"/>
          <w:szCs w:val="20"/>
          <w:color w:val="auto"/>
        </w:rPr>
      </w:pPr>
    </w:p>
    <w:p>
      <w:pPr>
        <w:ind w:left="320" w:hanging="313"/>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24,274 shares underlying options to acquire ADSs of Genenta Science S.p.A. exercisable within 60 days of March 30, 2026.</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Consists of 1,896,730 ordinary shares. San Raffaele Hospital is enrolled in our loyalty share program.</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Consists of 1,386,145 ordinary shares. Dr. Naldini is enrolled in our loyalty share program.</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Significant Changes in Percentage Ownership</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there have been no significant changes in the percentage ownership held by our major shareholders since the IPO in December 2021, our loyalty share program which was established pursuant to shareholder approval at our 2024 Ordinary and Extraordinary Shareholders’ Meeting, gives shareholders the opportunity to receive increased votes for each ordinary share held in registered form after certain continuous periods of ownership of such ordinary shares. Accordingly, shareholders enrolled in the loyalty share program have received increased voting power with respect to qualifying ordinary shares. For more information regarding our loyalty share program, see “Item 10. Additional Information. B. Memorandum and Articles of Association.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in the U.S.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our knowledge, as of March 16, 2026, on the same basis of calculation as above, 59% of our total issued and outstanding ordinary shares were held by one record shareholder in the U.S., namely, The Bank of New York (formerly The Bank of New York Mellon), the depositary of our ADS program, which held 13,960,661 ordinary shares represented by 13,960,661 ADSs, or forty-two (42) brokers and institutional record holders. The actual number of holders is likely greater than these numbers of record holders and includes beneficial owners whose ordinary shares or ADSs are held in street name by brokers and other nominees. The number of holders of record also does not include holders whose shares may be held in trust by other entities.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above, we are not aware of any arrangement that may, at a subsequent date, result in a change of control of our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during the most recently completed financial year entered into transactions or loans with any (a) enterprises that are directly or indirectly controlled by or under common control with us; (b) our associates; (c) individuals directly or indirectly owning voting right which give them significant influence over us or close members of their respective families; (d) our directors, senior management or close members of their respective families; or (e) enterprises in which a substantial interest in the voting power is held or significantly influenced by any of the foregoing individuals (a “Related Party”), except as indicated below:</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OSR - San Raffaele Hospital</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a longstanding relationship with OSR. Beginning January 1, 2020, we entered into a six-year lease agreement for the use of office space in the OSR building. We paid OSR annual rent of approximately €15,000 in 2025 with a security deposit of €3,350.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entered into an Amended and Restated License Agreement (the “ARLA”) with OSR in March 2023, replacing its prior license arrangement.</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ARLA became effective following the required authorization under Italy’s Golden Power regulations (Law Decree No. 21/2012), which was granted by the competent Italian authority on April 20, 2023.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27" w:name="page128"/>
    <w:bookmarkEnd w:id="127"/>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terms of the ARLA, OSR has granted us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based-hematopoietic stem and progenitor cells (“HSPC”) gene transfer with respect to: any solid cancer indication (including glioblastoma and solid liver cancer) and/or any lympho-hematopoietic indication for which we exercise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 2023, we entered into a Sponsored Research Agreement (“CP1 SRA”), which was contemplated under the ARLA, pursuant to which we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us and provide an estimate for completing the research.</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28, 2023, we entered into an amendment to the ARLA, whereby we and OSR agreed that we had fulfilled the obligations as set forth in the ARLA specific to Candidate Products 1 pursuant to the CP1 SRA. Furthermore, the amendment provides that we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sponsored research agreement with regards to Candidate Products 2, OSR granted us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our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us.</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more information regarding the ALRA, CP1 SRA and the amendment to the ARLA, see “Item 4. Information on the Company—B. Business Overview —Collaboration / Licensing—Amended and Restated License Agreement with Ospedale San Raffaele” and “—Sponsored Research Agreement.”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Senior Management</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employment agreements with our CEO, Mr. Pierluigi Paracchi, and our CFO, Mr. Slansky, while the employment agreement of Dr. Russo, the former Chief Medical Officer and Head of Development, ended with his resignation on September 30, 2025. Dr. Russo’s successor, Dr. Galimi, was retained under a consulting agreement.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Pierluigi Paracchi and Mr. Slansky are entitled to gross annual base salaries of €451,560 and $375,000, respectively. All these employment agreements are subject to annual review by and at the sole discretion of the Compensation, Nomination, and Governance Committee of our board of directors. Mr. Paracchi is also eligible to receive an annual cash bonus of up to 40% of base salary, and Mr. Slansky is eligible to receive an annual cash bonus of up to 30% of base salary, provided that such individual achieves performance targets determined by the Compensation, Nomination and Governance Committee of the board of directors. Neither Mr. Pierluigi Paracchi nor Mr. Slansky received a bonus in 2025. In 2024, Mr. Pierluigi Paracchi received a cash bonus of €168,000, and Mr. Slansky received a cash bonus of $21,093.75 and a fully vested stock option on 7,669 ADSs in lieu of cash at an exercise price of $3.67 per ADS.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The employment agreement of Mr. Slansky, is governed by U.S. law and includes the following terms and conditions, among others:</w:t>
      </w:r>
    </w:p>
    <w:p>
      <w:pPr>
        <w:spacing w:after="0" w:line="220" w:lineRule="exact"/>
        <w:rPr>
          <w:sz w:val="20"/>
          <w:szCs w:val="20"/>
          <w:color w:val="auto"/>
        </w:rPr>
      </w:pPr>
    </w:p>
    <w:p>
      <w:pPr>
        <w:jc w:val="both"/>
        <w:ind w:left="1280" w:hanging="633"/>
        <w:spacing w:after="0" w:line="253" w:lineRule="auto"/>
        <w:tabs>
          <w:tab w:leader="none" w:pos="128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term commencing on November 1, 2021, and continuing until terminated: (i) upon death of Mr. Slansky; (ii) upon his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us without cause (each as defined in the agreement), with restrictive covenants applicable for a corresponding period after termination.</w:t>
      </w:r>
    </w:p>
    <w:p>
      <w:pPr>
        <w:spacing w:after="0" w:line="185" w:lineRule="exact"/>
        <w:rPr>
          <w:rFonts w:ascii="Times New Roman" w:cs="Times New Roman" w:eastAsia="Times New Roman" w:hAnsi="Times New Roman"/>
          <w:sz w:val="18"/>
          <w:szCs w:val="18"/>
          <w:i w:val="1"/>
          <w:iCs w:val="1"/>
          <w:color w:val="auto"/>
        </w:rPr>
      </w:pPr>
    </w:p>
    <w:p>
      <w:pPr>
        <w:jc w:val="both"/>
        <w:ind w:left="1280" w:hanging="633"/>
        <w:spacing w:after="0" w:line="257" w:lineRule="auto"/>
        <w:tabs>
          <w:tab w:leader="none" w:pos="12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Mr. Slansky is terminated three months prior to, or one year after, a Change of Control (as defined in the agreement) by us for any reason other than cause, or by Mr. Slansky for good reason, then Mr. Slansky shall be entitled to receive a cash payment equal to a multiple of his then-current annual base salary determined by the time elapsed since the commencement of the agreement two times such salary, in the case of Mr. Slansky. Such payment shall be in lieu of the severance payment described in the agreement.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employment agreement of Mr. Pierluigi Paracchi is governed by Italian law and includes the following terms and conditions, among others:</w:t>
      </w:r>
    </w:p>
    <w:p>
      <w:pPr>
        <w:spacing w:after="0" w:line="218" w:lineRule="exact"/>
        <w:rPr>
          <w:sz w:val="20"/>
          <w:szCs w:val="20"/>
          <w:color w:val="auto"/>
        </w:rPr>
      </w:pPr>
    </w:p>
    <w:p>
      <w:pPr>
        <w:ind w:left="1280" w:hanging="633"/>
        <w:spacing w:after="0"/>
        <w:tabs>
          <w:tab w:leader="none" w:pos="1280" w:val="left"/>
        </w:tabs>
        <w:numPr>
          <w:ilvl w:val="0"/>
          <w:numId w:val="8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duties of general manager (</w:t>
      </w:r>
      <w:r>
        <w:rPr>
          <w:rFonts w:ascii="Times New Roman" w:cs="Times New Roman" w:eastAsia="Times New Roman" w:hAnsi="Times New Roman"/>
          <w:sz w:val="18"/>
          <w:szCs w:val="18"/>
          <w:i w:val="1"/>
          <w:iCs w:val="1"/>
          <w:color w:val="auto"/>
        </w:rPr>
        <w:t>direttore generale</w:t>
      </w:r>
      <w:r>
        <w:rPr>
          <w:rFonts w:ascii="Times New Roman" w:cs="Times New Roman" w:eastAsia="Times New Roman" w:hAnsi="Times New Roman"/>
          <w:sz w:val="18"/>
          <w:szCs w:val="18"/>
          <w:color w:val="auto"/>
        </w:rPr>
        <w:t>) with direct report to our board of directors;</w:t>
      </w:r>
    </w:p>
    <w:p>
      <w:pPr>
        <w:spacing w:after="0" w:line="221" w:lineRule="exact"/>
        <w:rPr>
          <w:rFonts w:ascii="Times New Roman" w:cs="Times New Roman" w:eastAsia="Times New Roman" w:hAnsi="Times New Roman"/>
          <w:sz w:val="18"/>
          <w:szCs w:val="18"/>
          <w:i w:val="1"/>
          <w:iCs w:val="1"/>
          <w:color w:val="auto"/>
        </w:rPr>
      </w:pPr>
    </w:p>
    <w:p>
      <w:pPr>
        <w:ind w:left="1280" w:right="20" w:hanging="633"/>
        <w:spacing w:after="0" w:line="277" w:lineRule="auto"/>
        <w:tabs>
          <w:tab w:leader="none" w:pos="1280" w:val="left"/>
        </w:tabs>
        <w:numPr>
          <w:ilvl w:val="0"/>
          <w:numId w:val="8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reimbursement of reasonable expenses incurred in the performance of his work duties, health benefits and, subject to the approval of the board of directors, a grant of an equity award under an equity incentive plan;</w:t>
      </w:r>
    </w:p>
    <w:p>
      <w:pPr>
        <w:spacing w:after="0" w:line="162" w:lineRule="exact"/>
        <w:rPr>
          <w:rFonts w:ascii="Times New Roman" w:cs="Times New Roman" w:eastAsia="Times New Roman" w:hAnsi="Times New Roman"/>
          <w:sz w:val="18"/>
          <w:szCs w:val="18"/>
          <w:i w:val="1"/>
          <w:iCs w:val="1"/>
          <w:color w:val="auto"/>
        </w:rPr>
      </w:pPr>
    </w:p>
    <w:p>
      <w:pPr>
        <w:jc w:val="both"/>
        <w:ind w:left="1280" w:hanging="633"/>
        <w:spacing w:after="0" w:line="257" w:lineRule="auto"/>
        <w:tabs>
          <w:tab w:leader="none" w:pos="1280" w:val="left"/>
        </w:tabs>
        <w:numPr>
          <w:ilvl w:val="0"/>
          <w:numId w:val="8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case of Change of Control (as defined in the relevant agreement), in the event of termination not for “cause” by us of resignation for “cause” by Mr. Pierluigi Paracchi (such terms as understood in accordance with Article 2119 of the Italian Civil Code), Mr. Pierluigi Paracchi shall be entitled to receive a cash payment equal to three times his then-current annual base salary (such indemnity will replace any indemnity provided for by the applicable National Collective Labour Agreement in case of termination); and</w:t>
      </w:r>
    </w:p>
    <w:p>
      <w:pPr>
        <w:spacing w:after="0" w:line="180" w:lineRule="exact"/>
        <w:rPr>
          <w:rFonts w:ascii="Times New Roman" w:cs="Times New Roman" w:eastAsia="Times New Roman" w:hAnsi="Times New Roman"/>
          <w:sz w:val="18"/>
          <w:szCs w:val="18"/>
          <w:i w:val="1"/>
          <w:iCs w:val="1"/>
          <w:color w:val="auto"/>
        </w:rPr>
      </w:pPr>
    </w:p>
    <w:p>
      <w:pPr>
        <w:ind w:left="1280" w:right="20" w:hanging="633"/>
        <w:spacing w:after="0" w:line="277" w:lineRule="auto"/>
        <w:tabs>
          <w:tab w:leader="none" w:pos="1280" w:val="left"/>
        </w:tabs>
        <w:numPr>
          <w:ilvl w:val="0"/>
          <w:numId w:val="8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non-competition and non-solicitation obligations of Mr. Pierluigi Paracchi for a 12-month period after the termination of his employment in consideration for compensation equal to 12 months after termination at his then-current monthly base salary for each obligation.</w:t>
      </w:r>
    </w:p>
    <w:p>
      <w:pPr>
        <w:spacing w:after="0" w:line="162" w:lineRule="exact"/>
        <w:rPr>
          <w:rFonts w:ascii="Times New Roman" w:cs="Times New Roman" w:eastAsia="Times New Roman" w:hAnsi="Times New Roman"/>
          <w:sz w:val="18"/>
          <w:szCs w:val="18"/>
          <w:i w:val="1"/>
          <w:iCs w:val="1"/>
          <w:color w:val="auto"/>
        </w:rPr>
      </w:pPr>
    </w:p>
    <w:p>
      <w:pPr>
        <w:ind w:left="1280"/>
        <w:spacing w:after="0" w:line="27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Such agreement is continuing until terminated, among other things: (a) upon death of Mr. Pierluigi Paracchi; (b) for just cause; (c) with objective or subjective reason; (d) by resignation of Mr, Pierluigi Paracchi; or (e) voluntarily by mutual agreement between the parties.</w:t>
      </w:r>
    </w:p>
    <w:p>
      <w:pPr>
        <w:spacing w:after="0" w:line="160" w:lineRule="exact"/>
        <w:rPr>
          <w:rFonts w:ascii="Times New Roman" w:cs="Times New Roman" w:eastAsia="Times New Roman" w:hAnsi="Times New Roman"/>
          <w:sz w:val="18"/>
          <w:szCs w:val="18"/>
          <w:i w:val="1"/>
          <w:iCs w:val="1"/>
          <w:color w:val="auto"/>
        </w:rPr>
      </w:pPr>
    </w:p>
    <w:p>
      <w:pPr>
        <w:ind w:left="12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Consultancy Agreements</w:t>
      </w:r>
    </w:p>
    <w:p>
      <w:pPr>
        <w:spacing w:after="0" w:line="221" w:lineRule="exact"/>
        <w:rPr>
          <w:rFonts w:ascii="Times New Roman" w:cs="Times New Roman" w:eastAsia="Times New Roman" w:hAnsi="Times New Roman"/>
          <w:sz w:val="18"/>
          <w:szCs w:val="18"/>
          <w:i w:val="1"/>
          <w:iCs w:val="1"/>
          <w:color w:val="auto"/>
        </w:rPr>
      </w:pPr>
    </w:p>
    <w:p>
      <w:pPr>
        <w:jc w:val="both"/>
        <w:ind w:left="1280"/>
        <w:spacing w:after="0" w:line="26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Prof. Naldini and Dr. Gentner entered into consulting agreements in connection with their service on our Executive Scientific Board. In October 2025, Prof. Naldini’s agreement was amended to shorten its term to December 31, 2025, without automatic renewal. Similarly, Dr. Gentner’s agreement was amended to shorten its term to December 31, 2025, without automatic renewal.</w:t>
      </w:r>
    </w:p>
    <w:p>
      <w:pPr>
        <w:spacing w:after="0" w:line="202" w:lineRule="exact"/>
        <w:rPr>
          <w:rFonts w:ascii="Times New Roman" w:cs="Times New Roman" w:eastAsia="Times New Roman" w:hAnsi="Times New Roman"/>
          <w:sz w:val="18"/>
          <w:szCs w:val="18"/>
          <w:i w:val="1"/>
          <w:iCs w:val="1"/>
          <w:color w:val="auto"/>
        </w:rPr>
      </w:pPr>
    </w:p>
    <w:p>
      <w:pPr>
        <w:jc w:val="both"/>
        <w:ind w:left="1280"/>
        <w:spacing w:after="0" w:line="26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On October 1, 2025, we entered into a consulting agreement with FG Consulting Inc. in connection with the provision of ongoing scientific and strategic advisory services. Under this agreement, the Consultant, Francesco Galimi, supports the strengthening of our scientific credibility and visibility in the U.S., facilitates introductions to principal investigators and potential pharmaceutical development partners, and collaborates with external financial and strategic advisors regarding potential alliances, licensing, or co-development opportunities. Dr. Galimi would also provide expert guidance on clinical trial design and regulatory planning, including support for pivotal-trial readiness, and leading efforts to expand our scientific advisory board. In addition, Dr. Galimi now serves as acting Chief Medical Officer and Head of Development and advises the Chief Executive Officer on corporate strategy, pipeline development, and related personnel matters.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29" w:name="page130"/>
    <w:bookmarkEnd w:id="129"/>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entered into an indemnification agreement with our directors and executive officers which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our company; and (iii) officers and directors are held liable towards our company.</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are stated in EUROs and are prepared in accordance with US GAAP.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Audited Financial Statements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consolidated financial statements for the 2025, 2024, and 2023 fiscal years as required under Item 18 are included immediately following the text of this Annual Report. Our audit reports are included herein immediately preceding the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Dividend Distributions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not paid any dividends on our outstanding ordinary shares since our incorporation and do not anticipate that we will do so in the foreseeable future. The payment of dividends in the future, if any, is within the discretion of our Board of Directors and will depend upon our earnings, our capital requirements, and our financial condition and other relevant factors. We do not anticipate declaring or paying any dividends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in the form of ADSs under the symbol “GNTA.” Neither the Company’s ordinary shares nor its ADSs are listed on a securities exchange outside the U.S. Bank of New York (formerly the Bank of New York Mellon) is our depositary for purposes of issuing ADSs. Trading in the ADSs on The Nasdaq Capital Market commenced on December 15,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9. The Offer and Listing-A. Offer and Listing Details.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description of certain terms and provisions of our bylaws (our “Bylaws”) is incorporated by reference to our Registration Statement on Form F-1 (File No. 333-260923) filed with the SEC and as declared effective on December 14, 2021, and to our Form 6-K filed with the SEC on May 3, 2024.</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2024 Ordinary and Extraordinary Shareholders’ Meeting, our shareholders approved an amendment to our Bylaws that established a loyalty share program. Under the loyalty share program, each ordinary share held in registered form entitles the shareholder to a double vote (i.e., two votes for each ordinary share) if the ordinary share has been held by the same shareholder for a continuous period of not less than twenty-four months from the date of its registration in the special list maintained by us, and an additional vote is also granted upon the expiration of each 12-month period, following the expiration of the period referred to above, in which such ordinary share has been held by the shareholder, up to a total maximum of ten votes per ordinary share.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1" w:name="page132"/>
    <w:bookmarkEnd w:id="131"/>
    <w:p>
      <w:pPr>
        <w:jc w:val="both"/>
        <w:spacing w:after="0" w:line="251" w:lineRule="auto"/>
        <w:rPr>
          <w:sz w:val="20"/>
          <w:szCs w:val="20"/>
          <w:color w:val="auto"/>
        </w:rPr>
      </w:pPr>
      <w:r>
        <w:rPr>
          <w:rFonts w:ascii="Times New Roman" w:cs="Times New Roman" w:eastAsia="Times New Roman" w:hAnsi="Times New Roman"/>
          <w:sz w:val="18"/>
          <w:szCs w:val="18"/>
          <w:color w:val="auto"/>
        </w:rPr>
        <w:t>To effect the loyalty share program, a special list (the “Special List”) is maintained by us. To be added to the Special List, the registered shareholder would need to submit a specific application, enclosing a communication certifying the ordinary share ownership – which may also concern only part of the ordinary shares held by the registered shareholder – issued by the intermediary with whom the ordinary shares are deposited pursuant to the laws in force. In the case of entities other than individuals, the application would need to specify whether the entity is subject to direct or indirect control by third parties and the identification data of the controlling entity, if any. The Special List is updated by us. Cancellation from the Special List results from the following cases: renunciation of the interested party; communication of the interested party or of the intermediary proving the loss of the prerequisites for the increase of the voting right or the loss of the ownership of the right; ex officio, when we are informed of the occurrence of facts that entail the loss of the prerequisites for the increase of the voting right or the loss of the ownership of the right.</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At our October 2025 Ordinary and Extraordinary Shareholder’s Meeting, our shareholders approved an amendment to our Bylaws, specifically an amendment to Article 4, to expand our corporate purpose to include all sectors covered by the Italian Law Decree 21/2012 (i.e. Golden Power legislation).</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amended Article 4 of our Bylaws, we achieve the following purpose: a) research, development, production, mass production and sale of new therapeutic compounds of bio-technological, biologic and chemical origin relating to the pharmaceutical, biotechnological, molecular and cellular medicine, genetic and diagnostic segments of industry (hereinafter also the “Business”); b) production, processing of materials and provision of services in relation to the Business; c) development and improvement of new technologies and procedures in relation to the Business; d) mass production, production and distribution on own behalf and on behalf of third parties of pharmaceutical and para-pharmaceutical products, bio-technological, biologic and chemical products and their derivatives; and, e) promotion and organization or updates to its offering of scientific courses.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also have as our purpose the research, development, production, and commercialization, both in Italy and abroad, of products, services, technologies, and applications in all sectors contemplated by the Italian legislation on the exercise of special powers (so-called “Golden Power”) in force from time to time, as well as any related, instrumental and complementary activities.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order to achieve this purpose, we may execute any transaction we consider necessary or useful, albeit only secondarily and only as a means to achieving our stated purpose, which may involve transactions in securities, real property, commercial, industrial or financial in nature, including taking on mortgages and unsecured debt, in any form, with private individuals, companies, and banks, and issue collateral and other guarantees, including personal guarantees, letters of indemnity and guarantee.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may also take on and sell, directly or indirectly, interests or investments in other companies or enterprises whether established or in the process of establishment, whose purpose is similar, related, or in any way connected to our own. Expressly excluded from this purpose is any activity vis-à-vis the public that the law defines as “financial activity” and, except in certain cases and in full compliance with the related provisions set forth by law, any reserved professional activities and activities allowed by law only to certain individuals and legal entities.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or other than those described in “Item 4. Information on the Company” or elsewhere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Italian law, there are no exchange control restrictions on investments in, or payments on, the Genenta ordinary shares. There are no special restrictions in the Genenta Articles of Association or Italian law that limit the right of shareholders who are not citizens or residents of Italy to hold or vote the Genenta ordinary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Italian Tax Consequences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color w:val="auto"/>
        </w:rPr>
        <w:t>. Under Italian law, financial instruments issued by an Italian company are subject to the same tax regime as shares, provided that their remuneration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Income Tax Withholding on Dividends</w:t>
      </w:r>
      <w:r>
        <w:rPr>
          <w:rFonts w:ascii="Times New Roman" w:cs="Times New Roman" w:eastAsia="Times New Roman" w:hAnsi="Times New Roman"/>
          <w:sz w:val="18"/>
          <w:szCs w:val="18"/>
          <w:color w:val="auto"/>
        </w:rPr>
        <w:t>. We do not anticipate making any distributions on our ordinary shares in the foreseeable future. However, if we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American Depository Receipts (“ADRs”) or holders of equity shares not residing in Italy will initially receive will be net of such Italian substitute tax.</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Italian law, U.S. owners can claim, in accordance with Presidential Decree No. 600 of October 16, 1973, Article 27(3), a refund of up to eleven-twenty-sixths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double tax treaty in force between Italy and the U.S.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or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Companies or entities subject to corporation tax and resident in States that are E.U. Member States or participants in the EEA (included in the list provided for by Italian Ministerial Decree, September 4, 1996, amended and supplemented by Ministerial Decree March 23, 2017) may be entitled to a reduced tax rate of 1.2% on dividends distributed. The pension funds established in an E.U. Member State or EEA country may be entitled to a reduced tax rate of 11% or, under certain conditions, to exemption from Italian taxation on dividends.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on Capital Gains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gains from shares in Italian companies, under custody in Italy, could give rise to a taxable income for the non-resident transferor.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33" w:name="page134"/>
    <w:bookmarkEnd w:id="133"/>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Capital gains exempt from taxation in Italy </w:t>
      </w:r>
      <w:r>
        <w:rPr>
          <w:rFonts w:ascii="Times New Roman" w:cs="Times New Roman" w:eastAsia="Times New Roman" w:hAnsi="Times New Roman"/>
          <w:sz w:val="18"/>
          <w:szCs w:val="18"/>
          <w:color w:val="auto"/>
        </w:rPr>
        <w:t>- “Non-qualified shareholdings” are those which are below 2% of the voting rights and 5% of the capital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exchange-listed company. Gains from the disposal of non-qualified share investments in Italian listed companies by non-Italian residents are not subject to Italian income tax under domestic rule.</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Capital gains subject to tax in Italy </w:t>
      </w:r>
      <w:r>
        <w:rPr>
          <w:rFonts w:ascii="Times New Roman" w:cs="Times New Roman" w:eastAsia="Times New Roman" w:hAnsi="Times New Roman"/>
          <w:sz w:val="18"/>
          <w:szCs w:val="18"/>
          <w:color w:val="auto"/>
        </w:rPr>
        <w:t>- “Qualified shareholdings” in a listed company are those representing more than the 2% of the voting rights or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5% of the capital of an exchange-listed company. Capital gains from the disposal of a qualified shareholding in a listed company are subject to a withholding tax of 26% under the domestic rule.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Consequently,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w:t>
      </w:r>
    </w:p>
    <w:p>
      <w:pPr>
        <w:spacing w:after="0" w:line="3" w:lineRule="exact"/>
        <w:rPr>
          <w:sz w:val="20"/>
          <w:szCs w:val="20"/>
          <w:color w:val="auto"/>
        </w:rPr>
      </w:pPr>
    </w:p>
    <w:p>
      <w:pPr>
        <w:ind w:firstLine="7"/>
        <w:spacing w:after="0" w:line="255" w:lineRule="auto"/>
        <w:tabs>
          <w:tab w:leader="none" w:pos="27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from the day when the taxpayer holds a qualifying shareholding, all the trades carried out in any consecutive 12 months give rise to qualified capital gains if the overall amount disposed of exceeds one of the relevant thresholds.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However, please be informed that in accordance with the rules stated in the anti-double tax treaty, in force between Italy and the country of residence for tax purposes of the transferor, it is possible to claim the benefit of exemption from the 26% taxation on capital gains. In principle, and in more detail, the art. 13 of the OECD model convention basically states that the capital gain is only taxed in the transferor’s country of tax residence. The Italy – U.S. anti-double tax treaty convention states a taxation criterion in line with the above. In light of the above and upon conditions that all the requirements relevant to the application of the Italy – U.S. anti-double tax treaty convention are met, a U.S. investor may benefit from full exemption of taxation in Italy.</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are effectively connected. To this end, U.S. owners selling ordinary shares and claiming benefits under the Income Tax Convention may be required to produce appropriate documentation establishing that the above-mentioned conditions have been met.</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Estate and Gift Tax</w:t>
      </w:r>
      <w:r>
        <w:rPr>
          <w:rFonts w:ascii="Times New Roman" w:cs="Times New Roman" w:eastAsia="Times New Roman" w:hAnsi="Times New Roman"/>
          <w:sz w:val="18"/>
          <w:szCs w:val="18"/>
          <w:color w:val="auto"/>
        </w:rPr>
        <w:t>. Inheritance and gift taxes, which were abolished in 2001, have been re-introduced in the Italian system by Law Decree No. 262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 (a) 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w:t>
      </w:r>
    </w:p>
    <w:p>
      <w:pPr>
        <w:spacing w:after="0" w:line="2" w:lineRule="exact"/>
        <w:rPr>
          <w:sz w:val="20"/>
          <w:szCs w:val="20"/>
          <w:color w:val="auto"/>
        </w:rPr>
      </w:pPr>
    </w:p>
    <w:p>
      <w:pPr>
        <w:jc w:val="both"/>
        <w:ind w:firstLine="7"/>
        <w:spacing w:after="0" w:line="251" w:lineRule="auto"/>
        <w:tabs>
          <w:tab w:leader="none" w:pos="24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Transfer tax</w:t>
      </w:r>
      <w:r>
        <w:rPr>
          <w:rFonts w:ascii="Times New Roman" w:cs="Times New Roman" w:eastAsia="Times New Roman" w:hAnsi="Times New Roman"/>
          <w:sz w:val="18"/>
          <w:szCs w:val="18"/>
          <w:color w:val="auto"/>
        </w:rPr>
        <w:t>. In connection with the Italian stamp duty tax on the transfer of shares, according to Article 37 of Law No. 248 of December 31, 2007,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amendments into Law No. 31 of February 28, 2008, the stamp duty has been abolished regarding contracts having as their object the transfer of shares. In certain cases, the relevant transfer acts would be subject to the registration tax at a flat amount equal to €200.</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Communications Stamp Duty</w:t>
      </w:r>
      <w:r>
        <w:rPr>
          <w:rFonts w:ascii="Times New Roman" w:cs="Times New Roman" w:eastAsia="Times New Roman" w:hAnsi="Times New Roman"/>
          <w:sz w:val="18"/>
          <w:szCs w:val="18"/>
          <w:color w:val="auto"/>
        </w:rPr>
        <w:t>. A stamp duty has been introduced under Article 19 of Law Decree No. 201 of December 6, 2011, converted into Law No. 214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Times New Roman" w:cs="Times New Roman" w:eastAsia="Times New Roman" w:hAnsi="Times New Roman"/>
          <w:sz w:val="18"/>
          <w:szCs w:val="18"/>
          <w:i w:val="1"/>
          <w:iCs w:val="1"/>
          <w:color w:val="auto"/>
        </w:rPr>
        <w:t>pro-rata temporis</w:t>
      </w:r>
      <w:r>
        <w:rPr>
          <w:rFonts w:ascii="Times New Roman" w:cs="Times New Roman" w:eastAsia="Times New Roman" w:hAnsi="Times New Roman"/>
          <w:sz w:val="18"/>
          <w:szCs w:val="18"/>
          <w:color w:val="auto"/>
        </w:rPr>
        <w:t xml:space="preserve"> basis (from January 1 up to December 31). The minimum amount is fixed at €34.20 up to a maximum amount of €14,000 for persons other than individuals. The communication is deemed to be sent to clients at least once a year, even where there is no obligation to issue any such communication.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34" w:name="page135"/>
    <w:bookmarkEnd w:id="134"/>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Financial Transaction Tax</w:t>
      </w:r>
      <w:r>
        <w:rPr>
          <w:rFonts w:ascii="Times New Roman" w:cs="Times New Roman" w:eastAsia="Times New Roman" w:hAnsi="Times New Roman"/>
          <w:sz w:val="18"/>
          <w:szCs w:val="18"/>
          <w:color w:val="auto"/>
        </w:rPr>
        <w:t>. Law 228 of December 24, 2012, Article 1(491 – 500) introduced the Italian Financial Transaction Tax applicable: (i)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and (v) to over-the-counter transactions with a full rate.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ADRs, Global Depository Receipts and any other certificate of deposit, where the underlying securities are Italian Equity.</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value of the transaction is determined based on the net balance of the transactions settled daily, calculated for each taxpayer with reference to the number of securities traded under the transactions settled in the same day and relating to the same financial instrument.</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Italian Financial Transaction Tax is due by the person in whose favor the transfer of ownership of the Qualifying Equities occurs.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rate applicable is 0.20% while the reduced rate for transactions on “regulated markets and on multilateral trading facilities” is 0.10%.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shall be paid by the 16th day of the month following the one in which the relevant triggering event occurs.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U.S., including an alien individual who is a lawful permanent resident of the U.S.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U.S. or the District of Columbia or any political subdivision thereof; (3) an estate, the income of which is includable in gross income for U.S. federal income tax purposes regardless of its source; (4) a trust if a court within the U.S. is able to exercise primary supervision over the administration of the trust and one or more U.S. persons have authority to control all substantial decisions of the trust; or (5) a trust that has a valid election in effect to be treated as a domestic trust to the extent provided in U.S. Treasury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35" w:name="page136"/>
    <w:bookmarkEnd w:id="135"/>
    <w:p>
      <w:pPr>
        <w:jc w:val="both"/>
        <w:spacing w:after="0" w:line="251" w:lineRule="auto"/>
        <w:rPr>
          <w:sz w:val="20"/>
          <w:szCs w:val="20"/>
          <w:color w:val="auto"/>
        </w:rPr>
      </w:pPr>
      <w:r>
        <w:rPr>
          <w:rFonts w:ascii="Times New Roman" w:cs="Times New Roman" w:eastAsia="Times New Roman" w:hAnsi="Times New Roman"/>
          <w:sz w:val="18"/>
          <w:szCs w:val="18"/>
          <w:color w:val="auto"/>
        </w:rPr>
        <w:t>This summary is for general information purposes only and does not purport to be a comprehensive description of all the U.S. federal income tax considerations that may be relevant to a decision to invest in or dispose of the ADSs. This summary generally considers only U.S. Holders that will own the ADSs as capital assets and who will not hold the ADSs as part of a permanent establishment in Italy.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available and in effect as of the date hereof and all of which are subject to change, possibly on a retroactive basis, and all of which are open to differing interpretations. We will not seek a ruling from the IRS regarding the U.S. federal income tax treatment of an investment in the ADSs by U.S. Holders and, therefore, can provide no assurances that the IRS will agree with the conclusions set forth below.</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discussion does not address all the aspects of U.S. federal income taxation that may be relevant to a particular U.S. holder based on such holder’s particular circumstances and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a real estate investment trust or grantor trust; (8) certain expatriates or former long-term residents of the U.S.; (9) an accrual method taxpayer subject to the rules of Section 451(b) by reason of using certain financial statements; or (10) a U.S. Holder having a functional currency other than the U.S. dollar. This discussion does not address the U.S. federal income tax treatment of a U.S. Holder that owns, directly or constructively, at any time, securities representing 10% or more of the voting power or value of our shares.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Additionally, the U.S. federal income tax treatment of partnerships (or other pass-through entities) or persons who hold securities through a partnership or other pass-through entity are not addressed. If a partnership (including any entity treated as a partnership for U.S. federal income tax purposes) holds ADSs, the U.S. federal income tax consequences to such partnership or the partners of such partnership will depend on the activities of the partnership and the status of the partners.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Each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Paid on Ordinary Shares</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U.S. dollar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that exceeds our earnings and profits will be treated first as a non-taxable return of capital, reducing the U.S. Holder’s tax basis for the ordinary shares to the extent thereof, and then as capital gain. We do not expect to maintain calculations of our earnings and profits under U.S. federal income tax principles and, therefore, U.S. Holders should expect that the entire amount of any distribution generally will be reported as dividend income. Any dividends we pay with respect to the ADSs, or ordinary shares, are expected to constitute foreign source income for U.S. foreign tax credit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6" w:name="page137"/>
    <w:bookmarkEnd w:id="136"/>
    <w:p>
      <w:pPr>
        <w:jc w:val="both"/>
        <w:spacing w:after="0" w:line="257" w:lineRule="auto"/>
        <w:rPr>
          <w:sz w:val="20"/>
          <w:szCs w:val="20"/>
          <w:color w:val="auto"/>
        </w:rPr>
      </w:pPr>
      <w:r>
        <w:rPr>
          <w:rFonts w:ascii="Times New Roman" w:cs="Times New Roman" w:eastAsia="Times New Roman" w:hAnsi="Times New Roman"/>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U.S., which includes an exchange of information program. The IRS has stated that the Italy/U.S. Tax Treaty satisfies this requirement, and we believe we are eligible for the benefits of that treaty.</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our dividends will be qualified dividend income if our ordinary shares are readily tradable on Nasdaq or another established securities market in the U.S.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certain limitations, Italian withholding tax, if any, paid in connection with any distribution with respect to ADSs may be claimed as a credit against a U.S. Holder’s U.S. federal income tax liability if the U.S. Holder elects not to take a deduction for any non-U.S. income taxes for that taxable year; otherwise, such Italian withholding tax may be taken as a deduction. If a U.S. Holder is eligible for benefits under the Treaty or is otherwise entitled to a refund for the taxes withheld, the U.S. Holder will not be entitled to a foreign tax credit or deduction for the amount of any Italian taxes withheld in excess of the maximum rate under the Treaty or for the taxes with respect to which the U.S. Holder can obtain a refund from the Italian taxing authorities. As the relevant rules are very complex, U.S. Holders should consult their own tax advisors concerning the availability and utilization of the foreign tax credit or deductions for non-U.S. taxes in their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Disposition of Ordinary Shares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Companies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Special U.S. federal income tax laws apply to U.S. taxpayers who own shares of a corporation that is a PFIC. We will be treated as a PFIC for U.S. federal income tax purposes for any taxable year that either:</w:t>
      </w:r>
    </w:p>
    <w:p>
      <w:pPr>
        <w:spacing w:after="0" w:line="163" w:lineRule="exact"/>
        <w:rPr>
          <w:sz w:val="20"/>
          <w:szCs w:val="20"/>
          <w:color w:val="auto"/>
        </w:rPr>
      </w:pPr>
    </w:p>
    <w:p>
      <w:pPr>
        <w:ind w:left="640" w:hanging="313"/>
        <w:spacing w:after="0" w:line="277" w:lineRule="auto"/>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our gross income (including our pro rata share of gross income for any company, in which we are considered to own 25% or more of the shares by value), in a taxable year is passive; or</w:t>
      </w:r>
    </w:p>
    <w:p>
      <w:pPr>
        <w:spacing w:after="0" w:line="162" w:lineRule="exact"/>
        <w:rPr>
          <w:rFonts w:ascii="Times New Roman" w:cs="Times New Roman" w:eastAsia="Times New Roman" w:hAnsi="Times New Roman"/>
          <w:sz w:val="18"/>
          <w:szCs w:val="18"/>
          <w:color w:val="auto"/>
        </w:rPr>
      </w:pPr>
    </w:p>
    <w:p>
      <w:pPr>
        <w:ind w:left="640" w:hanging="313"/>
        <w:spacing w:after="0" w:line="307" w:lineRule="auto"/>
        <w:tabs>
          <w:tab w:leader="none" w:pos="6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1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status as a PFIC will depend on the nature and composition of our income and the nature, composition and value of our assets. Our status may also depend, in part, on how quickly we utilize cash proceeds received from previous offerings of our ADSs or ordinary shares in our business. Based on preliminary analysis, we believe that we were likely classified as a PFIC in 2025, and we may be classified as a PFIC for 2026 and future years.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currently are or become a PFIC during the holding period of a U.S. Holder, the U.S. Holder would be subject to potentially materially greater amounts of tax and subject to additional U.S. tax form filing requirements. In addition, as noted above, a non-corporate U.S. Holder will not be eligible for qualified dividend income treatment on dividends received from us if we are treated as a PFIC for the taxable year in which the dividends are received or for the preceding taxable year. Specifically,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However, we provide no assurance as to whether we will calculate our “ordinary earnings” or “net capital gain” under U.S. tax principles or supply U.S. Holders with the required “PFIC Annual Information Statement.” If we do not provide this information for any reason, it generally will not be possible for a U.S. Holder to make a QEF election if we are, or if we become, a PFIC.</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who hold our ordinary shares during a period when we are a PFIC will be subject to the foregoing rules, even if we cease to be a PFIC.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are strongly urged to consult their tax advisors about the PFIC rules.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i w:val="1"/>
          <w:iCs w:val="1"/>
          <w:color w:val="auto"/>
        </w:rPr>
        <w:t>Tax on Net Investment Income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Withholding</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U.S. federal income tax law requires certain U.S. investors to disclose information relating to investments in securities of a non-U.S. issuer. Failure to comply with applicable disclosure requirements could result in the imposition of substantial penalties. U.S. Holders should consult their own tax advisors regarding any disclosure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concerning us that are referred to in this document may be inspected at our office at Via dell’Annunciata, n. 31, 20121 Milan, Italy.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However, effective March 18, 2026, our directors and officers became subject to the insider reporting requirements of Section 16(a) of the Exchange Act. The Commission maintains a web site that contains reports and other information regarding registrants (including us) that file electronically with the Commission which can be assessed at http://www.sec.gov.</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 ABOUT MARKET RISK</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activities expose us to a variety of financial risks: market risk (including foreign currency risk and interest rate risk), credit risk, and liquidity risk. The overall risk management strategy focuses on the unpredictability of the financial markets and seeks to minimize the potential adverse effects on financial performance. We use different methods to measure different types of risk to which we are exposed. These methods include sensitivity analysis in the case of interest rate, foreign exchange, and other price risks, aging analysis for credit risk, and beta analysis with respect to investment portfolios to determine market risk. Risk management is carried out under the direction of the Board. Please see Note 1 – Nature of business and history - to our audited consolidated financial statements for further information with respect to certain of these risks.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Bank of New York (formerly The Bank of New York Mellon), as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shares or ADS holders must pay:</w:t>
      </w:r>
      <w:r>
        <w:rPr>
          <w:sz w:val="20"/>
          <w:szCs w:val="20"/>
          <w:color w:val="auto"/>
        </w:rPr>
        <w:tab/>
      </w:r>
      <w:r>
        <w:rPr>
          <w:rFonts w:ascii="Times New Roman" w:cs="Times New Roman" w:eastAsia="Times New Roman" w:hAnsi="Times New Roman"/>
          <w:sz w:val="17"/>
          <w:szCs w:val="17"/>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068"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 (or less) per 100 ADSs (or portion of 100 ADSs).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176" w:lineRule="exact"/>
        <w:rPr>
          <w:sz w:val="20"/>
          <w:szCs w:val="20"/>
          <w:color w:val="auto"/>
        </w:rPr>
      </w:pPr>
    </w:p>
    <w:p>
      <w:pPr>
        <w:sectPr>
          <w:pgSz w:w="11900" w:h="16838" w:orient="portrait"/>
          <w:cols w:equalWidth="0" w:num="2">
            <w:col w:w="5020" w:space="720"/>
            <w:col w:w="5500"/>
          </w:cols>
          <w:pgMar w:left="320" w:top="677" w:right="339" w:bottom="1068"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$.025 (or less) per ADS.</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$.025 (or less) per ADS per calendar year.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or transfer fees.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cash distribution to ADS holders, distribution of securities distributed to holders of deposited securities (including rights) that are distributed by the depositary to ADS holder depositary services.</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Cable (including SWIFT) and facsimile transmissions (when expressly provided in the deposit agreement) Converting foreign currency to U.S. dollars, as necessary.</w:t>
      </w:r>
    </w:p>
    <w:p>
      <w:pPr>
        <w:spacing w:after="0" w:line="186" w:lineRule="exact"/>
        <w:rPr>
          <w:sz w:val="20"/>
          <w:szCs w:val="20"/>
          <w:color w:val="auto"/>
        </w:rPr>
      </w:pPr>
    </w:p>
    <w:p>
      <w:pPr>
        <w:sectPr>
          <w:pgSz w:w="11900" w:h="16838" w:orient="portrait"/>
          <w:cols w:equalWidth="0" w:num="2">
            <w:col w:w="5520" w:space="220"/>
            <w:col w:w="5500"/>
          </w:cols>
          <w:pgMar w:left="320" w:top="677" w:right="339" w:bottom="1068" w:gutter="0" w:footer="0" w:header="0"/>
          <w:type w:val="continuous"/>
        </w:sect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w:t>
      </w:r>
      <w:r>
        <w:rPr>
          <w:sz w:val="20"/>
          <w:szCs w:val="20"/>
          <w:color w:val="auto"/>
        </w:rPr>
        <w:tab/>
      </w:r>
      <w:r>
        <w:rPr>
          <w:rFonts w:ascii="Times New Roman" w:cs="Times New Roman" w:eastAsia="Times New Roman" w:hAnsi="Times New Roman"/>
          <w:sz w:val="17"/>
          <w:szCs w:val="17"/>
          <w:color w:val="auto"/>
        </w:rPr>
        <w:t>As necessary.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on any ADSs or shares underlying ADSs, such as stock transfer taxes,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stamp duty, or withholding taxes. Any charges incurred by the depositary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agents for servicing the deposited securities.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the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068" w:gutter="0" w:footer="0" w:header="0"/>
          <w:type w:val="continuous"/>
        </w:sectPr>
      </w:pPr>
    </w:p>
    <w:bookmarkStart w:id="140" w:name="page141"/>
    <w:bookmarkEnd w:id="140"/>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securities holders, which remain unchanged.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reports filed or submitted under the Securities Exchange Act of 1934, as amended (the “Exchange Act”), is recorded, processed, summarized, and reported within the time periods specified in the SEC’s rules and forms. Disclosure controls include, without limitation, controls and procedures designed to ensure that information required to be disclosed under the Exchange Act is accumulated and communicated to management, including principal executive and financial officers,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carried out an evaluation, under the supervision of our Chief Executive Officer and Chief Financial Officer, of the effectiveness of our disclosure controls and procedures as such term is defined under Rule 13a-15(e) promulgated under the Exchange Act as of December 31, 2025. Based on that evaluation, we, including our Chief Executive Officer and Chief Financial Officer, have concluded that our disclosure controls and procedures were effective as of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under the supervision of our Chief Executive Officer and Chief Financial Officer to provide reasonable assurance as to the reliability of our financial reporting and the preparation of our consolidated financial statements for external purposes in accordance with generally accepted accounting principles. We are responsible for establishing and maintaining adequate internal control over financial reporting, as such term is defined in Rule 13a-15(f) under the Securities Exchange Act of 1934, as amended.</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consolidated financial statements in accordance with U.S.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 with respect to consolidated financial statements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evaluated the effectiveness of our internal control over financial reporting as of December 31, 2025 and concluded our internal control over financial reporting was effective as of December 31, 2025. In making this evaluation, we used the framework established in Internal Control - Integrated Framework (2013) issued by the Committee of Sponsoring Organizations of the Treadway Commission (“COSO”). The COSO framework summarizes each of the components of a company’s internal control system, including the control environment, risk assessment, control activities, information and communication, and monitoring activities.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of the Exchange Act, as amended) that occurred during the year ended December 31, 2025,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Board of Directors has determined that, because of the existence and nature of our board of statutory auditors, we qualify for an exemption provided by Rule 10A-3(c)(3) of the Exchange Act from many of the Rule 10A-3 audit committee requirements. The board of statutory auditors has determined that each of its members is an “audit committee financial expert” as defined in Item 16A of Form 20-F. For the names of the members of the board of statutory auditors, see “Item 6. Directors, Senior Management and Employees-Statutory Auditors”.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Each member of the board of statutory auditors is considered a financial expert and is independent under the Nasdaq Independence Standards that would apply to audit committee members in the absence of our reliance on the exemption in Rule 10A-3(c)(3).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adopted a Code of Conduct that applies to our Chief Executive Officer and all of our directors, officers, and employees, or persons performing similar functions. A copy of our Code of Conduct is available on our website. Any future changes to the Code of Conduct will be posted on our website or filed as an exhibit to a report filed with the SEC within five business days of the change being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audit fees billed to the Company for fiscal years ended December 31, 2025, 2024, and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Accountant Fees and Services (in Euros)</w:t>
            </w:r>
          </w:p>
        </w:tc>
        <w:tc>
          <w:tcPr>
            <w:tcW w:w="360" w:type="dxa"/>
            <w:vAlign w:val="bottom"/>
          </w:tcPr>
          <w:p>
            <w:pPr>
              <w:spacing w:after="0"/>
              <w:rPr>
                <w:sz w:val="20"/>
                <w:szCs w:val="20"/>
                <w:color w:val="auto"/>
              </w:rPr>
            </w:pPr>
          </w:p>
        </w:tc>
        <w:tc>
          <w:tcPr>
            <w:tcW w:w="132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146,086</w:t>
            </w:r>
          </w:p>
        </w:tc>
        <w:tc>
          <w:tcPr>
            <w:tcW w:w="3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257,006</w:t>
            </w: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433,884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0"/>
        </w:trPr>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146,086</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257,006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2025, audit fees of €130,086 were billed by Dannible &amp; McKee LLP, the Company’s principal auditing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2024, Dannible &amp; McKee LLP billed €270,006.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December 31, 2023, Dannible &amp; McKee LLP billed €312,629.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audit fees for the years ended December 31, 2025, 2024 and 2023, respectively, were paid for professional services rendered for the audits of our consolidated financial statements, half-year reviews, consents, and assistance with reviews of documents filed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Prior to engaging Dannible &amp; McKee LLP to perform audit services, our Board obtains an estimate for the service to be performed. All of the services described above were approved by the members of the Board of Statutory Auditors in accordance with its procedures.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We are relying on the exemption from listing standards for audit committees provided by Exchange Act Rule 10A-3(c)(3). The basis for this reliance is that our board of statutory auditors meets the following requirements set forth in Exchange Act Rule 10A-3(c)(3):</w:t>
      </w:r>
    </w:p>
    <w:p>
      <w:pPr>
        <w:spacing w:after="0" w:line="163" w:lineRule="exact"/>
        <w:rPr>
          <w:sz w:val="20"/>
          <w:szCs w:val="20"/>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established and selected pursuant to Italian law expressly permitting such a board;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required under Italian law to be separate from our board of directors;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is not elected by us, and none of our executive officers is a member of the board of statutory auditors;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Italian law provides for standards for the independence of the board of statutory auditors from us and our management;</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statutory auditors, in accordance with applicable Italian law and our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us, and</w:t>
      </w:r>
    </w:p>
    <w:p>
      <w:pPr>
        <w:spacing w:after="0" w:line="180"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Italian law, the audit committee requirements of paragraphs (b)(3), (b)(4) and (b)(5) of Rule 10A-3 apply to the board of statutory auditors.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reliance on Rule 10A-3(c)(3) does not, in its opinion, materially adversely affect the ability of our board of statutory auditors to act independently and to satisfy the other requirements of Rule 10A-3.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 – C. Board Practices – Differences between Italian Laws and Nasdaq Requirements.”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policy and related procedures that govern the purchase, sale, and other disposition of our securities by directors, officers, and employees, as well as consultants and contractors who have access to material non-public information. We believe our insider trading policy and procedures are reasonably designed to promote compliance with insider trading laws, rules, and regulations, and applicable Nasdaq listing standards. Our insider trading policy and procedures prohibit our directors, officers and employees, consultants and contractors who have access to material non-public information, from trading in our securities while in possession of material, non-public information, among other things.</w:t>
      </w:r>
    </w:p>
    <w:p>
      <w:pPr>
        <w:spacing w:after="0" w:line="1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foregoing description of our insider trading policy and procedures does not purport to be complete and is qualified in its entirety by the terms and conditions of our insider trading policy, a copy of which is attached hereto as Exhibit 11.2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recognize that maintaining the trust and confidence of our patients, business partners, and employees is integral to our long-term success. Central to this commitment is our comprehensive approach to cybersecurity and the protection of sensitive data.</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maintain processes and systems designed to identify, assess, manage, and mitigate risks arising from cybersecurity threats as part of our overall enterprise risk management framework. Cybersecurity risk management activities are embedded within our broader operational risk and compliance processes and are intended to support the protection of information systems, research and development data, corporate information, and other critical business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43" w:name="page144"/>
    <w:bookmarkEnd w:id="143"/>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a comprehensive cybersecurity framework consisting of formal policies, procedures, and systems designed to identify, assess, and manage cybersecurity risks, including the implementation of structured and periodic cyber risk assessment activities. In 2025, we further strengthened our cybersecurity and operational resilience capabilities, including enhancements to business continuity preparedness, vulnerability detection, and related remediation processes. We conduct periodic cybersecurity assessments to evaluate potential threats and vulnerabilities affecting our information systems and third-party service providers. These assessments consider internal systems, external service providers, and supply chain relationships. We leverage qualified third-party service providers to support continuous monitoring activities, specialized cybersecurity services, and vulnerability management functions, while maintaining internal oversight and accountability.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2025, we implemented additional business continuity initiatives designed to enhance our preparedness for potential disruptive events, including cybersecurity incidents. These initiatives included the formalization and testing of business continuity procedures for critical processes, improved alignment between disaster recovery mechanisms and incident response protocols, and the planning and execution of periodic exercises to evaluate response effectiveness and recovery readiness. These efforts are intended to reduce potential operational disruption and support the timely restoration of IT resources in the event of an incident.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a Security Operations Center (SOC) model to support continuous monitoring of networks, endpoints, and systems. Monitoring activities incorporate threat intelligence capabilities designed to identify, analyze, and respond to potential cybersecurity events promptly. During 2025, we expanded the scope and automation of vulnerability scanning activities and enhanced endpoint protection and remediation capabilities. These enhancements were designed to strengthen proactive risk mitigation and reduce potential exposure to exploitation of identified system weaknesses through timely corrective actions.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structured incident response process that includes procedures for detection, assessment, containment, eradication, remediation, and post-incident review, consistent with principles set forth in the National Institute of Standards and Technology (NIST) Cybersecurity Framework. Escalation protocols are established to facilitate timely communication of significant cybersecurity matters to senior management and, where appropriate, to our Board of Directors, including consideration of disclosure obligations under applicable laws and regulations. Our Board of Directors oversees cybersecurity risk as part of its overall risk oversight responsibilities and receives periodic updates from management regarding our cybersecurity posture, risk landscape, operational resilience preparedness, and mitigation initiatives, which are finally approved by them.</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ultimate accountability for cybersecurity risk management and are responsible for making critical decisions in connection with cybersecurity incident response. Furthermore, we designated a Chief Information Security Officer (CISO) responsible for leading the cybersecurity program. The CISO’s responsibilities include defining cybersecurity strategy based on the results of periodic cyber risk assessments, overseeing the implementation of technical and organizational security controls, supervising incident response activities, and coordinating risk mitigation initiatives. The CISO has professional experience in information security governance and risk management, including experience in regulated environments, and works in coordination with the Security Committee. The Security Committee, coordinated by our Finance Director, supports oversight of cybersecurity risk management activities and provides periodic briefings to our senior management and our Board of Directors regarding cybersecurity risks, monitoring activities, vulnerability management efforts, business continuity readiness, and other significant developments.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also maintain a security awareness program applicable to all personnel. This program includes periodic training sessions addressing cybersecurity risks, evolving threat scenarios, and best practices for information protection, as well as simulated phishing exercises designed to enhance awareness and preparedness. Participation in such training activities is mandatory and forms part of our broader culture of security and risk awareness.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report, we are not aware of any cybersecurity incidents that have materially affected or are reasonably likely to materially affect us, including our business strategy, results of operations, or financial condition. Cybersecurity threats continue to evolve, and despite the implementation of protective and detective measures, we cannot be considered immune from potential impacts arising from emerging cybersecurity threats, which could result in future incidents. We intend to continue enhancing our cybersecurity and operational resilience capabilities, including improvements in detection technologies, vulnerability management processes, and business continuity preparedness, consistent with international security frameworks and evolving regulatory expectations.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CONSOLIDATED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provide consolidated financial statements pursuant to ITEM 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CONSOLIDATED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audited Consolidated Financial Statements are included as the “F” pages attached to this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consolidated financial statements in this Annual Report, unless otherwise stated, are presented in accordance with US GAAP.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ectPr>
          <w:pgSz w:w="11900" w:h="16838" w:orient="portrait"/>
          <w:cols w:equalWidth="0" w:num="1">
            <w:col w:w="11240"/>
          </w:cols>
          <w:pgMar w:left="320" w:top="678" w:right="339" w:bottom="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521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2145" cy="8255"/>
                    </a:xfrm>
                    <a:prstGeom prst="rect">
                      <a:avLst/>
                    </a:prstGeom>
                    <a:noFill/>
                  </pic:spPr>
                </pic:pic>
              </a:graphicData>
            </a:graphic>
          </wp:anchor>
        </w:drawing>
      </w:r>
    </w:p>
    <w:p>
      <w:pPr>
        <w:spacing w:after="0" w:line="201" w:lineRule="auto"/>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186" w:lineRule="auto"/>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29"/>
          <w:szCs w:val="29"/>
          <w:color w:val="auto"/>
          <w:vertAlign w:val="superscript"/>
        </w:rPr>
        <w:t>*</w:t>
      </w:r>
    </w:p>
    <w:p>
      <w:pPr>
        <w:spacing w:after="0" w:line="183" w:lineRule="auto"/>
        <w:rPr>
          <w:sz w:val="20"/>
          <w:szCs w:val="20"/>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29"/>
          <w:szCs w:val="29"/>
          <w:color w:val="auto"/>
          <w:vertAlign w:val="superscript"/>
        </w:rPr>
        <w:t>*</w:t>
      </w:r>
    </w:p>
    <w:p>
      <w:pPr>
        <w:spacing w:after="0" w:line="183" w:lineRule="auto"/>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29"/>
          <w:szCs w:val="29"/>
          <w:color w:val="auto"/>
          <w:vertAlign w:val="superscript"/>
        </w:rPr>
        <w:t>**</w:t>
      </w:r>
    </w:p>
    <w:p>
      <w:pPr>
        <w:spacing w:after="0"/>
        <w:rPr>
          <w:sz w:val="20"/>
          <w:szCs w:val="20"/>
          <w:color w:val="auto"/>
        </w:rPr>
      </w:pPr>
      <w:r>
        <w:rPr>
          <w:rFonts w:ascii="Times New Roman" w:cs="Times New Roman" w:eastAsia="Times New Roman" w:hAnsi="Times New Roman"/>
          <w:sz w:val="18"/>
          <w:szCs w:val="18"/>
          <w:color w:val="auto"/>
        </w:rPr>
        <w:t>8.1****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9"/>
          <w:szCs w:val="29"/>
          <w:color w:val="auto"/>
          <w:vertAlign w:val="superscript"/>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29"/>
          <w:szCs w:val="29"/>
          <w:color w:val="auto"/>
          <w:vertAlign w:val="superscript"/>
        </w:rPr>
        <w:t>##†</w:t>
      </w:r>
    </w:p>
    <w:p>
      <w:pPr>
        <w:spacing w:after="0" w:line="182" w:lineRule="auto"/>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29"/>
          <w:szCs w:val="29"/>
          <w:color w:val="auto"/>
          <w:vertAlign w:val="superscript"/>
        </w:rPr>
        <w:t>##†</w:t>
      </w:r>
    </w:p>
    <w:p>
      <w:pPr>
        <w:spacing w:after="0" w:line="182" w:lineRule="auto"/>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9"/>
          <w:szCs w:val="29"/>
          <w:color w:val="auto"/>
          <w:vertAlign w:val="superscript"/>
        </w:rPr>
        <w:t>*†</w:t>
      </w:r>
    </w:p>
    <w:p>
      <w:pPr>
        <w:spacing w:after="0" w:line="183" w:lineRule="auto"/>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29"/>
          <w:szCs w:val="29"/>
          <w:color w:val="auto"/>
          <w:vertAlign w:val="superscript"/>
        </w:rPr>
        <w:t>*</w:t>
      </w:r>
    </w:p>
    <w:p>
      <w:pPr>
        <w:spacing w:after="0" w:line="182" w:lineRule="auto"/>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29"/>
          <w:szCs w:val="29"/>
          <w:color w:val="auto"/>
          <w:vertAlign w:val="superscript"/>
        </w:rPr>
        <w:t>*†</w:t>
      </w:r>
    </w:p>
    <w:p>
      <w:pPr>
        <w:spacing w:after="0" w:line="183" w:lineRule="auto"/>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29"/>
          <w:szCs w:val="29"/>
          <w:color w:val="auto"/>
          <w:vertAlign w:val="superscript"/>
        </w:rPr>
        <w:t>*</w:t>
      </w:r>
    </w:p>
    <w:p>
      <w:pPr>
        <w:spacing w:after="0" w:line="182" w:lineRule="auto"/>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9"/>
          <w:szCs w:val="29"/>
          <w:color w:val="auto"/>
          <w:vertAlign w:val="superscript"/>
        </w:rPr>
        <w:t>*</w:t>
      </w:r>
    </w:p>
    <w:p>
      <w:pPr>
        <w:spacing w:after="0" w:line="183" w:lineRule="auto"/>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29"/>
          <w:szCs w:val="29"/>
          <w:color w:val="auto"/>
          <w:vertAlign w:val="superscript"/>
        </w:rPr>
        <w:t>*</w:t>
      </w:r>
    </w:p>
    <w:p>
      <w:pPr>
        <w:spacing w:after="0" w:line="182" w:lineRule="auto"/>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10.18#######</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187" w:lineRule="auto"/>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3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64052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405245" cy="8255"/>
                    </a:xfrm>
                    <a:prstGeom prst="rect">
                      <a:avLst/>
                    </a:prstGeom>
                    <a:noFill/>
                  </pic:spPr>
                </pic:pic>
              </a:graphicData>
            </a:graphic>
          </wp:anchor>
        </w:drawing>
      </w:r>
    </w:p>
    <w:p>
      <w:pPr>
        <w:spacing w:after="0" w:line="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65">
        <w:r>
          <w:rPr>
            <w:rFonts w:ascii="Times New Roman" w:cs="Times New Roman" w:eastAsia="Times New Roman" w:hAnsi="Times New Roman"/>
            <w:sz w:val="18"/>
            <w:szCs w:val="18"/>
            <w:u w:val="single" w:color="auto"/>
            <w:color w:val="0000EE"/>
          </w:rPr>
          <w:t>Deed of Incorporation of Genenta Science S.p.A.</w:t>
        </w:r>
      </w:hyperlink>
    </w:p>
    <w:p>
      <w:pPr>
        <w:spacing w:after="0" w:line="2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66">
        <w:r>
          <w:rPr>
            <w:rFonts w:ascii="Times New Roman" w:cs="Times New Roman" w:eastAsia="Times New Roman" w:hAnsi="Times New Roman"/>
            <w:sz w:val="18"/>
            <w:szCs w:val="18"/>
            <w:u w:val="single" w:color="auto"/>
            <w:color w:val="0000EE"/>
          </w:rPr>
          <w:t>Amended and Restated Bylaws of Genenta Science S.p.A.</w:t>
        </w:r>
      </w:hyperlink>
    </w:p>
    <w:p>
      <w:pPr>
        <w:spacing w:after="0" w:line="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Deposit Agreement dated December 17, 2021 between the Company and The Bank of New York Mellon, as depositary.</w:t>
        </w:r>
      </w:hyperlink>
    </w:p>
    <w:p>
      <w:pPr>
        <w:spacing w:after="0" w:line="2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Form of American Depositary Receipt (included in exhibit 4.1)</w:t>
        </w:r>
      </w:hyperlink>
    </w:p>
    <w:p>
      <w:pPr>
        <w:spacing w:after="0" w:line="4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Underwriter Warrants dated December 17, 2021</w:t>
        </w:r>
      </w:hyperlink>
    </w:p>
    <w:p>
      <w:pPr>
        <w:spacing w:after="0" w:line="4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List of subsidiaries of the registrant</w:t>
        </w:r>
      </w:hyperlink>
    </w:p>
    <w:p>
      <w:pPr>
        <w:spacing w:after="0" w:line="25" w:lineRule="exact"/>
        <w:rPr>
          <w:sz w:val="20"/>
          <w:szCs w:val="20"/>
          <w:color w:val="auto"/>
        </w:rPr>
      </w:pPr>
    </w:p>
    <w:p>
      <w:pPr>
        <w:spacing w:after="0" w:line="247" w:lineRule="auto"/>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Amended and Restated License Agreement between Genenta Science S.p.A. and Ospedale San Raffaele S.r.l. (“OSR”) dated March 23, 2023</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(the “ARLA”)</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1">
        <w:r>
          <w:rPr>
            <w:rFonts w:ascii="Times New Roman" w:cs="Times New Roman" w:eastAsia="Times New Roman" w:hAnsi="Times New Roman"/>
            <w:sz w:val="18"/>
            <w:szCs w:val="18"/>
            <w:u w:val="single" w:color="auto"/>
            <w:color w:val="0000EE"/>
          </w:rPr>
          <w:t>Amendment to ARLA dated September 28, 2023</w:t>
        </w:r>
      </w:hyperlink>
    </w:p>
    <w:p>
      <w:pPr>
        <w:spacing w:after="0" w:line="2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Sponsored Research Agreement with OSR dated August 1, 2023</w:t>
        </w:r>
      </w:hyperlink>
    </w:p>
    <w:p>
      <w:pPr>
        <w:spacing w:after="0" w:line="4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Sponsored Research Agreement with OSR dated February 12, 2021</w:t>
        </w:r>
      </w:hyperlink>
    </w:p>
    <w:p>
      <w:pPr>
        <w:spacing w:after="0" w:line="4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Know-How License Agreement with Fondazione Telethon dated February 2, 2016</w:t>
        </w:r>
      </w:hyperlink>
    </w:p>
    <w:p>
      <w:pPr>
        <w:spacing w:after="0" w:line="4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5">
        <w:r>
          <w:rPr>
            <w:rFonts w:ascii="Times New Roman" w:cs="Times New Roman" w:eastAsia="Times New Roman" w:hAnsi="Times New Roman"/>
            <w:sz w:val="18"/>
            <w:szCs w:val="18"/>
            <w:u w:val="single" w:color="auto"/>
            <w:color w:val="0000EE"/>
          </w:rPr>
          <w:t>Master Service Agreement dated March 6, 2019, between Molecular Medicine S.p.A. and Genenta Science S.p.A.</w:t>
        </w:r>
      </w:hyperlink>
    </w:p>
    <w:p>
      <w:pPr>
        <w:spacing w:after="0" w:line="47" w:lineRule="exact"/>
        <w:rPr>
          <w:sz w:val="20"/>
          <w:szCs w:val="20"/>
          <w:color w:val="auto"/>
        </w:rPr>
      </w:pPr>
    </w:p>
    <w:p>
      <w:pPr>
        <w:ind w:right="4160"/>
        <w:spacing w:after="0" w:line="293" w:lineRule="auto"/>
        <w:rPr>
          <w:rFonts w:ascii="Times New Roman" w:cs="Times New Roman" w:eastAsia="Times New Roman" w:hAnsi="Times New Roman"/>
          <w:sz w:val="18"/>
          <w:szCs w:val="18"/>
          <w:u w:val="single" w:color="auto"/>
          <w:color w:val="0000EE"/>
        </w:rPr>
      </w:pPr>
      <w:hyperlink r:id="rId176">
        <w:r>
          <w:rPr>
            <w:rFonts w:ascii="Times New Roman" w:cs="Times New Roman" w:eastAsia="Times New Roman" w:hAnsi="Times New Roman"/>
            <w:sz w:val="18"/>
            <w:szCs w:val="18"/>
            <w:u w:val="single" w:color="auto"/>
            <w:color w:val="0000EE"/>
          </w:rPr>
          <w:t>2021-2025 Genenta Science Employee Share Option Plan with Chairman Sub-Plan</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Employment Agreement of Pierluigi Paracchi</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Employment Agreement of Richard B. Slansky</w:t>
        </w:r>
      </w:hyperlink>
    </w:p>
    <w:p>
      <w:pPr>
        <w:spacing w:after="0" w:line="2"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Development and Manufacturing Services Agreement dated January 20, 2023 between AGC Biologics S.p.A. and Genenta Science S.p.A.</w:t>
        </w:r>
      </w:hyperlink>
    </w:p>
    <w:p>
      <w:pPr>
        <w:spacing w:after="0" w:line="4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Amendment to the AGC Master Service Agreement dated September 19, 2024.</w:t>
        </w:r>
      </w:hyperlink>
    </w:p>
    <w:p>
      <w:pPr>
        <w:spacing w:after="0" w:line="25"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Agreement for the Conduct of Clinical Trials on Medicinal Products with OSR dated October 14, 2024.</w:t>
        </w:r>
      </w:hyperlink>
    </w:p>
    <w:p>
      <w:pPr>
        <w:spacing w:after="0" w:line="6"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82">
        <w:r>
          <w:rPr>
            <w:rFonts w:ascii="Times New Roman" w:cs="Times New Roman" w:eastAsia="Times New Roman" w:hAnsi="Times New Roman"/>
            <w:sz w:val="18"/>
            <w:szCs w:val="18"/>
            <w:u w:val="single" w:color="auto"/>
            <w:color w:val="0000EE"/>
          </w:rPr>
          <w:t>ATM Sales Agreement, dated April 26, 2024, among the Company and the Sales Agents</w:t>
        </w:r>
      </w:hyperlink>
    </w:p>
    <w:p>
      <w:pPr>
        <w:spacing w:after="0" w:line="6"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Amendment No. 1 to ATM Sales Agreement, dated December 20, 2024, among the Company and the Sales Agents</w:t>
        </w:r>
      </w:hyperlink>
    </w:p>
    <w:p>
      <w:pPr>
        <w:spacing w:after="0" w:line="6"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7"/>
          <w:szCs w:val="17"/>
          <w:u w:val="single" w:color="auto"/>
          <w:color w:val="0000EE"/>
        </w:rPr>
      </w:pPr>
      <w:hyperlink r:id="rId184">
        <w:r>
          <w:rPr>
            <w:rFonts w:ascii="Times New Roman" w:cs="Times New Roman" w:eastAsia="Times New Roman" w:hAnsi="Times New Roman"/>
            <w:sz w:val="17"/>
            <w:szCs w:val="17"/>
            <w:u w:val="single" w:color="auto"/>
            <w:color w:val="0000EE"/>
          </w:rPr>
          <w:t>Second Amendment to Development and Master Services Agreement, by and between the Company and AGC Biologics S.p.A., effective as</w:t>
        </w:r>
      </w:hyperlink>
    </w:p>
    <w:p>
      <w:pPr>
        <w:spacing w:after="0" w:line="18"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of December 24, 2024.</w:t>
        </w:r>
      </w:hyperlink>
    </w:p>
    <w:p>
      <w:pPr>
        <w:spacing w:after="0" w:line="6"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85">
        <w:r>
          <w:rPr>
            <w:rFonts w:ascii="Times New Roman" w:cs="Times New Roman" w:eastAsia="Times New Roman" w:hAnsi="Times New Roman"/>
            <w:sz w:val="18"/>
            <w:szCs w:val="18"/>
            <w:u w:val="single" w:color="auto"/>
            <w:color w:val="0000EE"/>
          </w:rPr>
          <w:t>Subscription Agreement</w:t>
        </w:r>
      </w:hyperlink>
    </w:p>
    <w:p>
      <w:pPr>
        <w:spacing w:after="0" w:line="6"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Mandatory Convertible Bond Regulation</w:t>
        </w:r>
      </w:hyperlink>
    </w:p>
    <w:p>
      <w:pPr>
        <w:spacing w:after="0" w:line="6"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Investment Agreement dated January 24, 2026, between the Company and A.T.C. S.r.l.</w:t>
        </w:r>
      </w:hyperlink>
    </w:p>
    <w:p>
      <w:pPr>
        <w:spacing w:after="0" w:line="6" w:lineRule="exact"/>
        <w:rPr>
          <w:rFonts w:ascii="Times New Roman" w:cs="Times New Roman" w:eastAsia="Times New Roman" w:hAnsi="Times New Roman"/>
          <w:sz w:val="18"/>
          <w:szCs w:val="18"/>
          <w:u w:val="single" w:color="auto"/>
          <w:color w:val="0000EE"/>
        </w:rPr>
      </w:pPr>
    </w:p>
    <w:p>
      <w:pPr>
        <w:ind w:right="1600"/>
        <w:spacing w:after="0" w:line="255" w:lineRule="auto"/>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Shareholders’ Agreement dated January 25, 2026 between the Company, Pierluigi Paracchi, and Fondazione Praexidia.</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Code of Business Conduct and Ethics of the Registrant</w:t>
        </w:r>
      </w:hyperlink>
    </w:p>
    <w:p>
      <w:pPr>
        <w:spacing w:after="0" w:line="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Insider Trading Policy</w:t>
        </w:r>
      </w:hyperlink>
    </w:p>
    <w:p>
      <w:pPr>
        <w:spacing w:after="0" w:line="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u w:val="single" w:color="auto"/>
          <w:color w:val="0000EE"/>
        </w:rPr>
        <w:t>Certification of the Chief Executive Officer (Principal Executive Officer) pursuant to Rule 13a-14(a) of the Securities Exchange Act, as amended</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u w:val="single" w:color="auto"/>
          <w:color w:val="0000EE"/>
        </w:rPr>
        <w:t>Certification of the Chief Financial Officer (Principal Financial Officer) pursuant to Rule 13a-14(a) of the Securities Exchange Act, as amended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the Chief Executive Officer and Chief Financial Officer pursuant to 18 U.S.C. 1350, as adopted pursuant to Section 906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the Sarbanes-Oxley Act of 2002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Dannible &amp; McKee, LLP</w:t>
      </w:r>
    </w:p>
    <w:p>
      <w:pPr>
        <w:spacing w:after="0" w:line="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Compensation Recovery Policy of Registrant</w:t>
        </w:r>
      </w:hyperlink>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020" w:space="140"/>
            <w:col w:w="10080"/>
          </w:cols>
          <w:pgMar w:left="320" w:top="678" w:right="339" w:bottom="0" w:gutter="0" w:footer="0" w:header="0"/>
          <w:type w:val="continuous"/>
        </w:sectPr>
      </w:pPr>
    </w:p>
    <w:p>
      <w:pPr>
        <w:spacing w:after="0" w:line="1" w:lineRule="exact"/>
        <w:rPr>
          <w:sz w:val="20"/>
          <w:szCs w:val="20"/>
          <w:color w:val="auto"/>
        </w:rPr>
      </w:pPr>
    </w:p>
    <w:p>
      <w:pPr>
        <w:ind w:right="3380" w:firstLine="7"/>
        <w:spacing w:after="0" w:line="524" w:lineRule="auto"/>
        <w:tabs>
          <w:tab w:leader="none" w:pos="133"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registration statement on Form F-1 of the Registrant (File No. 333-260923). ** Incorporated by reference to the Annual Report on Form 20-F of the Registrant filed on March 29, 2024.</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Incorporated by reference to the Annual Report on Form 20-F of the Registrant filed on April 21, 2023.</w:t>
      </w:r>
    </w:p>
    <w:p>
      <w:pPr>
        <w:spacing w:after="0" w:line="2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Incorporated by reference to the Annual Report on Form 20-F of the Registrant filed on March 28, 2025</w:t>
      </w:r>
    </w:p>
    <w:p>
      <w:pPr>
        <w:spacing w:after="0" w:line="2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Incorporated by reference to the Form 6-K of the Registrant filed on November 4, 2025.</w:t>
      </w:r>
    </w:p>
    <w:p>
      <w:pPr>
        <w:spacing w:after="0" w:line="2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Incorporated by reference to the Form 6-K of the Registrant filed on January 27, 2026.</w:t>
      </w:r>
    </w:p>
    <w:p>
      <w:pPr>
        <w:sectPr>
          <w:pgSz w:w="11900" w:h="16838" w:orient="portrait"/>
          <w:cols w:equalWidth="0" w:num="1">
            <w:col w:w="11240"/>
          </w:cols>
          <w:pgMar w:left="320" w:top="678" w:right="339" w:bottom="0" w:gutter="0" w:footer="0" w:header="0"/>
          <w:type w:val="continuous"/>
        </w:sectPr>
      </w:pPr>
    </w:p>
    <w:bookmarkStart w:id="145" w:name="page146"/>
    <w:bookmarkEnd w:id="145"/>
    <w:p>
      <w:pPr>
        <w:ind w:right="3719" w:firstLine="7"/>
        <w:spacing w:after="0" w:line="524" w:lineRule="auto"/>
        <w:tabs>
          <w:tab w:leader="none" w:pos="133"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Form 6-K of the Registrant filed on February 1, 2023. ## Incorporated by reference to the Form 6-K of the Registrant filed on October 20, 2023.</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Incorporated by reference to the Form 6-K of the Registrant filed on October 29, 2024.</w:t>
      </w:r>
    </w:p>
    <w:p>
      <w:pPr>
        <w:spacing w:after="0" w:line="2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Incorporated by reference to the Form 6-K of the Registrant filed on April 26, 2024.</w:t>
      </w:r>
    </w:p>
    <w:p>
      <w:pPr>
        <w:spacing w:after="0" w:line="2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Incorporated by reference to the Form 6-K of the Registrant filed on December 20, 2024.</w:t>
      </w:r>
    </w:p>
    <w:p>
      <w:pPr>
        <w:spacing w:after="0" w:line="2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Incorporated by reference to the Form 6-K of the Registrant filed on December 30, 2024.</w:t>
      </w:r>
    </w:p>
    <w:p>
      <w:pPr>
        <w:spacing w:after="0" w:line="2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Incorporated by reference to the Form 6-K of the Registrant filed on March 19, 2025.</w:t>
      </w:r>
    </w:p>
    <w:p>
      <w:pPr>
        <w:spacing w:after="0" w:line="21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Portions of these exhibits (indicated with markouts) have been redacted in accordance with Item 601(b)(10)(iv).</w:t>
      </w:r>
    </w:p>
    <w:p>
      <w:pPr>
        <w:spacing w:after="0" w:line="2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335"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 Pierluigi Paracchi</w:t>
            </w:r>
          </w:p>
        </w:tc>
        <w:tc>
          <w:tcPr>
            <w:tcW w:w="50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Richard B. Slansky</w:t>
            </w:r>
          </w:p>
        </w:tc>
      </w:tr>
      <w:tr>
        <w:trPr>
          <w:trHeight w:val="184"/>
        </w:trPr>
        <w:tc>
          <w:tcPr>
            <w:tcW w:w="54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Name:</w:t>
            </w:r>
          </w:p>
        </w:tc>
        <w:tc>
          <w:tcPr>
            <w:tcW w:w="40" w:type="dxa"/>
            <w:vAlign w:val="bottom"/>
          </w:tcPr>
          <w:p>
            <w:pPr>
              <w:spacing w:after="0"/>
              <w:rPr>
                <w:sz w:val="16"/>
                <w:szCs w:val="16"/>
                <w:color w:val="auto"/>
              </w:rPr>
            </w:pPr>
          </w:p>
        </w:tc>
        <w:tc>
          <w:tcPr>
            <w:tcW w:w="446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Pierluigi Paracchi</w:t>
            </w:r>
          </w:p>
        </w:tc>
        <w:tc>
          <w:tcPr>
            <w:tcW w:w="500" w:type="dxa"/>
            <w:vAlign w:val="bottom"/>
            <w:tcBorders>
              <w:top w:val="single" w:sz="8" w:color="auto"/>
            </w:tcBorders>
          </w:tcPr>
          <w:p>
            <w:pPr>
              <w:spacing w:after="0"/>
              <w:rPr>
                <w:sz w:val="16"/>
                <w:szCs w:val="16"/>
                <w:color w:val="auto"/>
              </w:rPr>
            </w:pPr>
          </w:p>
        </w:tc>
        <w:tc>
          <w:tcPr>
            <w:tcW w:w="7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b w:val="1"/>
                <w:bCs w:val="1"/>
                <w:color w:val="auto"/>
              </w:rPr>
              <w:t>Name:</w:t>
            </w:r>
          </w:p>
        </w:tc>
        <w:tc>
          <w:tcPr>
            <w:tcW w:w="494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Richard B. Slansky</w:t>
            </w:r>
          </w:p>
        </w:tc>
      </w:tr>
      <w:tr>
        <w:trPr>
          <w:trHeight w:val="213"/>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Chief Executive Officer (Principal Executive Officer)</w:t>
            </w:r>
          </w:p>
        </w:tc>
        <w:tc>
          <w:tcPr>
            <w:tcW w:w="50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and Accounting</w:t>
            </w:r>
          </w:p>
        </w:tc>
      </w:tr>
      <w:tr>
        <w:trPr>
          <w:trHeight w:val="213"/>
        </w:trPr>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236"/>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4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0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426"/>
        </w:trPr>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51"/>
              <w:spacing w:after="0"/>
              <w:rPr>
                <w:sz w:val="20"/>
                <w:szCs w:val="20"/>
                <w:color w:val="auto"/>
              </w:rPr>
            </w:pPr>
            <w:r>
              <w:rPr>
                <w:rFonts w:ascii="Times New Roman" w:cs="Times New Roman" w:eastAsia="Times New Roman" w:hAnsi="Times New Roman"/>
                <w:sz w:val="18"/>
                <w:szCs w:val="18"/>
                <w:color w:val="auto"/>
              </w:rPr>
              <w:t>142</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7"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40" w:type="dxa"/>
            <w:vAlign w:val="bottom"/>
            <w:gridSpan w:val="5"/>
          </w:tcPr>
          <w:p>
            <w:pPr>
              <w:jc w:val="center"/>
              <w:ind w:right="1771"/>
              <w:spacing w:after="0"/>
              <w:rPr>
                <w:sz w:val="20"/>
                <w:szCs w:val="20"/>
                <w:color w:val="auto"/>
              </w:rPr>
            </w:pPr>
            <w:r>
              <w:rPr>
                <w:rFonts w:ascii="Times New Roman" w:cs="Times New Roman" w:eastAsia="Times New Roman" w:hAnsi="Times New Roman"/>
                <w:sz w:val="18"/>
                <w:szCs w:val="18"/>
                <w:b w:val="1"/>
                <w:bCs w:val="1"/>
                <w:color w:val="auto"/>
                <w:w w:val="97"/>
              </w:rPr>
              <w:t>INDEX TO CONSOLIDATED FINANCIAL STATEMENTS</w:t>
            </w:r>
          </w:p>
        </w:tc>
        <w:tc>
          <w:tcPr>
            <w:tcW w:w="960" w:type="dxa"/>
            <w:vAlign w:val="bottom"/>
          </w:tcPr>
          <w:p>
            <w:pPr>
              <w:spacing w:after="0"/>
              <w:rPr>
                <w:sz w:val="20"/>
                <w:szCs w:val="20"/>
                <w:color w:val="auto"/>
              </w:rPr>
            </w:pPr>
          </w:p>
        </w:tc>
      </w:tr>
      <w:tr>
        <w:trPr>
          <w:trHeight w:val="433"/>
        </w:trPr>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3"/>
        </w:trPr>
        <w:tc>
          <w:tcPr>
            <w:tcW w:w="2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3"/>
        </w:trPr>
        <w:tc>
          <w:tcPr>
            <w:tcW w:w="10280" w:type="dxa"/>
            <w:vAlign w:val="bottom"/>
            <w:gridSpan w:val="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528)</w:t>
            </w:r>
          </w:p>
        </w:tc>
        <w:tc>
          <w:tcPr>
            <w:tcW w:w="9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80" w:type="dxa"/>
            <w:vAlign w:val="bottom"/>
            <w:gridSpan w:val="7"/>
          </w:tcPr>
          <w:p>
            <w:pPr>
              <w:spacing w:after="0" w:line="174"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2080" w:type="dxa"/>
            <w:vAlign w:val="bottom"/>
            <w:tcBorders>
              <w:bottom w:val="single" w:sz="8" w:color="0000EE"/>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8200" w:type="dxa"/>
            <w:vAlign w:val="bottom"/>
            <w:tcBorders>
              <w:bottom w:val="single" w:sz="8" w:color="CCEEFF"/>
            </w:tcBorders>
            <w:gridSpan w:val="6"/>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F-4</w:t>
            </w:r>
          </w:p>
        </w:tc>
      </w:tr>
      <w:tr>
        <w:trPr>
          <w:trHeight w:val="173"/>
        </w:trPr>
        <w:tc>
          <w:tcPr>
            <w:tcW w:w="10280" w:type="dxa"/>
            <w:vAlign w:val="bottom"/>
            <w:gridSpan w:val="7"/>
          </w:tcPr>
          <w:p>
            <w:pPr>
              <w:spacing w:after="0" w:line="174"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w:t>
            </w:r>
          </w:p>
        </w:tc>
        <w:tc>
          <w:tcPr>
            <w:tcW w:w="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3"/>
        </w:trPr>
        <w:tc>
          <w:tcPr>
            <w:tcW w:w="10280" w:type="dxa"/>
            <w:vAlign w:val="bottom"/>
            <w:gridSpan w:val="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9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0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10280" w:type="dxa"/>
            <w:vAlign w:val="bottom"/>
            <w:gridSpan w:val="7"/>
          </w:tcPr>
          <w:p>
            <w:pPr>
              <w:spacing w:after="0" w:line="174"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F-7 – F-41</w:t>
            </w:r>
          </w:p>
        </w:tc>
      </w:tr>
      <w:tr>
        <w:trPr>
          <w:trHeight w:val="447"/>
        </w:trPr>
        <w:tc>
          <w:tcPr>
            <w:tcW w:w="20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jc w:val="center"/>
              <w:ind w:right="3571"/>
              <w:spacing w:after="0"/>
              <w:rPr>
                <w:sz w:val="20"/>
                <w:szCs w:val="20"/>
                <w:color w:val="auto"/>
              </w:rPr>
            </w:pPr>
            <w:r>
              <w:rPr>
                <w:rFonts w:ascii="Times New Roman" w:cs="Times New Roman" w:eastAsia="Times New Roman" w:hAnsi="Times New Roman"/>
                <w:sz w:val="18"/>
                <w:szCs w:val="18"/>
                <w:color w:val="auto"/>
                <w:w w:val="95"/>
              </w:rPr>
              <w:t>F-1</w:t>
            </w: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7" w:right="3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7372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196455" cy="73723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31,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Science S.p.A.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Genenta Science S.p.A. (“the Company”) as of December 31, 2025, 2024 and 2023, and the related consolidated statements of operations and comprehensive loss, changes in shareholders’ equity, and cash flows for each of the years in the three-year period ended December 31, 2025, and the related notes to the consolidated financial statements (collectively referred to as the “consolidated financial statements”). In our opinion, the consolidated financial statements present fairly, in all material respects, the financial position of the Company as of December 31, 2025, 2024 and 2023, and the results of its operations and its cash flows for each of the years in the three-year period ended December 31, 2025,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Dannible &amp; McKee,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Dannible &amp; McKee, LLP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Syracuse,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139065</wp:posOffset>
            </wp:positionV>
            <wp:extent cx="6125845" cy="2457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6125845"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r>
      <w:tr>
        <w:trPr>
          <w:trHeight w:val="207"/>
        </w:trPr>
        <w:tc>
          <w:tcPr>
            <w:tcW w:w="5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(in Euros)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2,699,342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4,812,854</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6,474,441</w:t>
            </w:r>
          </w:p>
        </w:tc>
      </w:tr>
      <w:tr>
        <w:trPr>
          <w:trHeight w:val="227"/>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3,904,398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4,951,456</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5,258,501</w:t>
            </w:r>
          </w:p>
        </w:tc>
      </w:tr>
      <w:tr>
        <w:trPr>
          <w:trHeight w:val="207"/>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6,603,740</w:t>
            </w: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9,764,310</w:t>
            </w:r>
          </w:p>
        </w:tc>
        <w:tc>
          <w:tcPr>
            <w:tcW w:w="3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11,732,942</w:t>
            </w:r>
          </w:p>
        </w:tc>
        <w:tc>
          <w:tcPr>
            <w:tcW w:w="100" w:type="dxa"/>
            <w:vAlign w:val="bottom"/>
            <w:tcBorders>
              <w:bottom w:val="single" w:sz="8" w:color="CCEEFF"/>
            </w:tcBorders>
          </w:tcPr>
          <w:p>
            <w:pPr>
              <w:spacing w:after="0"/>
              <w:rPr>
                <w:sz w:val="17"/>
                <w:szCs w:val="17"/>
                <w:color w:val="auto"/>
              </w:rPr>
            </w:pPr>
          </w:p>
        </w:tc>
      </w:tr>
      <w:tr>
        <w:trPr>
          <w:trHeight w:val="207"/>
        </w:trPr>
        <w:tc>
          <w:tcPr>
            <w:tcW w:w="5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(6,603,740)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(9,764,310)</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(11,732,942)</w:t>
            </w:r>
          </w:p>
        </w:tc>
      </w:tr>
      <w:tr>
        <w:trPr>
          <w:trHeight w:val="213"/>
        </w:trPr>
        <w:tc>
          <w:tcPr>
            <w:tcW w:w="5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529,683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1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608,508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81,140</w:t>
            </w: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309,253</w:t>
            </w:r>
          </w:p>
        </w:tc>
      </w:tr>
      <w:tr>
        <w:trPr>
          <w:trHeight w:val="227"/>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exchange rate gain (loss)</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(546,051)</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240,992</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(216,891)</w:t>
            </w:r>
          </w:p>
        </w:tc>
      </w:tr>
      <w:tr>
        <w:trPr>
          <w:trHeight w:val="207"/>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6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73,913</w:t>
            </w: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851,815</w:t>
            </w:r>
          </w:p>
        </w:tc>
        <w:tc>
          <w:tcPr>
            <w:tcW w:w="3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87,487</w:t>
            </w:r>
          </w:p>
        </w:tc>
        <w:tc>
          <w:tcPr>
            <w:tcW w:w="100" w:type="dxa"/>
            <w:vAlign w:val="bottom"/>
            <w:tcBorders>
              <w:bottom w:val="single" w:sz="8" w:color="CCEEFF"/>
            </w:tcBorders>
          </w:tcPr>
          <w:p>
            <w:pPr>
              <w:spacing w:after="0"/>
              <w:rPr>
                <w:sz w:val="17"/>
                <w:szCs w:val="17"/>
                <w:color w:val="auto"/>
              </w:rPr>
            </w:pPr>
          </w:p>
        </w:tc>
      </w:tr>
      <w:tr>
        <w:trPr>
          <w:trHeight w:val="207"/>
        </w:trPr>
        <w:tc>
          <w:tcPr>
            <w:tcW w:w="5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(6,529,827)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(8,912,495)</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(11,645,455)</w:t>
            </w:r>
          </w:p>
        </w:tc>
      </w:tr>
      <w:tr>
        <w:trPr>
          <w:trHeight w:val="22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(6,529,827</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(8,912,495</w:t>
            </w:r>
          </w:p>
        </w:tc>
        <w:tc>
          <w:tcPr>
            <w:tcW w:w="320" w:type="dxa"/>
            <w:vAlign w:val="bottom"/>
            <w:tcBorders>
              <w:bottom w:val="single" w:sz="8" w:color="CCEEFF"/>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(11,645,455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54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Net loss per share - basic</w:t>
            </w:r>
          </w:p>
        </w:tc>
        <w:tc>
          <w:tcPr>
            <w:tcW w:w="6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(0.33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(0.49</w:t>
            </w:r>
          </w:p>
        </w:tc>
        <w:tc>
          <w:tcPr>
            <w:tcW w:w="3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0"/>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6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19,710,187</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18,273,490</w:t>
            </w: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18,216,907</w:t>
            </w:r>
          </w:p>
        </w:tc>
        <w:tc>
          <w:tcPr>
            <w:tcW w:w="100" w:type="dxa"/>
            <w:vAlign w:val="bottom"/>
            <w:tcBorders>
              <w:bottom w:val="single" w:sz="8" w:color="CCEEFF"/>
            </w:tcBorders>
          </w:tcPr>
          <w:p>
            <w:pPr>
              <w:spacing w:after="0"/>
              <w:rPr>
                <w:sz w:val="22"/>
                <w:szCs w:val="22"/>
                <w:color w:val="auto"/>
              </w:rPr>
            </w:pPr>
          </w:p>
        </w:tc>
      </w:tr>
      <w:tr>
        <w:trPr>
          <w:trHeight w:val="194"/>
        </w:trPr>
        <w:tc>
          <w:tcPr>
            <w:tcW w:w="5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of marketable debt securities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(118,750)</w:t>
            </w:r>
          </w:p>
        </w:tc>
        <w:tc>
          <w:tcPr>
            <w:tcW w:w="320" w:type="dxa"/>
            <w:vAlign w:val="bottom"/>
          </w:tcPr>
          <w:p>
            <w:pPr>
              <w:spacing w:after="0"/>
              <w:rPr>
                <w:sz w:val="18"/>
                <w:szCs w:val="18"/>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214,984</w:t>
            </w:r>
          </w:p>
        </w:tc>
      </w:tr>
      <w:tr>
        <w:trPr>
          <w:trHeight w:val="227"/>
        </w:trPr>
        <w:tc>
          <w:tcPr>
            <w:tcW w:w="5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(23,446)</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r>
      <w:tr>
        <w:trPr>
          <w:trHeight w:val="20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6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(142,196)</w:t>
            </w:r>
          </w:p>
        </w:tc>
        <w:tc>
          <w:tcPr>
            <w:tcW w:w="3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199,131</w:t>
            </w:r>
          </w:p>
        </w:tc>
        <w:tc>
          <w:tcPr>
            <w:tcW w:w="100" w:type="dxa"/>
            <w:vAlign w:val="bottom"/>
          </w:tcPr>
          <w:p>
            <w:pPr>
              <w:spacing w:after="0"/>
              <w:rPr>
                <w:sz w:val="17"/>
                <w:szCs w:val="17"/>
                <w:color w:val="auto"/>
              </w:rPr>
            </w:pPr>
          </w:p>
        </w:tc>
      </w:tr>
      <w:tr>
        <w:trPr>
          <w:trHeight w:val="24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(6,452,262)</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(9,054,691)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(11,446,324)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0" w:name="page151"/>
    <w:bookmarkEnd w:id="15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At December 31,</w:t>
            </w:r>
          </w:p>
        </w:tc>
        <w:tc>
          <w:tcPr>
            <w:tcW w:w="100" w:type="dxa"/>
            <w:vAlign w:val="bottom"/>
          </w:tcPr>
          <w:p>
            <w:pPr>
              <w:spacing w:after="0"/>
              <w:rPr>
                <w:sz w:val="20"/>
                <w:szCs w:val="20"/>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6"/>
              </w:rPr>
              <w:t>At December 31,</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At December 31,</w:t>
            </w:r>
          </w:p>
        </w:tc>
      </w:tr>
      <w:tr>
        <w:trPr>
          <w:trHeight w:val="207"/>
        </w:trPr>
        <w:tc>
          <w:tcPr>
            <w:tcW w:w="5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r>
      <w:tr>
        <w:trPr>
          <w:trHeight w:val="207"/>
        </w:trPr>
        <w:tc>
          <w:tcPr>
            <w:tcW w:w="5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4"/>
          </w:tcPr>
          <w:p>
            <w:pPr>
              <w:jc w:val="right"/>
              <w:ind w:right="1091"/>
              <w:spacing w:after="0"/>
              <w:rPr>
                <w:sz w:val="20"/>
                <w:szCs w:val="20"/>
                <w:color w:val="auto"/>
              </w:rPr>
            </w:pPr>
            <w:r>
              <w:rPr>
                <w:rFonts w:ascii="Times New Roman" w:cs="Times New Roman" w:eastAsia="Times New Roman" w:hAnsi="Times New Roman"/>
                <w:sz w:val="18"/>
                <w:szCs w:val="18"/>
                <w:color w:val="auto"/>
              </w:rPr>
              <w:t>(in Euros)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5,527,672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4,581,749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3,691,420</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22,621,518</w:t>
            </w: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8,078,002</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15,084,284</w:t>
            </w:r>
          </w:p>
        </w:tc>
      </w:tr>
      <w:tr>
        <w:trPr>
          <w:trHeight w:val="22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1,830,362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1,813,226</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2,480,554</w:t>
            </w:r>
          </w:p>
        </w:tc>
      </w:tr>
      <w:tr>
        <w:trPr>
          <w:trHeight w:val="207"/>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current assets</w:t>
            </w:r>
          </w:p>
        </w:tc>
        <w:tc>
          <w:tcPr>
            <w:tcW w:w="4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29,979,552</w:t>
            </w:r>
          </w:p>
        </w:tc>
        <w:tc>
          <w:tcPr>
            <w:tcW w:w="3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14,472,977</w:t>
            </w: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21,256,258</w:t>
            </w:r>
          </w:p>
        </w:tc>
        <w:tc>
          <w:tcPr>
            <w:tcW w:w="100" w:type="dxa"/>
            <w:vAlign w:val="bottom"/>
            <w:tcBorders>
              <w:bottom w:val="single" w:sz="8" w:color="CCEEFF"/>
            </w:tcBorders>
          </w:tcPr>
          <w:p>
            <w:pPr>
              <w:spacing w:after="0"/>
              <w:rPr>
                <w:sz w:val="17"/>
                <w:szCs w:val="17"/>
                <w:color w:val="auto"/>
              </w:rPr>
            </w:pPr>
          </w:p>
        </w:tc>
      </w:tr>
      <w:tr>
        <w:trPr>
          <w:trHeight w:val="207"/>
        </w:trPr>
        <w:tc>
          <w:tcPr>
            <w:tcW w:w="5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 net</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82,977</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304,744</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1,004,560</w:t>
            </w:r>
          </w:p>
        </w:tc>
      </w:tr>
      <w:tr>
        <w:trPr>
          <w:trHeight w:val="22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 - related party</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r>
      <w:tr>
        <w:trPr>
          <w:trHeight w:val="207"/>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non-current assets</w:t>
            </w:r>
          </w:p>
        </w:tc>
        <w:tc>
          <w:tcPr>
            <w:tcW w:w="4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1,909,758</w:t>
            </w:r>
          </w:p>
        </w:tc>
        <w:tc>
          <w:tcPr>
            <w:tcW w:w="3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351,016</w:t>
            </w: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1,090,887</w:t>
            </w:r>
          </w:p>
        </w:tc>
        <w:tc>
          <w:tcPr>
            <w:tcW w:w="100" w:type="dxa"/>
            <w:vAlign w:val="bottom"/>
            <w:tcBorders>
              <w:bottom w:val="single" w:sz="8" w:color="CCEEFF"/>
            </w:tcBorders>
          </w:tcPr>
          <w:p>
            <w:pPr>
              <w:spacing w:after="0"/>
              <w:rPr>
                <w:sz w:val="17"/>
                <w:szCs w:val="17"/>
                <w:color w:val="auto"/>
              </w:rPr>
            </w:pPr>
          </w:p>
        </w:tc>
      </w:tr>
      <w:tr>
        <w:trPr>
          <w:trHeight w:val="220"/>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31,889,310</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14,823,993</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22,347,145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317,830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294,975</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300,328</w:t>
            </w: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180,116</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170,888</w:t>
            </w: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111,118</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232,307</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153,136</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78,172</w:t>
            </w: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1,031,345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861,578</w:t>
            </w:r>
          </w:p>
        </w:tc>
      </w:tr>
      <w:tr>
        <w:trPr>
          <w:trHeight w:val="22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119,000</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337,764</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255,062</w:t>
            </w:r>
          </w:p>
        </w:tc>
      </w:tr>
      <w:tr>
        <w:trPr>
          <w:trHeight w:val="207"/>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current liabilities</w:t>
            </w:r>
          </w:p>
        </w:tc>
        <w:tc>
          <w:tcPr>
            <w:tcW w:w="4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2,117,885</w:t>
            </w:r>
          </w:p>
        </w:tc>
        <w:tc>
          <w:tcPr>
            <w:tcW w:w="3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2,099,362</w:t>
            </w: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1,735,639</w:t>
            </w:r>
          </w:p>
        </w:tc>
        <w:tc>
          <w:tcPr>
            <w:tcW w:w="100" w:type="dxa"/>
            <w:vAlign w:val="bottom"/>
            <w:tcBorders>
              <w:bottom w:val="single" w:sz="8" w:color="CCEEFF"/>
            </w:tcBorders>
          </w:tcPr>
          <w:p>
            <w:pPr>
              <w:spacing w:after="0"/>
              <w:rPr>
                <w:sz w:val="17"/>
                <w:szCs w:val="17"/>
                <w:color w:val="auto"/>
              </w:rPr>
            </w:pPr>
          </w:p>
        </w:tc>
      </w:tr>
      <w:tr>
        <w:trPr>
          <w:trHeight w:val="207"/>
        </w:trPr>
        <w:tc>
          <w:tcPr>
            <w:tcW w:w="5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convertible bond - at fair value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14,594</w:t>
            </w:r>
          </w:p>
        </w:tc>
      </w:tr>
      <w:tr>
        <w:trPr>
          <w:trHeight w:val="22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benefit obligation</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327,785</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227,767</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164,655</w:t>
            </w:r>
          </w:p>
        </w:tc>
      </w:tr>
      <w:tr>
        <w:trPr>
          <w:trHeight w:val="207"/>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long-term liabilities</w:t>
            </w:r>
          </w:p>
        </w:tc>
        <w:tc>
          <w:tcPr>
            <w:tcW w:w="4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7,930,785</w:t>
            </w:r>
          </w:p>
        </w:tc>
        <w:tc>
          <w:tcPr>
            <w:tcW w:w="3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228,925</w:t>
            </w: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179,249</w:t>
            </w:r>
          </w:p>
        </w:tc>
        <w:tc>
          <w:tcPr>
            <w:tcW w:w="100" w:type="dxa"/>
            <w:vAlign w:val="bottom"/>
            <w:tcBorders>
              <w:bottom w:val="single" w:sz="8" w:color="CCEEFF"/>
            </w:tcBorders>
          </w:tcPr>
          <w:p>
            <w:pPr>
              <w:spacing w:after="0"/>
              <w:rPr>
                <w:sz w:val="17"/>
                <w:szCs w:val="17"/>
                <w:color w:val="auto"/>
              </w:rPr>
            </w:pPr>
          </w:p>
        </w:tc>
      </w:tr>
      <w:tr>
        <w:trPr>
          <w:trHeight w:val="207"/>
        </w:trPr>
        <w:tc>
          <w:tcPr>
            <w:tcW w:w="5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Shareholders’ equity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562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Ordinary shares authorized, no par value, 59,700,000 and 23,432,183,</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18,289,866 and 18,216,958 issued and outstanding respectively</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84,259,476</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68,462,280</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67,344,140</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(62,585,347)</w:t>
            </w:r>
          </w:p>
        </w:tc>
        <w:tc>
          <w:tcPr>
            <w:tcW w:w="10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(56,055,520)</w:t>
            </w: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(47,143,025)</w:t>
            </w:r>
          </w:p>
        </w:tc>
      </w:tr>
      <w:tr>
        <w:trPr>
          <w:trHeight w:val="22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166,511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88,946</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231,142</w:t>
            </w:r>
          </w:p>
        </w:tc>
      </w:tr>
      <w:tr>
        <w:trPr>
          <w:trHeight w:val="26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21,840,640</w:t>
            </w:r>
          </w:p>
        </w:tc>
        <w:tc>
          <w:tcPr>
            <w:tcW w:w="3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12,495,706</w:t>
            </w:r>
          </w:p>
        </w:tc>
        <w:tc>
          <w:tcPr>
            <w:tcW w:w="3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20,432,257</w:t>
            </w:r>
          </w:p>
        </w:tc>
        <w:tc>
          <w:tcPr>
            <w:tcW w:w="100" w:type="dxa"/>
            <w:vAlign w:val="bottom"/>
            <w:tcBorders>
              <w:bottom w:val="single" w:sz="8" w:color="CCEEFF"/>
            </w:tcBorders>
          </w:tcPr>
          <w:p>
            <w:pPr>
              <w:spacing w:after="0"/>
              <w:rPr>
                <w:sz w:val="22"/>
                <w:szCs w:val="22"/>
                <w:color w:val="auto"/>
              </w:rPr>
            </w:pPr>
          </w:p>
        </w:tc>
      </w:tr>
      <w:tr>
        <w:trPr>
          <w:trHeight w:val="194"/>
        </w:trPr>
        <w:tc>
          <w:tcPr>
            <w:tcW w:w="56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31,889,310</w:t>
            </w: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14,823,993</w:t>
            </w: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22,347,145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5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7"/>
              </w:rPr>
              <w:t>Accumulated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Common</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416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stock,</w:t>
            </w:r>
          </w:p>
        </w:tc>
        <w:tc>
          <w:tcPr>
            <w:tcW w:w="80" w:type="dxa"/>
            <w:vAlign w:val="bottom"/>
          </w:tcPr>
          <w:p>
            <w:pPr>
              <w:spacing w:after="0"/>
              <w:rPr>
                <w:sz w:val="18"/>
                <w:szCs w:val="18"/>
                <w:color w:val="auto"/>
              </w:rPr>
            </w:pPr>
          </w:p>
        </w:tc>
        <w:tc>
          <w:tcPr>
            <w:tcW w:w="138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w w:val="97"/>
              </w:rPr>
              <w:t>Accumulated</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comprehensive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2"/>
        </w:trPr>
        <w:tc>
          <w:tcPr>
            <w:tcW w:w="416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outstanding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no par value</w:t>
            </w:r>
          </w:p>
        </w:tc>
        <w:tc>
          <w:tcPr>
            <w:tcW w:w="80" w:type="dxa"/>
            <w:vAlign w:val="bottom"/>
          </w:tcPr>
          <w:p>
            <w:pPr>
              <w:spacing w:after="0"/>
              <w:rPr>
                <w:sz w:val="20"/>
                <w:szCs w:val="20"/>
                <w:color w:val="auto"/>
              </w:rPr>
            </w:pPr>
          </w:p>
        </w:tc>
        <w:tc>
          <w:tcPr>
            <w:tcW w:w="1380" w:type="dxa"/>
            <w:vAlign w:val="bottom"/>
            <w:gridSpan w:val="2"/>
          </w:tcPr>
          <w:p>
            <w:pPr>
              <w:jc w:val="right"/>
              <w:ind w:right="602"/>
              <w:spacing w:after="0"/>
              <w:rPr>
                <w:sz w:val="20"/>
                <w:szCs w:val="20"/>
                <w:color w:val="auto"/>
              </w:rPr>
            </w:pPr>
            <w:r>
              <w:rPr>
                <w:rFonts w:ascii="Times New Roman" w:cs="Times New Roman" w:eastAsia="Times New Roman" w:hAnsi="Times New Roman"/>
                <w:sz w:val="18"/>
                <w:szCs w:val="18"/>
                <w:color w:val="auto"/>
              </w:rPr>
              <w:t>deficit</w:t>
            </w:r>
          </w:p>
        </w:tc>
        <w:tc>
          <w:tcPr>
            <w:tcW w:w="18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income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18,216,858</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66,603,725</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(35,465,559</w:t>
            </w:r>
          </w:p>
        </w:tc>
        <w:tc>
          <w:tcPr>
            <w:tcW w:w="340" w:type="dxa"/>
            <w:vAlign w:val="bottom"/>
            <w:tcBorders>
              <w:top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31,138,166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739,884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increase ATM program</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shd w:val="clear" w:color="auto" w:fill="CCEEFF"/>
          </w:tcPr>
          <w:p>
            <w:pPr>
              <w:spacing w:after="0"/>
              <w:rPr>
                <w:sz w:val="18"/>
                <w:szCs w:val="18"/>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(32,011)</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231,142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199,131</w:t>
            </w:r>
          </w:p>
        </w:tc>
        <w:tc>
          <w:tcPr>
            <w:tcW w:w="80" w:type="dxa"/>
            <w:vAlign w:val="bottom"/>
          </w:tcPr>
          <w:p>
            <w:pPr>
              <w:spacing w:after="0"/>
              <w:rPr>
                <w:sz w:val="18"/>
                <w:szCs w:val="18"/>
                <w:color w:val="auto"/>
              </w:rPr>
            </w:pPr>
          </w:p>
        </w:tc>
      </w:tr>
      <w:tr>
        <w:trPr>
          <w:trHeight w:val="22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(11,645,455)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(11,645,455)</w:t>
            </w:r>
          </w:p>
        </w:tc>
      </w:tr>
      <w:tr>
        <w:trPr>
          <w:trHeight w:val="207"/>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18,216,958</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67,344,140</w:t>
            </w:r>
          </w:p>
        </w:tc>
        <w:tc>
          <w:tcPr>
            <w:tcW w:w="3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(47,143,025</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231,142</w:t>
            </w:r>
          </w:p>
        </w:tc>
        <w:tc>
          <w:tcPr>
            <w:tcW w:w="3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20,432,257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847,255</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 ATM program</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72,908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270,885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270,885</w:t>
            </w:r>
          </w:p>
        </w:tc>
        <w:tc>
          <w:tcPr>
            <w:tcW w:w="80" w:type="dxa"/>
            <w:vAlign w:val="bottom"/>
          </w:tcPr>
          <w:p>
            <w:pPr>
              <w:spacing w:after="0"/>
              <w:rPr>
                <w:sz w:val="18"/>
                <w:szCs w:val="18"/>
                <w:color w:val="auto"/>
              </w:rPr>
            </w:pPr>
          </w:p>
        </w:tc>
      </w:tr>
      <w:tr>
        <w:trPr>
          <w:trHeight w:val="21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(142,196)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(142,196)</w:t>
            </w: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(8,912,495)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(8,912,495)</w:t>
            </w:r>
          </w:p>
        </w:tc>
      </w:tr>
      <w:tr>
        <w:trPr>
          <w:trHeight w:val="207"/>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18,289,866</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68,462,280</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(56,055,520</w:t>
            </w:r>
          </w:p>
        </w:tc>
        <w:tc>
          <w:tcPr>
            <w:tcW w:w="340" w:type="dxa"/>
            <w:vAlign w:val="bottom"/>
            <w:tcBorders>
              <w:top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88,946</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12,495,706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1,009,738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5"/>
        </w:trPr>
        <w:tc>
          <w:tcPr>
            <w:tcW w:w="4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Capital increase ATM program and Registered Direct</w:t>
            </w: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5,142,317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14,787,458</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14,787,458</w:t>
            </w:r>
          </w:p>
        </w:tc>
        <w:tc>
          <w:tcPr>
            <w:tcW w:w="80" w:type="dxa"/>
            <w:vAlign w:val="bottom"/>
            <w:shd w:val="clear" w:color="auto" w:fill="CCEEFF"/>
          </w:tcPr>
          <w:p>
            <w:pPr>
              <w:spacing w:after="0"/>
              <w:rPr>
                <w:sz w:val="20"/>
                <w:szCs w:val="20"/>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77,565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77,565</w:t>
            </w:r>
          </w:p>
        </w:tc>
        <w:tc>
          <w:tcPr>
            <w:tcW w:w="80" w:type="dxa"/>
            <w:vAlign w:val="bottom"/>
          </w:tcPr>
          <w:p>
            <w:pPr>
              <w:spacing w:after="0"/>
              <w:rPr>
                <w:sz w:val="18"/>
                <w:szCs w:val="18"/>
                <w:color w:val="auto"/>
              </w:rPr>
            </w:pPr>
          </w:p>
        </w:tc>
      </w:tr>
      <w:tr>
        <w:trPr>
          <w:trHeight w:val="22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(6,529,827)</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(6,529,827)</w:t>
            </w:r>
          </w:p>
        </w:tc>
      </w:tr>
      <w:tr>
        <w:trPr>
          <w:trHeight w:val="20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23,432,183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84,259,476</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(62,585,347</w:t>
            </w:r>
          </w:p>
        </w:tc>
        <w:tc>
          <w:tcPr>
            <w:tcW w:w="3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166,511</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21,840,640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62"/>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5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5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(in Euros)</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(6,529,827)</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(8,912,495)</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(11,645,455)</w:t>
            </w:r>
          </w:p>
        </w:tc>
      </w:tr>
      <w:tr>
        <w:trPr>
          <w:trHeight w:val="21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28,082</w:t>
            </w:r>
          </w:p>
        </w:tc>
        <w:tc>
          <w:tcPr>
            <w:tcW w:w="360" w:type="dxa"/>
            <w:vAlign w:val="bottom"/>
          </w:tcPr>
          <w:p>
            <w:pPr>
              <w:spacing w:after="0"/>
              <w:rPr>
                <w:sz w:val="18"/>
                <w:szCs w:val="18"/>
                <w:color w:val="auto"/>
              </w:rPr>
            </w:pPr>
          </w:p>
        </w:tc>
        <w:tc>
          <w:tcPr>
            <w:tcW w:w="14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44,523</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8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benefit obligation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100,018</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63,112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75,692</w:t>
            </w:r>
          </w:p>
        </w:tc>
        <w:tc>
          <w:tcPr>
            <w:tcW w:w="80" w:type="dxa"/>
            <w:vAlign w:val="bottom"/>
            <w:shd w:val="clear" w:color="auto" w:fill="CCEEFF"/>
          </w:tcPr>
          <w:p>
            <w:pPr>
              <w:spacing w:after="0"/>
              <w:rPr>
                <w:sz w:val="18"/>
                <w:szCs w:val="18"/>
                <w:color w:val="auto"/>
              </w:rPr>
            </w:pP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1,009,738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847,255</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739,884</w:t>
            </w:r>
          </w:p>
        </w:tc>
        <w:tc>
          <w:tcPr>
            <w:tcW w:w="8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loss on convertible bond</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103,000</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(17,136)</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667,328</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(554,042)</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(1,579,199)</w:t>
            </w:r>
          </w:p>
        </w:tc>
        <w:tc>
          <w:tcPr>
            <w:tcW w:w="360" w:type="dxa"/>
            <w:vAlign w:val="bottom"/>
          </w:tcPr>
          <w:p>
            <w:pPr>
              <w:spacing w:after="0"/>
              <w:rPr>
                <w:sz w:val="18"/>
                <w:szCs w:val="18"/>
                <w:color w:val="auto"/>
              </w:rPr>
            </w:pPr>
          </w:p>
        </w:tc>
        <w:tc>
          <w:tcPr>
            <w:tcW w:w="14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699,816</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596,943</w:t>
            </w:r>
          </w:p>
        </w:tc>
        <w:tc>
          <w:tcPr>
            <w:tcW w:w="8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1,191,437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22,855</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(747,079)</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120,212</w:t>
            </w:r>
          </w:p>
        </w:tc>
        <w:tc>
          <w:tcPr>
            <w:tcW w:w="360" w:type="dxa"/>
            <w:vAlign w:val="bottom"/>
          </w:tcPr>
          <w:p>
            <w:pPr>
              <w:spacing w:after="0"/>
              <w:rPr>
                <w:sz w:val="18"/>
                <w:szCs w:val="18"/>
                <w:color w:val="auto"/>
              </w:rPr>
            </w:pPr>
          </w:p>
        </w:tc>
        <w:tc>
          <w:tcPr>
            <w:tcW w:w="14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9,228</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8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(121,189)</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79,171</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(49,253)</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 related party</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(953,173)</w:t>
            </w:r>
          </w:p>
        </w:tc>
        <w:tc>
          <w:tcPr>
            <w:tcW w:w="360" w:type="dxa"/>
            <w:vAlign w:val="bottom"/>
          </w:tcPr>
          <w:p>
            <w:pPr>
              <w:spacing w:after="0"/>
              <w:rPr>
                <w:sz w:val="18"/>
                <w:szCs w:val="18"/>
                <w:color w:val="auto"/>
              </w:rPr>
            </w:pPr>
          </w:p>
        </w:tc>
        <w:tc>
          <w:tcPr>
            <w:tcW w:w="14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169,767</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372,371</w:t>
            </w:r>
          </w:p>
        </w:tc>
        <w:tc>
          <w:tcPr>
            <w:tcW w:w="80" w:type="dxa"/>
            <w:vAlign w:val="bottom"/>
          </w:tcPr>
          <w:p>
            <w:pPr>
              <w:spacing w:after="0"/>
              <w:rPr>
                <w:sz w:val="18"/>
                <w:szCs w:val="18"/>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(218,764)</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82,702</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(42,813)</w:t>
            </w:r>
          </w:p>
        </w:tc>
      </w:tr>
      <w:tr>
        <w:trPr>
          <w:trHeight w:val="22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(1,158)</w:t>
            </w:r>
          </w:p>
        </w:tc>
        <w:tc>
          <w:tcPr>
            <w:tcW w:w="360" w:type="dxa"/>
            <w:vAlign w:val="bottom"/>
          </w:tcPr>
          <w:p>
            <w:pPr>
              <w:spacing w:after="0"/>
              <w:rPr>
                <w:sz w:val="19"/>
                <w:szCs w:val="19"/>
                <w:color w:val="auto"/>
              </w:rPr>
            </w:pPr>
          </w:p>
        </w:tc>
        <w:tc>
          <w:tcPr>
            <w:tcW w:w="142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(13,436)</w:t>
            </w:r>
          </w:p>
        </w:tc>
        <w:tc>
          <w:tcPr>
            <w:tcW w:w="3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(12,624)</w:t>
            </w:r>
          </w:p>
        </w:tc>
      </w:tr>
      <w:tr>
        <w:trPr>
          <w:trHeight w:val="207"/>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(6,867,959</w:t>
            </w:r>
          </w:p>
        </w:tc>
        <w:tc>
          <w:tcPr>
            <w:tcW w:w="340" w:type="dxa"/>
            <w:vAlign w:val="bottom"/>
            <w:tcBorders>
              <w:top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(6,240,174</w:t>
            </w:r>
          </w:p>
        </w:tc>
        <w:tc>
          <w:tcPr>
            <w:tcW w:w="320" w:type="dxa"/>
            <w:vAlign w:val="bottom"/>
            <w:tcBorders>
              <w:top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(11,205,023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(33,165,127)</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(16,380,363)</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(14,878,875)</w:t>
            </w: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18,628,816</w:t>
            </w:r>
          </w:p>
        </w:tc>
        <w:tc>
          <w:tcPr>
            <w:tcW w:w="360" w:type="dxa"/>
            <w:vAlign w:val="bottom"/>
          </w:tcPr>
          <w:p>
            <w:pPr>
              <w:spacing w:after="0"/>
              <w:rPr>
                <w:sz w:val="18"/>
                <w:szCs w:val="18"/>
                <w:color w:val="auto"/>
              </w:rPr>
            </w:pPr>
          </w:p>
        </w:tc>
        <w:tc>
          <w:tcPr>
            <w:tcW w:w="14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23,267,895</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(7,625)</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(4,468)</w:t>
            </w:r>
          </w:p>
        </w:tc>
        <w:tc>
          <w:tcPr>
            <w:tcW w:w="3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(13,791)</w:t>
            </w:r>
          </w:p>
        </w:tc>
      </w:tr>
      <w:tr>
        <w:trPr>
          <w:trHeight w:val="207"/>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(14,543,936</w:t>
            </w:r>
          </w:p>
        </w:tc>
        <w:tc>
          <w:tcPr>
            <w:tcW w:w="340" w:type="dxa"/>
            <w:vAlign w:val="bottom"/>
            <w:tcBorders>
              <w:bottom w:val="single" w:sz="8" w:color="CCEEFF"/>
            </w:tcBorders>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6,883,064</w:t>
            </w:r>
          </w:p>
        </w:tc>
        <w:tc>
          <w:tcPr>
            <w:tcW w:w="3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(14,892,666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ATM program</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14,787,458</w:t>
            </w:r>
          </w:p>
        </w:tc>
        <w:tc>
          <w:tcPr>
            <w:tcW w:w="360" w:type="dxa"/>
            <w:vAlign w:val="bottom"/>
          </w:tcPr>
          <w:p>
            <w:pPr>
              <w:spacing w:after="0"/>
              <w:rPr>
                <w:sz w:val="18"/>
                <w:szCs w:val="18"/>
                <w:color w:val="auto"/>
              </w:rPr>
            </w:pPr>
          </w:p>
        </w:tc>
        <w:tc>
          <w:tcPr>
            <w:tcW w:w="14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270,885</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8"/>
                <w:szCs w:val="18"/>
                <w:color w:val="auto"/>
              </w:rPr>
            </w:pPr>
          </w:p>
        </w:tc>
      </w:tr>
      <w:tr>
        <w:trPr>
          <w:trHeight w:val="22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convertible bond</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7"/>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22,287,458</w:t>
            </w:r>
          </w:p>
        </w:tc>
        <w:tc>
          <w:tcPr>
            <w:tcW w:w="3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270,885</w:t>
            </w:r>
          </w:p>
        </w:tc>
        <w:tc>
          <w:tcPr>
            <w:tcW w:w="3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70,360</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(23,446)</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00" w:type="dxa"/>
            <w:vAlign w:val="bottom"/>
            <w:gridSpan w:val="2"/>
            <w:shd w:val="clear" w:color="auto" w:fill="CCEEFF"/>
          </w:tcPr>
          <w:p>
            <w:pPr>
              <w:spacing w:after="0"/>
              <w:rPr>
                <w:sz w:val="17"/>
                <w:szCs w:val="17"/>
                <w:color w:val="auto"/>
              </w:rPr>
            </w:pPr>
          </w:p>
        </w:tc>
      </w:tr>
      <w:tr>
        <w:trPr>
          <w:trHeight w:val="213"/>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945,923</w:t>
            </w:r>
          </w:p>
        </w:tc>
        <w:tc>
          <w:tcPr>
            <w:tcW w:w="360" w:type="dxa"/>
            <w:vAlign w:val="bottom"/>
          </w:tcPr>
          <w:p>
            <w:pPr>
              <w:spacing w:after="0"/>
              <w:rPr>
                <w:sz w:val="18"/>
                <w:szCs w:val="18"/>
                <w:color w:val="auto"/>
              </w:rPr>
            </w:pPr>
          </w:p>
        </w:tc>
        <w:tc>
          <w:tcPr>
            <w:tcW w:w="14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890,329</w:t>
            </w:r>
          </w:p>
        </w:tc>
        <w:tc>
          <w:tcPr>
            <w:tcW w:w="3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(26,103,436)</w:t>
            </w:r>
          </w:p>
        </w:tc>
      </w:tr>
      <w:tr>
        <w:trPr>
          <w:trHeight w:val="22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4,581,749</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3,691,420</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29,794,856</w:t>
            </w:r>
          </w:p>
        </w:tc>
        <w:tc>
          <w:tcPr>
            <w:tcW w:w="80" w:type="dxa"/>
            <w:vAlign w:val="bottom"/>
            <w:shd w:val="clear" w:color="auto" w:fill="CCEEFF"/>
          </w:tcPr>
          <w:p>
            <w:pPr>
              <w:spacing w:after="0"/>
              <w:rPr>
                <w:sz w:val="19"/>
                <w:szCs w:val="19"/>
                <w:color w:val="auto"/>
              </w:rPr>
            </w:pPr>
          </w:p>
        </w:tc>
      </w:tr>
      <w:tr>
        <w:trPr>
          <w:trHeight w:val="22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5,527,672</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4,581,749</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3,691,420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Genenta Science S.p.A.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97" w:lineRule="exact"/>
        <w:rPr>
          <w:sz w:val="20"/>
          <w:szCs w:val="20"/>
          <w:color w:val="auto"/>
        </w:rPr>
      </w:pPr>
    </w:p>
    <w:p>
      <w:pPr>
        <w:ind w:left="200" w:hanging="186"/>
        <w:spacing w:after="0"/>
        <w:tabs>
          <w:tab w:leader="none" w:pos="2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Nature of business and history</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Genenta Science S.p.A. (the “Company” or “Genenta”) was founded in Milan, Italy by San Raffaele Hospital (“OSR”), Pierluigi Paracchi, Luigi Naldini, and Bernhard Gentner, and was incorporated in July 2014. The registered office (or headquarters) is located in Milan, Italy. The Company’s reporting currency is Euros (“EUR” or “€”). The Company formed a wholly owned, Delaware incorporated subsidiary, Genenta Science, Inc., intended for future operations in the U.S. (“U.S. Subsidiary”). The U.S. Subsidiary operates in U.S. Dollars (“USD” or “$”).</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American Depository Shares (“ADSs”) representing the Company’s ordinary shares have been publicly traded on the NASDAQ Capital Market since December 15, 2021.</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Genenta is embarking on a strategic transformation to evolve into a next-generation strategic industrial consolidator focusing on acquiring privately held businesses operating in national-security regulated sectors contemplated by the Italian “Golden Power” legislation; however, we are and have been an early-stage company developing first-in-class cell and gene therapies to address unmet medical needs in solid tumors. The Company has been developing its clinical leading product, Temferon™, to treat glioblastoma multiforme (“GBM”), a solid tumor affecting the brain. The Company is conducting its clinical trials in Italy and may eventually begin a clinical trial in other parts of Europe and the U.S. to study Temferon™. In June 2023, the Company’s Board of Directors selected metastatic Renal Cell Cancer (“mRCC”) as the second solid tumor indication for Temferon. The Company discontinued its mRCC trial in early 2026. The Company engaged DC Advisory at the end of 2025 to assist in the identification of a strategic partner to advance the development of Temferon.</w:t>
      </w:r>
    </w:p>
    <w:p>
      <w:pPr>
        <w:spacing w:after="0" w:line="19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clinical-stage companies in the life-science and biotechnology industries, including, but not limited to, risks associated with the development and potential discontinuation of product candidates, the conduct and completion of clinical activities, the receipt of regulatory approvals, competition from other biotechnology and pharmaceutical companies, dependence on key personnel, protection of proprietary technology, compliance with government regulations and the ability to secure additional capital to fund operations.</w:t>
      </w:r>
    </w:p>
    <w:p>
      <w:pPr>
        <w:spacing w:after="0" w:line="18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Company’s product development efforts will require significant additional resources, including capital, personnel, and infrastructure, as well as compliance and reporting capabilities. The Company may also evaluate changes to its development priorities and operational plans from time to time. Even if development efforts are successful, it is uncertain when, if ever, the Company will realize revenue from product sales or achieve profitability. The Company is embarking on a strategic transformation to evolve into a next-generation strategic industrial consolidator focused on acquiring privately held businesses operating in national-security regulated sectors contemplated by the Italian Golden Power legislation. The “Golden Power” is Italy’s investment screening framework — broadly comparable to CFIUS in the United States, the IEF regime in France, and the United Kingdom’s NSI Act — and covers strategic domains such as biotechnology, biosecurity, defense, cybersecurity, AI-driven intelligence, aerospace, quantum technologies, secure communications, and critical infrastructure. These proposed activities did not affect the Company’s financial statements at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 At-the-Market Sales Agreement, and Registered Direct Offering</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2023, the Company filed with the Securities and Exchange Commission (the “SEC”) a shelf registration statement on Form F-3 (File No. 333-271901) (the “Shelf Registration Statement”) that was subsequently declared effective in May 2023. It permits the Company to sell from time to time ordinary shares, including ordinary shares represented by ADSs, or rights to subscribe for ordinary shares or ordinary shares represented by ADSs in one or more offerings in amounts, at prices, and on the terms that the Company will determine at the time of offering for aggregate gross sale proceeds of up to $100 million.</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May 2023, the Company entered into a Controlled Equity Offering Sales Agreement with Cantor Fitzgerald &amp; Co., as agent (the “Prior ATM”), for the offer and sale of up to $30.0 million ordinary shares represented by ADSs from time to time in accordance with the terms of the agreement and SEC rules and regulations. This Prior ATM was subsequently mutually terminated in March 2024.</w:t>
      </w:r>
    </w:p>
    <w:p>
      <w:pPr>
        <w:spacing w:after="0" w:line="176"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Pursuant to the Company’s Shelf Registration Statement and that certain ATM Sales Agreement dated April 26, 2024, as amended on December 20, 2024 (as so amended, the “Sales Agreement”), with Virtu Americas LLC and Rodman &amp; Renshaw LLC (collectively, the “Sales Agents”), pursuant to which the Company may offer and sell ADSs with an aggregate offering price up to $29,696,999 from time to time through or to the Sales Agents, acting as sales agents or principals, subject to the terms and conditions described in the Sales Agreement and SEC rules and regulations (the “ATM”). For as long as the aggregate market value the Company’s outstanding ordinary shares held by non-affiliates remains below $75.0 million, the Company is subject to the offering limits in General Instruction I.B.5 of Form F-3 and in no event will the Company sell securities in public primary offerings on Form F-3, including through the ATM, with a value exceeding one-third of its outstanding ordinary shares held by non-affiliates in any 12 calendar month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54" w:name="page155"/>
    <w:bookmarkEnd w:id="154"/>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As of December 20, 2024, 73,008 ADSs were sold through the Prior ATM for gross proceeds of €271,416 (or $303,001). In March 2025, the Company sold 856,602 ADSs through the ATM for gross proceeds of €3,007,131 (or $3,255,430).</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Sales of ADSs under the Sales Agreement may be made by any method that is deemed to be an “at the market offering” as defined in Rule 415(a)(4) under the Securities Act of 1933, as amended (the “Securities Act”). The Sales Agents are not required to sell any specific number or dollar amount of ADSs but will act as our sales agents and use commercially reasonable efforts consistent with their normal trading and sales practices, on mutually agreed terms between the Sales Agents and the Company. There is no arrangement for funds to be received in any escrow, trust, or similar arrangement.</w:t>
      </w:r>
    </w:p>
    <w:p>
      <w:pPr>
        <w:spacing w:after="0" w:line="16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The Sales Agents will receive from the Company a commission of up to 3.0% of the gross proceeds of any ADSs sold through them under the Sales Agreement. In connection with the sale of ADSs on behalf of the Company, each of the Sales Agents will be deemed to be an “underwriter” within the meaning of the Securities Act, and the compensation of the Sales Agents may be deemed to be underwriting commissions or discounts. The Company has also agreed to provide indemnification and contribution to the Sales Agents with respect to certain liabilities, including liabilities under the Securities Act.</w:t>
      </w:r>
    </w:p>
    <w:p>
      <w:pPr>
        <w:spacing w:after="0" w:line="16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October 2025, the Company entered into a Securities Purchase Agreement with certain institutional investors relating to the offer and sale of 4,285,715 ADSs, at a purchase price of $3.50 per ADS, for gross proceeds of approximately €12,867,805 (or $15,000,000) in a registered direct offering (the “Registered Offering”).</w:t>
      </w:r>
    </w:p>
    <w:p>
      <w:pPr>
        <w:spacing w:after="0" w:line="17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also entered into a Placement Agency Agreement with Maxim Group LLC and Rodman &amp; Renshaw LLC, pursuant to which Maxim Group LLC acted as the lead placement agent and Rodman &amp; Renshaw LLC acted as the co-placement agent for the Registered Offering. Pursuant to the terms and conditions stated in the Placement Agency Agreement, the Company has agreed to pay the Placement Agents a cash fee equal to 6.0% of the aggregate gross proceeds of the Registered Offering. The Company also agreed to pay the Placement Agents an expense allowance of up to $75,000 for legal fees and other out-of-pocket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risks</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Company has incurred losses since its inception, including a net loss of €6.5 million, €8.9 million, and €11.6 million for the years ended December 31, 2025, 2024 and 2023, respectively. In addition, as of December 31, 2025, the Company had an accumulated deficit of €62.6 million.</w:t>
      </w:r>
    </w:p>
    <w:p>
      <w:pPr>
        <w:spacing w:after="0" w:line="16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Company has primarily funded these losses through the proceeds from sales of convertible debt and equity. The Company has incurred recurring losses and expects to continue to incur losses for the foreseeable future. In addition, the Company expects that its existing cash, cash equivalents, and marketable securities on hand as of December 31, 2025, of €28.1 million will be sufficient to fund current planned operations and capital expenditure requirements for at least the next twelve months. However, the future viability of the Company is dependent on its ability to raise additional capital to finance its operations, and/or generate positive cash flows from its proposed acquisitions. The Company’s inability to raise capital as and when needed could have a negative impact on its financial condition and ability to continue as a going concern, as well as the ability to pursue its business strategies. There can be no assurance that the current or proposed operating plan will be achieved or that additional funding will be available on terms acceptable to the Company, or at all.</w:t>
      </w:r>
    </w:p>
    <w:p>
      <w:pPr>
        <w:spacing w:after="0" w:line="19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The Company’s historical business model, typical of biotechnology companies developing new therapeutic products, has not reached a balanced income and financial position, and features negative cash flows. This is because, at this stage, costs must be borne in relation to services and personnel, directly connected to research and development activities, and the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costs for research and development in the foreseeable future. Although the Company intends to target majority ownership in companies with established operating profitability as part of its strategic transformation, there is no certainty that the Company will become profitable in the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5" w:name="page156"/>
    <w:bookmarkEnd w:id="155"/>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may require additional capital to meet its long-term operating requirements. It expects to raise additional capital through, among other things, the sale of equity, debt, or convertible securities through public offerings or private placements, including, but not limited to, sales of ADSs pursuant to the ATM.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and /or financial situation of the Company.</w:t>
      </w:r>
    </w:p>
    <w:p>
      <w:pPr>
        <w:spacing w:after="0" w:line="186"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The Company’s ability to raise additional capital may be adversely impacted by the potential worsening of global economic and political conditions and volatility in the credit and financial markets in the U.S. and worldwide. This could be exacerbated by, among other factors, inflation, fluctuating interest rates, tariffs, and geopolitical conflicts, as well as shareholder concerns over the Company’s strategic transformation to evolve into a next-generation industrial consolidator. The Company’s failure to raise capital as and when needed, or on acceptable terms could have a negative impact on the Company’s financial condition, its ability continue as a going concern, and its ability to pursue its current and proposed business strategy, and the Company may have to delay, reduce the scope of, suspend or eliminate one or more of its research-stage programs, clinical trials, or future commercialization efforts.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of America (“U.S. GAAP”) for consolidated financial information and in accordance with the instructions to Form 20-F and Article 10 of Regulation S-X promulgated by the Securities and Exchange Commission (“SEC”). Any reference in these notes to applicable guidance is meant to refer to the authoritative U.S. GAAP guidance as found in the Accounting Standards Codification (“ASC”) and Accounting Standards Update (“ASU”) of the Financial Accounting Standards Board (“FASB”) unless otherwise stated.</w:t>
      </w:r>
    </w:p>
    <w:p>
      <w:pPr>
        <w:spacing w:after="0" w:line="18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 summary of the significant accounting policies applied in the preparation of these consolidated financial statements is presented below, only for the categories and headings now applicable and that might be applicable in the future based on the Company’s business. These policies have been consistently applied unless otherwise stated.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in the consolidated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consolidated financial statements are disclosed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 whose amounts may at times exceed insured limits. The Company has not experienced any losses on such accounts and does not believe it is exposed to any significant credit risk. In the Consolidated Cash Flow statements, cash and cash equivalents include: cash on hand, deposits held with banks, and other short-term, highly liquid investments. In the Consolidated Balance Sheets, bank overdrafts, if any, are shown in current liabilities.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4" w:lineRule="exact"/>
        <w:rPr>
          <w:sz w:val="20"/>
          <w:szCs w:val="20"/>
          <w:color w:val="auto"/>
        </w:rPr>
      </w:pPr>
    </w:p>
    <w:p>
      <w:pPr>
        <w:jc w:val="both"/>
        <w:ind w:firstLine="631"/>
        <w:spacing w:after="0" w:line="277" w:lineRule="auto"/>
        <w:rPr>
          <w:sz w:val="20"/>
          <w:szCs w:val="20"/>
          <w:color w:val="auto"/>
        </w:rPr>
      </w:pPr>
      <w:r>
        <w:rPr>
          <w:rFonts w:ascii="Times New Roman" w:cs="Times New Roman" w:eastAsia="Times New Roman" w:hAnsi="Times New Roman"/>
          <w:sz w:val="18"/>
          <w:szCs w:val="18"/>
          <w:color w:val="auto"/>
        </w:rPr>
        <w:t>Investments with an original maturity of more than (3) three months are classified as available-for-sale (“AFS”) marketable securities, with those having a remaining maturity of more than one year presented as non-current assets.</w:t>
      </w:r>
    </w:p>
    <w:p>
      <w:pPr>
        <w:spacing w:after="0" w:line="163"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8"/>
          <w:szCs w:val="18"/>
          <w:color w:val="auto"/>
        </w:rPr>
        <w:t>AFS securities are measured at fair value, with unrealized gains and losses recorded in Other Comprehensive Income (Loss) until realized. Purchase premiums are amortized to the earliest call date, and discounts are accreted to maturity, with related amounts recorded in interest income, net. Realized gains and losses are determined using the specific identification method and reported in other income (expense), net.</w:t>
      </w:r>
    </w:p>
    <w:p>
      <w:pPr>
        <w:spacing w:after="0" w:line="176" w:lineRule="exact"/>
        <w:rPr>
          <w:sz w:val="20"/>
          <w:szCs w:val="20"/>
          <w:color w:val="auto"/>
        </w:rPr>
      </w:pPr>
    </w:p>
    <w:p>
      <w:pPr>
        <w:jc w:val="both"/>
        <w:ind w:firstLine="631"/>
        <w:spacing w:after="0" w:line="271" w:lineRule="auto"/>
        <w:rPr>
          <w:sz w:val="20"/>
          <w:szCs w:val="20"/>
          <w:color w:val="auto"/>
        </w:rPr>
      </w:pPr>
      <w:r>
        <w:rPr>
          <w:rFonts w:ascii="Times New Roman" w:cs="Times New Roman" w:eastAsia="Times New Roman" w:hAnsi="Times New Roman"/>
          <w:sz w:val="17"/>
          <w:szCs w:val="17"/>
          <w:color w:val="auto"/>
        </w:rPr>
        <w:t>The Company evaluates AFS securities each reporting period under ASC 326 to identify any credit losses. Any credit loss is recognized in earnings, limited to the difference between fair value and amortized cost. Accrued interest receivable is reported within prepaids and other current assets and is excluded from impairment testing. Write-offs of accrued interest are recorded through the reversal of interest income and/or credit loss expense. To date, no credit losses or write-offs have been recognized. Accrued interest receivable related to AFS debt securities is presented within prepaids and other current assets and is excluded from both fair value and amortized cost when assessing impairment. The Company writes off accrued interest only when it is deemed uncollectible, recording such write-offs through reversal of interest income, credit loss expense, or both. To date, no write-offs have been necessary.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convertible bond</w:t>
      </w:r>
    </w:p>
    <w:p>
      <w:pPr>
        <w:spacing w:after="0" w:line="224"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8"/>
          <w:szCs w:val="18"/>
          <w:color w:val="auto"/>
        </w:rPr>
        <w:t>The Company has issued a mandatory convertible bond (“MCB”), which does not meet the “fixed-for-fixed” equity classification test under ASC 480, as the number of shares to be delivered is variable while the monetary value of the obligation is predetermined by reference to the nominal amount and interest. Accordingly, under ASC 480-10-25-14, the MCB is classified as a liability and accounted for at fair value through profit or loss.</w:t>
      </w:r>
    </w:p>
    <w:p>
      <w:pPr>
        <w:spacing w:after="0" w:line="176" w:lineRule="exact"/>
        <w:rPr>
          <w:sz w:val="20"/>
          <w:szCs w:val="20"/>
          <w:color w:val="auto"/>
        </w:rPr>
      </w:pPr>
    </w:p>
    <w:p>
      <w:pPr>
        <w:jc w:val="both"/>
        <w:ind w:firstLine="631"/>
        <w:spacing w:after="0" w:line="254" w:lineRule="auto"/>
        <w:rPr>
          <w:sz w:val="20"/>
          <w:szCs w:val="20"/>
          <w:color w:val="auto"/>
        </w:rPr>
      </w:pPr>
      <w:r>
        <w:rPr>
          <w:rFonts w:ascii="Times New Roman" w:cs="Times New Roman" w:eastAsia="Times New Roman" w:hAnsi="Times New Roman"/>
          <w:sz w:val="18"/>
          <w:szCs w:val="18"/>
          <w:color w:val="auto"/>
        </w:rPr>
        <w:t>The MCB contains embedded features, including conversion rights, ownership caps, and conversion price ceilings, which represent embedded derivatives requiring fair value measurement in accordance with ASC 815. However, the Company has elected to value the instrument in its entirety, including the embedded derivatives under ASC 825 - the Fair Value Option. As a result, the MCB is measured at fair value, with changes in fair value recognized in the Consolidated Statement of Operations and Comprehensive Loss within “Unrealized fair value gain/loss on MCB” in the period in which they arise.</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Consistent with ASC 825-10-25-3, the election of the fair value option requires that issuance costs, transaction fees, and any other directly attributable costs, including legal and due diligence expenses, be expensed immediately 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and comprehensive income (loss)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Comprehensive loss is defined as the change in equity during a period from transactions and other events and circumstances from non-owner sources. ASC 220 Comprehensive Income requires that an entity record all components of comprehensive (loss) income, net of their related tax effects, in its financial statements in the period in which they are recognized.</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2025, the net loss was equal to €6.5 million, other comprehensive income was €77,565, and total comprehensive loss was equal to €6.5 million.</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2024, the net loss was approximately €8.9 million, with other comprehensive loss being €142,196, and total comprehensive loss was approximately €9.1 million.</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2023, net loss was €11.6 million with other comprehensive income being €199,131 and total comprehensive loss was €11.4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Net loss per share (“EPS”) is computed in accordance with U.S. GAAP. Basic EPS is computed by dividing net loss by the weighted average number of ordinary shares outstanding during the period. Diluted EPS reflects potential dilution and is computed by dividing net loss by the weighted average number of ordinary shares outstanding during the period, increased by the number of additional ordinary shares that would have been outstanding if all potential ordinary shares had been issued and were dilutive.</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At December 31, 2025, the Company had 23,432,183 ordinary shares issued and outstanding, with 2.3 million ordinary shares reserved for the Company’s Equity Incentive Plan 2021–2035.</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7" w:name="page158"/>
    <w:bookmarkEnd w:id="157"/>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At December 31, 2025, the Company had 1.9 million outstanding options and 23,502 ordinary share equivalents, in the form of underwriters’ ordinary share warrants.</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Diluted EPS was not relevant at December 31, 2025, 2024, or 2023, as the effect of ordinary share equivalents, in the form of 1.9 million stock options, and 23,502 underwriters’ ordinary share warrants, would have been anti-dilutive. (See Note 14. Shareholders’ equity and Note 15. Share-based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the translation at period-end exchange rates of monetary assets and liabilities denominated in foreign currencies are recognized in the Consolidated Statements of Operations and Comprehensive Loss. For financial reporting purposes, the assets and liabilities of the U.S. Subsidiary are translated into EUR using exchange rates in effect at the balance sheet date. The net income/(loss) of the U.S. Subsidiary is translated into EUR using average exchange rates in effect during the reporting period. The resulting currency translation impact is recorded in Shareholders’ equity as a cumulative translation adjustment.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2025, the currency translation impact was approximately €70,400.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2024, the currency translation impact was approximately €23,400.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2023, the currency translation impact was approximately €15,800.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Any change in the net foreign exchange rate effect is due to the fluctuation in the USD exchange rate with the Euro.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U.S. Jumpstart Our Business Startups Act, or U.S.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U.S. JOBS Act provides that an “emerging growth company” can take advantage of the extended transition period afforded by the U.S.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chief operating decision-maker (“CODM”) in making decisions regarding resource allocation and assessing performance. The Company and its chief operating decision-maker view the Company’s current operations and the management of its biotech business in one (1) operating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credit on investments in research and development</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line with the legislation in force at December 31, 2025, 2024, and 2023, and for the fiscal year 2026, companies in Italy that invest in eligible research and development activities, regardless of the legal form and economic sector in which they operate, can benefit from a tax credit which can be used to reduce most taxes payable, including income tax or regional tax on productive activities, as well as social security contributions and payroll withholding taxes.</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Starting with the fiscal year 2023 (“FY 2023”), for eligible R&amp;D activities, the tax credit rate was equal to 10% of the eligible costs incurred, with a maximum annual amount of €5.0 million. In addition, the law extended the measure up to the tax period ending December 31, 2031.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8" w:name="page159"/>
    <w:bookmarkEnd w:id="158"/>
    <w:p>
      <w:pPr>
        <w:jc w:val="both"/>
        <w:ind w:firstLine="640"/>
        <w:spacing w:after="0" w:line="307" w:lineRule="auto"/>
        <w:rPr>
          <w:sz w:val="20"/>
          <w:szCs w:val="20"/>
          <w:color w:val="auto"/>
        </w:rPr>
      </w:pPr>
      <w:r>
        <w:rPr>
          <w:rFonts w:ascii="Times New Roman" w:cs="Times New Roman" w:eastAsia="Times New Roman" w:hAnsi="Times New Roman"/>
          <w:sz w:val="17"/>
          <w:szCs w:val="17"/>
          <w:color w:val="auto"/>
        </w:rPr>
        <w:t>The eligible activities consist of fundamental research, industrial research, and experimental development as defined in letters m), q), and j) of point 15, par. 1.3 of the Communication no. 198/2014 of the European Commission. To determine the cost basis of the benefit, the following expenses are eligible:</w:t>
      </w:r>
    </w:p>
    <w:p>
      <w:pPr>
        <w:spacing w:after="0" w:line="140" w:lineRule="exact"/>
        <w:rPr>
          <w:sz w:val="20"/>
          <w:szCs w:val="20"/>
          <w:color w:val="auto"/>
        </w:rPr>
      </w:pPr>
    </w:p>
    <w:p>
      <w:pPr>
        <w:ind w:left="640" w:hanging="31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w:t>
      </w:r>
    </w:p>
    <w:p>
      <w:pPr>
        <w:spacing w:after="0" w:line="219"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charges, costs of the financial or simple lease, and other expenses related to movable tangible assets and software used in research and development projects;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extra-euro research contracts concerning the direct execution of eligible research and development activities by the provider;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consulting services and equivalent services related to eligible research and development activities;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materials, supplies, and other similar products used in research and development projects.</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receivable is recognized when there is reasonable assurance that: (1) the recipient will comply with the relevant conditions; and (2) the grant will be received. The Company has elected to present research and development expenditure net of related tax credit benefit on the Consolidated Statements of Operations and Comprehensive Loss.</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Consolidated Statements of Operations and Comprehensive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To reward the efforts of employees, officers, directors, and certain consultants, and to promote the Company’s growth and development, the Board may approve, upon occasion, various share-based awards based on the Company’s stock option plan (the “Equity Incentive Plan 2021–2035” or the “Plan”, originally approved on May 20, 2021 and subsequently modified to extend the final deadline for the issuance of the common shares until December 31, 2035). The Plan was amended to ensure that all stock options granted during its term are exercisable for a period of 10 years from their respective grant dates. (Refer to Note 15. Share-Based Compensation.)</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Currently, the Company has authorized options on 2,343,218 common shares (i.e., 10% of the number of shares outstanding, which was 23,432,183 common shares outstanding at December 31, 2025); however, as provided by the Plan, the Company may increase the authorized shares under the Plan up to a maximum of 2,700,000 common shares without further shareholder approval. Therefore, as the Company raises additional capital, and the total number of outstanding shares increases, the Board has the authority to issue additional options up to 2,700,000 common shares limit, without the need to obtain further authorization from shareholders, unless the number of outstanding common shares (aka ordinary shares) exceeds 27,000,000.</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measures its stock option awards granted to employees, officers, directors, and consultants under the Plan based on their fair value on the date of the grant and recognizes compensation expense for those awards over the requisite service period, which is normally the vesting period of the respective award. Forfeitures are accounted for as they occur. The measurement date for option awards is the date of the grant. 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Company chose the Black-Scholes-Merton model because it is considered easier to apply, and it is a defined equation and incorporates only one set of inputs. As a result, it is the model most commonly in use.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warrants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Upon the closing of the Company’s IPO, the Company issued 23,502 warrants to the underwriters of the offering (“Warrants”). The Warrants are exercisable at a per share exercise price equal to $14.375. The Warrants are exercisable at any time and from time to time, in whole or in part, until December 13, 2026.</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Warrants provide for adjustment in the number and price of the Warrants and the ADSs underlying such Warrants in the event of recapitalization, merger, stock split, or other structural transactions, or a future financing undertaken by the Company. The Warrants were evaluated under applicable guidance and accordingly classified as equity in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right-of-use</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Upon commencement of a contract containing a lease, the Company classifies leases other than short-term leases as either an operating lease or a finance lease according to the criteria prescribed by ASC 842. The Company recognizes both lease liabilities and right-of-use assets (“ROU”) on the balance sheet for all leases, except for short-term leases (those with a lease term of 12 months or less). Lease liabilities are initially measured at the present value of the future lease payments over the lease term, discounted at the rate implicit in the lease or, if that rate is not readily determinable, the Company’s incremental borrowing rate. The ROU assets represent the lessee’s right to use the underlying asset for the lease term and are initially measured at the same amount as the corresponding lease liability. For finance leases, the Company recognizes interest expense on the lease liability and amortization expense on the ROU asset. For operating leases, lease expense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Fixed assets are stated at cost, including any accessories and direct costs that are necessary to make the assets fit for use, and adjusted by the corresponding accumulated depreciation. Depreciation is systematically recorded in the consolidated financial statements, taking into consideration the use, purpose, and financial-technical duration of the assets, based on their estimated useful economic lives. Leasehold improvements depreciation is recorded based on the shorter of the life of the leasehold improvement or the remaining term of the lease.</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economic productivity of the Company, are attributed to the asset to which they refer and depreciated on the basis of its estimated useful economic life. Amortization of leasehold improvements is computed using the straight-line method based on the terms of the applicable lease or estimated useful life of the improvements, whichever is shorter.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for the years ended December 31, 2025, 2024 and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Deferred offering costs, which primarily consist of direct, incremental legal and accounting fees relating to fundraising activities (e.g., a registered direct offering or other fundraising activities), are capitalized within prepaid expenses and other current assets before the offering, and netted or offset with the offering proceeds upon closing of the offering.</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2025, the Company incurred offering-related costs of approximately €1.1 million. Of this amount, approximately €12,918 related to ATM offering costs incurred in connection with the sale of ADSs pursuant to the Sales Agreement and were fully expensed as general and administrative costs in the Consolidated Statement of Operations and Comprehensive Loss. The remaining €1,057,408 related to offering costs incurred in connection with the registered direct offering and were offset against additional paid-in capital.</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2024, the Company incurred approximately €0.2 million of costs in connection with its sales of ADSs pursuant to the Sales Agreement that were fully expensed in the Consolidated Statement of Operations and Comprehensive Loss and approximately €0.2 million of deferred due diligence costs and other preliminary activities connected to the issuance of the mandatory convertible bond which was completed in February 2025.</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2023, the Company incurred approximately €0.3 million of ATM Offering costs that were fully expensed in the Consolidated Statement of Operations and Comprehensive Loss.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In November 2023, FASB issued ASU 2023-07, which amends ASC 280 to improve the information that a public entity discloses about its reportable segments and to address investor requests for more information about reportable segment expenses by requiring incremental disclosures for segment reporting. The effective date for ASU 2023-07 is for fiscal years beginning after December 15, 2023, and interim periods with fiscal years beginning after December 15, 2024. The amendment requires companies to disclose more information about their reportable segments, including: (1) significant segment expenses, (2) ‘other’ segment items, (3) the title and position of the chief operating decision maker (“CODM”), (4) how the CODM uses the reported measure(s) of segment profit or loss and (5) annual disclosures about a reportable segment’s profit or loss and assets. The Company believes that this ASU does not have a material impact on its consolidated financial statements and related disclosures.</w:t>
      </w:r>
    </w:p>
    <w:p>
      <w:pPr>
        <w:spacing w:after="0" w:line="18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modifies the rules on income tax disclosures to require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annual periods beginning after December 15, 2024, with early adoption permitted. ASU 2023-09 should be applied on a prospective basis, but retrospective application is permitted. The Company believes that this ASU does not have a material impact on its consolidated financial statements and related disclosures.</w:t>
      </w:r>
    </w:p>
    <w:p>
      <w:pPr>
        <w:spacing w:after="0" w:line="185"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In March 2024, FASB issued ASU 2024-01, Scope Application of Profits Interest and Similar Awards, which clarifies how an entity determines whether a profits interest or similar award (hereafter a “profits interest award”) is (1) within the scope of Accounting Standards Codification (ASC) 718, Compensation - Stock Compensation, or (2) not a share-based payment arrangement and therefore within the scope of other guidance. For public business entities, ASU 2024-01 is effective for annual periods beginning after December 15, 2024, and interim periods within those annual periods. For all other entities, the amendments are effective for annual periods beginning after December 15, 2025, and interim periods within those annual periods. The Company believes that this ASU does not have a material impact on its consolidated financial statements and related disclosures.</w:t>
      </w:r>
    </w:p>
    <w:p>
      <w:pPr>
        <w:spacing w:after="0" w:line="18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November 2024, FASB issued ASU 2024-04, Debt – Debt with conversion and other options (subtopic 470-20): Induced conversions of convertible debt instruments which provides guidance on accounting for induced conversions of convertible debt instruments. For public business entities, ASU 2024-04 is effective for annual reporting periods beginning after December 15, 2025, and interim reporting periods within those annual periods. The Company currently does not expect this standard to have a material impact on its financial statements, as its outstanding convertible instruments are mandatory in nature and not subject to induced conversions. The Company will continue to monitor future developments for applicability.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Research and development</w:t>
      </w:r>
    </w:p>
    <w:p>
      <w:pPr>
        <w:spacing w:after="0" w:line="22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9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Company annually incurs research costs to meet its biotech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Note 17. Related Parties.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4. General and administrative</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is subject to taxation in Italy, as well as in the U.S., due to the Company’s wholly owned American subsidiary. Taxation in Italy includes the standard corporate income tax (“IRES”) and a regional business tax (“IRAP”). Taxation in the U.S. includes federal corporate income tax, as well as state and local taxes. Taxes are recorded on an accrual basis. They therefore represent the allowances for taxes paid or to be paid for the year, calculated according to the current rates enacted and applicable laws. In the future, the Company may be taxed in various other countries where it may have permanent establishments, as applicable.</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 ending December 31, 2025, due to the tax loss position reported, no income taxes were due in Italy, while in the U.S., there was no material tax charge.</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 ending December 31, 2024, due to the tax loss position reported, no income taxes were due in Italy or the U.S., although the subsidiary in the U.S. had an immaterial tax charge.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ending December 31, 2023, due to the tax loss position reported, no income taxes were due in Italy or the U.S.</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At each reporting date, the Company considers existing evidence, both positive and negative, that could impact its view with regard to future realization of deferred tax assets. In consideration of the start-up status of the Company, a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86" w:lineRule="exact"/>
        <w:rPr>
          <w:sz w:val="20"/>
          <w:szCs w:val="20"/>
          <w:color w:val="auto"/>
        </w:rPr>
      </w:pPr>
    </w:p>
    <w:p>
      <w:pPr>
        <w:jc w:val="both"/>
        <w:ind w:firstLine="558"/>
        <w:spacing w:after="0" w:line="257" w:lineRule="auto"/>
        <w:rPr>
          <w:sz w:val="20"/>
          <w:szCs w:val="20"/>
          <w:color w:val="auto"/>
        </w:rPr>
      </w:pPr>
      <w:r>
        <w:rPr>
          <w:rFonts w:ascii="Times New Roman" w:cs="Times New Roman" w:eastAsia="Times New Roman" w:hAnsi="Times New Roman"/>
          <w:sz w:val="18"/>
          <w:szCs w:val="18"/>
          <w:color w:val="auto"/>
        </w:rPr>
        <w:t>The Company recognizes tax liabilities arising from an uncertain tax position if it is more likely than not that the tax position would be upheld upon examination by the taxing authorities, based on the technical merits. There are no uncertain tax positions that have been recognized in the accompanying consolidated financial statements. For the Company, the prior five years of tax returns (2021-2025) are potentially subject to audit, for the subsidiary in the U.S., the open years for tax examination are 2023, 2024, and 2025.</w:t>
      </w:r>
    </w:p>
    <w:p>
      <w:pPr>
        <w:spacing w:after="0" w:line="1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A reconciliation of the Company’s tax provisions is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7"/>
        </w:trPr>
        <w:tc>
          <w:tcPr>
            <w:tcW w:w="4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Euros)</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Italy statutory rate</w:t>
            </w:r>
          </w:p>
        </w:tc>
        <w:tc>
          <w:tcPr>
            <w:tcW w:w="206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(2,325,858)</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(2,037,277)</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(2,794,909)</w:t>
            </w:r>
          </w:p>
        </w:tc>
      </w:t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126,200</w:t>
            </w:r>
          </w:p>
        </w:tc>
        <w:tc>
          <w:tcPr>
            <w:tcW w:w="3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(39,935)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309,512</w:t>
            </w:r>
          </w:p>
        </w:tc>
      </w:tr>
      <w:tr>
        <w:trPr>
          <w:trHeight w:val="21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8,743</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71,627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(171,032)</w:t>
            </w:r>
          </w:p>
        </w:tc>
      </w:tr>
      <w:tr>
        <w:trPr>
          <w:trHeight w:val="21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for Genenta Science, Inc.</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108,004</w:t>
            </w:r>
          </w:p>
        </w:tc>
        <w:tc>
          <w:tcPr>
            <w:tcW w:w="3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(62,825)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(89,910)</w:t>
            </w:r>
          </w:p>
        </w:tc>
      </w:tr>
      <w:tr>
        <w:trPr>
          <w:trHeight w:val="22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2,082,911</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2,068,410</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2,746,339</w:t>
            </w:r>
          </w:p>
        </w:tc>
      </w:tr>
      <w:tr>
        <w:trPr>
          <w:trHeight w:val="22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expense for income taxes</w:t>
            </w:r>
          </w:p>
        </w:tc>
        <w:tc>
          <w:tcPr>
            <w:tcW w:w="17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4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F-15</w:t>
            </w: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162" w:name="page163"/>
    <w:bookmarkEnd w:id="162"/>
    <w:p>
      <w:pPr>
        <w:ind w:left="64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 are summarized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7"/>
        </w:trPr>
        <w:tc>
          <w:tcPr>
            <w:tcW w:w="4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Euros)</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1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16,084,600</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13,876,117</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11,772,870</w:t>
            </w:r>
          </w:p>
        </w:tc>
      </w:tr>
      <w:tr>
        <w:trPr>
          <w:trHeight w:val="21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4,558</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130,130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150,347</w:t>
            </w:r>
          </w:p>
        </w:tc>
      </w:tr>
      <w:tr>
        <w:trPr>
          <w:trHeight w:val="213"/>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corporate equity</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481,071</w:t>
            </w:r>
          </w:p>
        </w:tc>
        <w:tc>
          <w:tcPr>
            <w:tcW w:w="3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481,071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495,692</w:t>
            </w:r>
          </w:p>
        </w:tc>
      </w:tr>
      <w:tr>
        <w:trPr>
          <w:trHeight w:val="21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16,570,239</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14,487,319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12,418,909</w:t>
            </w:r>
          </w:p>
        </w:tc>
      </w:tr>
      <w:tr>
        <w:trPr>
          <w:trHeight w:val="227"/>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(16,570,239)</w:t>
            </w:r>
          </w:p>
        </w:tc>
        <w:tc>
          <w:tcPr>
            <w:tcW w:w="32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(14,487,319)</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(12,418,909)</w:t>
            </w:r>
          </w:p>
        </w:tc>
      </w:tr>
      <w:tr>
        <w:trPr>
          <w:trHeight w:val="22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At December 31, 2025, 2024, and 2023, the Company believes there are no significant differences concerning its deferred tax assets and its relevant components, compared to the computations of the preceding periods.</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2011, the Italian tax authorities issued a set of rules that modified the previous treatment of tax loss carryforwards. According to the applicable law, all existing tax loss carry forwards will never expire, but they can offset only 80% of the taxable income of the year. The rules do not affect the tax loss carryforward that refers to the start-up period, defined as the first three years of operations starting from the inception of the Company.</w:t>
      </w:r>
    </w:p>
    <w:p>
      <w:pPr>
        <w:spacing w:after="0" w:line="176" w:lineRule="exact"/>
        <w:rPr>
          <w:sz w:val="20"/>
          <w:szCs w:val="20"/>
          <w:color w:val="auto"/>
        </w:rPr>
      </w:pPr>
    </w:p>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shows the amount of deferred tax assets that can be carried forward indefinitely and used without limitation or with the limit of 80% of taxable income generated in Italy, as provided by Legislative Decree 98/2011: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7"/>
        </w:trPr>
        <w:tc>
          <w:tcPr>
            <w:tcW w:w="4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(in Euros)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expiration date</w:t>
            </w:r>
          </w:p>
        </w:tc>
        <w:tc>
          <w:tcPr>
            <w:tcW w:w="220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5,487,085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5,487,085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5,487,085</w:t>
            </w:r>
          </w:p>
        </w:tc>
      </w:tr>
      <w:tr>
        <w:trPr>
          <w:trHeight w:val="227"/>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No expiration date - DL 98/2011</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61,371,643</w:t>
            </w:r>
          </w:p>
        </w:tc>
        <w:tc>
          <w:tcPr>
            <w:tcW w:w="2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51,680,567</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43,191,915</w:t>
            </w:r>
          </w:p>
        </w:tc>
      </w:tr>
      <w:tr>
        <w:trPr>
          <w:trHeight w:val="22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66,858,728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57,167,652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has analyzed its tax position by determining the amount of tax losses that can be carried forward indefinitely and has decided to accrue an allowance for related deferred tax assets as the Company is in a situation of pre-revenues that is destined to remain in the long run, and there is no certainty of the future recoverability of such tax losses through tax relevant incomes. Future taxable profits for the Company depend on the manufacture of marketable drugs following the successful completion of the clinical trials. Since the Company’s clinical trials are still in an early phase, the time frame and uncertainties regarding the outcome of the completion justify the full allowance of deferred tax assets.</w:t>
      </w:r>
    </w:p>
    <w:p>
      <w:pPr>
        <w:sectPr>
          <w:pgSz w:w="11900" w:h="16838" w:orient="portrait"/>
          <w:cols w:equalWidth="0" w:num="1">
            <w:col w:w="11240"/>
          </w:cols>
          <w:pgMar w:left="320" w:top="682"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Cash and cash equivalents</w:t>
      </w:r>
    </w:p>
    <w:p>
      <w:pPr>
        <w:spacing w:after="0" w:line="224"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Cash and cash equivalents are detailed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 bank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 short-term marketable securities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 hand &amp; prepaid cards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At December 31,</w:t>
      </w:r>
    </w:p>
    <w:p>
      <w:pPr>
        <w:spacing w:after="0" w:line="29"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8"/>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right"/>
              <w:ind w:right="840"/>
              <w:spacing w:after="0" w:line="189" w:lineRule="exact"/>
              <w:rPr>
                <w:sz w:val="20"/>
                <w:szCs w:val="20"/>
                <w:color w:val="auto"/>
              </w:rPr>
            </w:pPr>
            <w:r>
              <w:rPr>
                <w:rFonts w:ascii="Times New Roman" w:cs="Times New Roman" w:eastAsia="Times New Roman" w:hAnsi="Times New Roman"/>
                <w:sz w:val="18"/>
                <w:szCs w:val="18"/>
                <w:color w:val="auto"/>
              </w:rPr>
              <w:t>(Euro)</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3,835,190</w:t>
            </w:r>
          </w:p>
        </w:tc>
        <w:tc>
          <w:tcPr>
            <w:tcW w:w="3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2,530,549</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3,687,402</w:t>
            </w:r>
          </w:p>
        </w:tc>
      </w:tr>
      <w:tr>
        <w:trPr>
          <w:trHeight w:val="227"/>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1,692,482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2,047,200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20"/>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5,527,672</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4,581,749</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3,691,420</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-592455</wp:posOffset>
            </wp:positionV>
            <wp:extent cx="7134225" cy="135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-321310</wp:posOffset>
            </wp:positionV>
            <wp:extent cx="7134225" cy="144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15875</wp:posOffset>
            </wp:positionV>
            <wp:extent cx="71342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2">
            <w:col w:w="4740" w:space="720"/>
            <w:col w:w="5780"/>
          </w:cols>
          <w:pgMar w:left="320" w:top="682" w:right="3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i w:val="1"/>
          <w:iCs w:val="1"/>
          <w:color w:val="auto"/>
        </w:rPr>
        <w:t>7. Marketable securities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Company invests available liquid assets (i.e., not used or expected to be needed in short/very short-term operations), in marketable securities consisting of highly rated domestic and foreign government debt securities, specifically U.S. Treasury Bills and Notes, and Italian Government Bonds. Since the Company’s intent was not to sell the securities immediately, but the Company was uncertain if the securities would be held until maturity, it was determined that the debt securities were to be classified as AFS.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Available-for-sale (“AFS”) debt securities are detailed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4"/>
        </w:trPr>
        <w:tc>
          <w:tcPr>
            <w:tcW w:w="3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Unrealized gain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1"/>
              <w:spacing w:after="0" w:line="184" w:lineRule="exact"/>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00" w:type="dxa"/>
            <w:vAlign w:val="bottom"/>
          </w:tcPr>
          <w:p>
            <w:pPr>
              <w:spacing w:after="0"/>
              <w:rPr>
                <w:sz w:val="16"/>
                <w:szCs w:val="16"/>
                <w:color w:val="auto"/>
              </w:rPr>
            </w:pPr>
          </w:p>
        </w:tc>
      </w:tr>
      <w:tr>
        <w:trPr>
          <w:trHeight w:val="236"/>
        </w:trPr>
        <w:tc>
          <w:tcPr>
            <w:tcW w:w="3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credit losses</w:t>
            </w:r>
          </w:p>
        </w:tc>
      </w:tr>
      <w:tr>
        <w:trPr>
          <w:trHeight w:val="207"/>
        </w:trPr>
        <w:tc>
          <w:tcPr>
            <w:tcW w:w="3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(“AFS”)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22,518,281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22,621,518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22,518,281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22,621,518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103,439</w:t>
            </w:r>
          </w:p>
        </w:tc>
        <w:tc>
          <w:tcPr>
            <w:tcW w:w="1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0"/>
        </w:trPr>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3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Unrealized gain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1"/>
              <w:spacing w:after="0" w:line="184" w:lineRule="exact"/>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00" w:type="dxa"/>
            <w:vAlign w:val="bottom"/>
          </w:tcPr>
          <w:p>
            <w:pPr>
              <w:spacing w:after="0"/>
              <w:rPr>
                <w:sz w:val="16"/>
                <w:szCs w:val="16"/>
                <w:color w:val="auto"/>
              </w:rPr>
            </w:pPr>
          </w:p>
        </w:tc>
      </w:tr>
      <w:tr>
        <w:trPr>
          <w:trHeight w:val="236"/>
        </w:trPr>
        <w:tc>
          <w:tcPr>
            <w:tcW w:w="3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credit losses</w:t>
            </w:r>
          </w:p>
        </w:tc>
      </w:tr>
      <w:tr>
        <w:trPr>
          <w:trHeight w:val="207"/>
        </w:trPr>
        <w:tc>
          <w:tcPr>
            <w:tcW w:w="3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(“AFS”)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7,992,891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8,078,002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96,234</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3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4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7,992,891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8,078,002</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96,234</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0"/>
        </w:trPr>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3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Unrealized gain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1"/>
              <w:spacing w:after="0" w:line="184" w:lineRule="exact"/>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00" w:type="dxa"/>
            <w:vAlign w:val="bottom"/>
          </w:tcPr>
          <w:p>
            <w:pPr>
              <w:spacing w:after="0"/>
              <w:rPr>
                <w:sz w:val="16"/>
                <w:szCs w:val="16"/>
                <w:color w:val="auto"/>
              </w:rPr>
            </w:pPr>
          </w:p>
        </w:tc>
      </w:tr>
      <w:tr>
        <w:trPr>
          <w:trHeight w:val="236"/>
        </w:trPr>
        <w:tc>
          <w:tcPr>
            <w:tcW w:w="3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credit losses</w:t>
            </w:r>
          </w:p>
        </w:tc>
      </w:tr>
      <w:tr>
        <w:trPr>
          <w:trHeight w:val="207"/>
        </w:trPr>
        <w:tc>
          <w:tcPr>
            <w:tcW w:w="3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(“AFS”)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15,123,831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15,084,284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340" w:type="dxa"/>
            <w:vAlign w:val="bottom"/>
          </w:tcPr>
          <w:p>
            <w:pPr>
              <w:spacing w:after="0"/>
              <w:rPr>
                <w:sz w:val="19"/>
                <w:szCs w:val="19"/>
                <w:color w:val="auto"/>
              </w:rPr>
            </w:pPr>
          </w:p>
        </w:tc>
        <w:tc>
          <w:tcPr>
            <w:tcW w:w="1480" w:type="dxa"/>
            <w:vAlign w:val="bottom"/>
            <w:gridSpan w:val="2"/>
          </w:tcPr>
          <w:p>
            <w:pPr>
              <w:spacing w:after="0"/>
              <w:rPr>
                <w:sz w:val="19"/>
                <w:szCs w:val="19"/>
                <w:color w:val="auto"/>
              </w:rPr>
            </w:pPr>
          </w:p>
        </w:tc>
        <w:tc>
          <w:tcPr>
            <w:tcW w:w="16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320" w:type="dxa"/>
            <w:vAlign w:val="bottom"/>
            <w:gridSpan w:val="2"/>
          </w:tcPr>
          <w:p>
            <w:pPr>
              <w:spacing w:after="0"/>
              <w:rPr>
                <w:sz w:val="19"/>
                <w:szCs w:val="19"/>
                <w:color w:val="auto"/>
              </w:rPr>
            </w:pPr>
          </w:p>
        </w:tc>
      </w:tr>
      <w:tr>
        <w:trPr>
          <w:trHeight w:val="22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15,123,831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15,084,284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214,984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Fair value measurements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in accordance with ASC 820. Fair value is defined as the price that would be received to sell an asset or paid to transfer a liability in an orderly transaction in the principal or most advantageous market at the measurement date. Valuation techniques are designed to maximize the use of observable inputs and minimize unobservable inputs.</w:t>
      </w:r>
    </w:p>
    <w:p>
      <w:pPr>
        <w:spacing w:after="0" w:line="176" w:lineRule="exact"/>
        <w:rPr>
          <w:sz w:val="20"/>
          <w:szCs w:val="20"/>
          <w:color w:val="auto"/>
        </w:rPr>
      </w:pPr>
    </w:p>
    <w:p>
      <w:pPr>
        <w:jc w:val="both"/>
        <w:ind w:firstLine="631"/>
        <w:spacing w:after="0" w:line="277" w:lineRule="auto"/>
        <w:rPr>
          <w:sz w:val="20"/>
          <w:szCs w:val="20"/>
          <w:color w:val="auto"/>
        </w:rPr>
      </w:pPr>
      <w:r>
        <w:rPr>
          <w:rFonts w:ascii="Times New Roman" w:cs="Times New Roman" w:eastAsia="Times New Roman" w:hAnsi="Times New Roman"/>
          <w:sz w:val="18"/>
          <w:szCs w:val="18"/>
          <w:color w:val="auto"/>
        </w:rPr>
        <w:t>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3" w:lineRule="exact"/>
        <w:rPr>
          <w:sz w:val="20"/>
          <w:szCs w:val="20"/>
          <w:color w:val="auto"/>
        </w:rPr>
      </w:pPr>
    </w:p>
    <w:p>
      <w:pPr>
        <w:ind w:left="640" w:hanging="313"/>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5"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 w:lineRule="exact"/>
        <w:rPr>
          <w:rFonts w:ascii="Times New Roman" w:cs="Times New Roman" w:eastAsia="Times New Roman" w:hAnsi="Times New Roman"/>
          <w:sz w:val="18"/>
          <w:szCs w:val="18"/>
          <w:color w:val="auto"/>
        </w:rPr>
      </w:pPr>
    </w:p>
    <w:p>
      <w:pPr>
        <w:ind w:left="640" w:hanging="313"/>
        <w:spacing w:after="0" w:line="255" w:lineRule="auto"/>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64" w:name="page165"/>
    <w:bookmarkEnd w:id="164"/>
    <w:p>
      <w:pPr>
        <w:jc w:val="both"/>
        <w:spacing w:after="0" w:line="262"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fair value of assets classification is represented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3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7"/>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5,527,672</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5,527,672</w:t>
            </w: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2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72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22,621,518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22,621,518</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financial assets</w:t>
            </w:r>
          </w:p>
        </w:tc>
        <w:tc>
          <w:tcPr>
            <w:tcW w:w="1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28,149,190</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28,149,190</w:t>
            </w: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3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7"/>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4,581,749</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4,581,749</w:t>
            </w: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2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72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8,078,002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8,078,002</w:t>
            </w:r>
          </w:p>
        </w:tc>
        <w:tc>
          <w:tcPr>
            <w:tcW w:w="3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financial assets</w:t>
            </w:r>
          </w:p>
        </w:tc>
        <w:tc>
          <w:tcPr>
            <w:tcW w:w="1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12,659,751</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12,659,751</w:t>
            </w: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3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7"/>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3,691,420</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3,691,420</w:t>
            </w: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2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72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15,084,284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15,084,284</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financial assets</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18,775,704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18,775,704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liabilities classification is represented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07"/>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convertible bond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7,603,000</w:t>
            </w: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7,603,000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convertible bond</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7,603,000</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7,603,000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instrument is classified as a Level 3 fair value liability under ASC 820, based on the use of significant unobservable inputs in its valuation (See Note 13. Mandatory convertible bond issuance for more details).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transfers between level of fair value hierarchy occurred during the period.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had no assets or liabilities classified as Level 3 fair value as of December 31, 2024 and 2023.</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carrying values of the Company’s R&amp;D tax credits, VAT credits, accounts payable, accrued expenses, and other current liabilities were evaluated and determined to approximate their fair values due to the short-term nature of these assets and 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Prepaid expenses and other current assets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8"/>
              </w:rPr>
              <w:t>At December 31,</w:t>
            </w:r>
          </w:p>
        </w:tc>
        <w:tc>
          <w:tcPr>
            <w:tcW w:w="1720" w:type="dxa"/>
            <w:vAlign w:val="bottom"/>
            <w:tcBorders>
              <w:bottom w:val="single" w:sz="8" w:color="auto"/>
            </w:tcBorders>
          </w:tcPr>
          <w:p>
            <w:pPr>
              <w:spacing w:after="0"/>
              <w:rPr>
                <w:sz w:val="20"/>
                <w:szCs w:val="20"/>
                <w:color w:val="auto"/>
              </w:rPr>
            </w:pPr>
          </w:p>
        </w:tc>
      </w:tr>
      <w:tr>
        <w:trPr>
          <w:trHeight w:val="207"/>
        </w:trPr>
        <w:tc>
          <w:tcPr>
            <w:tcW w:w="3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3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2"/>
          </w:tcPr>
          <w:p>
            <w:pPr>
              <w:jc w:val="center"/>
              <w:ind w:right="471"/>
              <w:spacing w:after="0"/>
              <w:rPr>
                <w:sz w:val="20"/>
                <w:szCs w:val="20"/>
                <w:color w:val="auto"/>
              </w:rPr>
            </w:pPr>
            <w:r>
              <w:rPr>
                <w:rFonts w:ascii="Times New Roman" w:cs="Times New Roman" w:eastAsia="Times New Roman" w:hAnsi="Times New Roman"/>
                <w:sz w:val="18"/>
                <w:szCs w:val="18"/>
                <w:color w:val="auto"/>
                <w:w w:val="99"/>
              </w:rPr>
              <w:t>(in Euros)</w:t>
            </w:r>
          </w:p>
        </w:tc>
        <w:tc>
          <w:tcPr>
            <w:tcW w:w="1720" w:type="dxa"/>
            <w:vAlign w:val="bottom"/>
          </w:tcPr>
          <w:p>
            <w:pPr>
              <w:spacing w:after="0"/>
              <w:rPr>
                <w:sz w:val="17"/>
                <w:szCs w:val="17"/>
                <w:color w:val="auto"/>
              </w:rPr>
            </w:pP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(VAT)</w:t>
            </w:r>
          </w:p>
        </w:tc>
        <w:tc>
          <w:tcPr>
            <w:tcW w:w="23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698,735</w:t>
            </w:r>
          </w:p>
        </w:tc>
        <w:tc>
          <w:tcPr>
            <w:tcW w:w="6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1,170,634</w:t>
            </w: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749,676</w:t>
            </w:r>
          </w:p>
        </w:tc>
        <w:tc>
          <w:tcPr>
            <w:tcW w:w="6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833,000</w:t>
            </w: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payments to suppliers</w:t>
            </w: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16,373</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35,991</w:t>
            </w:r>
          </w:p>
        </w:tc>
        <w:tc>
          <w:tcPr>
            <w:tcW w:w="620" w:type="dxa"/>
            <w:vAlign w:val="bottom"/>
            <w:shd w:val="clear" w:color="auto" w:fill="CCECFF"/>
          </w:tcPr>
          <w:p>
            <w:pPr>
              <w:spacing w:after="0"/>
              <w:rPr>
                <w:sz w:val="18"/>
                <w:szCs w:val="18"/>
                <w:color w:val="auto"/>
              </w:rPr>
            </w:pPr>
          </w:p>
        </w:tc>
        <w:tc>
          <w:tcPr>
            <w:tcW w:w="1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34,108</w:t>
            </w: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210,830</w:t>
            </w:r>
          </w:p>
        </w:tc>
        <w:tc>
          <w:tcPr>
            <w:tcW w:w="6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64,664</w:t>
            </w: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prepaids</w:t>
            </w:r>
          </w:p>
        </w:tc>
        <w:tc>
          <w:tcPr>
            <w:tcW w:w="12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190,921</w:t>
            </w:r>
          </w:p>
        </w:tc>
        <w:tc>
          <w:tcPr>
            <w:tcW w:w="2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117,994</w:t>
            </w:r>
          </w:p>
        </w:tc>
        <w:tc>
          <w:tcPr>
            <w:tcW w:w="620" w:type="dxa"/>
            <w:vAlign w:val="bottom"/>
            <w:tcBorders>
              <w:bottom w:val="single" w:sz="8" w:color="auto"/>
            </w:tcBorders>
            <w:shd w:val="clear" w:color="auto" w:fill="CCECFF"/>
          </w:tcPr>
          <w:p>
            <w:pPr>
              <w:spacing w:after="0"/>
              <w:rPr>
                <w:sz w:val="18"/>
                <w:szCs w:val="18"/>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378,148</w:t>
            </w:r>
          </w:p>
        </w:tc>
      </w:t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1,830,362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1,813,226</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2,480,554</w:t>
            </w:r>
          </w:p>
        </w:tc>
      </w:tr>
      <w:tr>
        <w:trPr>
          <w:trHeight w:val="20"/>
        </w:trPr>
        <w:tc>
          <w:tcPr>
            <w:tcW w:w="3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Value Added Tax (VAT) receivable is linked to purchases. Italian VAT (</w:t>
      </w:r>
      <w:r>
        <w:rPr>
          <w:rFonts w:ascii="Times New Roman" w:cs="Times New Roman" w:eastAsia="Times New Roman" w:hAnsi="Times New Roman"/>
          <w:sz w:val="18"/>
          <w:szCs w:val="18"/>
          <w:i w:val="1"/>
          <w:iCs w:val="1"/>
          <w:color w:val="auto"/>
        </w:rPr>
        <w:t>Imposta sul Valore Aggiunto</w:t>
      </w:r>
      <w:r>
        <w:rPr>
          <w:rFonts w:ascii="Times New Roman" w:cs="Times New Roman" w:eastAsia="Times New Roman" w:hAnsi="Times New Roman"/>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2025, 2024, and 2023 was 22%. Reduced rates are provided for specifically listed supplies of goods and services. The VAT receivable is carried forward indefinitely and does not expire.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5" w:name="page166"/>
    <w:bookmarkEnd w:id="165"/>
    <w:p>
      <w:pPr>
        <w:ind w:left="640"/>
        <w:spacing w:after="0"/>
        <w:rPr>
          <w:sz w:val="20"/>
          <w:szCs w:val="20"/>
          <w:color w:val="auto"/>
        </w:rPr>
      </w:pPr>
      <w:r>
        <w:rPr>
          <w:rFonts w:ascii="Times New Roman" w:cs="Times New Roman" w:eastAsia="Times New Roman" w:hAnsi="Times New Roman"/>
          <w:sz w:val="18"/>
          <w:szCs w:val="18"/>
          <w:color w:val="auto"/>
        </w:rPr>
        <w:t>During the year ended December 31, 2025, the Company received a short-term VAT refund amounting to approximately €868,000.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reclassified to other non-current assets a portion of the VAT receivable, which is expected to be realized beyond 12 months.</w:t>
      </w:r>
    </w:p>
    <w:p>
      <w:pPr>
        <w:spacing w:after="0" w:line="220" w:lineRule="exact"/>
        <w:rPr>
          <w:sz w:val="20"/>
          <w:szCs w:val="20"/>
          <w:color w:val="auto"/>
        </w:rPr>
      </w:pPr>
    </w:p>
    <w:p>
      <w:pPr>
        <w:jc w:val="both"/>
        <w:ind w:firstLine="631"/>
        <w:spacing w:after="0" w:line="251" w:lineRule="auto"/>
        <w:rPr>
          <w:sz w:val="20"/>
          <w:szCs w:val="20"/>
          <w:color w:val="auto"/>
        </w:rPr>
      </w:pPr>
      <w:r>
        <w:rPr>
          <w:rFonts w:ascii="Times New Roman" w:cs="Times New Roman" w:eastAsia="Times New Roman" w:hAnsi="Times New Roman"/>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€3.0 million at December 31, 2025, €3.8 million at December 31, 2024, and €4.1 million at December 31, 2023, which can be carried forward indefinitely and do not expire. However, in light of the Company’s current stage of operations and the uncertainties affecting its near-term outlook, management reassessed the recoverability of the tax credit for purposes of the consolidated financial statements prepared in accordance with U.S. GAAP. As a result of this reassessment, and applying a conservative approach, the Company recognized a receivable balance of €1.9 million, representing management’s best estimate of the portion of the tax credit that is expected to be utilized in future periods beyond December 31, 2025. This estimate takes into account the impact of recent fundraising activities, which have extended the Company’s liquidity horizon.</w:t>
      </w:r>
    </w:p>
    <w:p>
      <w:pPr>
        <w:spacing w:after="0" w:line="19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During the 12-month period ended December 31, 2025, 2024, and 2023, the Company utilized approximately €1.1 million, €750,000, and €732,000 to offset certain social contributions and taxes payable. The benefit recorded for the 12-months ended December 31, 2025, 2024, and 2023, to offset research and development expenses was approximately €2.2 million, €0.5, and €0.4, million respectively. The increase in the benefit recorded for the year ended December 31, 2025 compared to the prior year primarily reflects management’s reassessment of the recoverability of the related tax credits, based on updated projections and recent financing activities.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Advance payments to suppliers at December 31, 2025, 2024, and 2023, mainly relate to R&amp;D operating services.</w:t>
      </w:r>
    </w:p>
    <w:p>
      <w:pPr>
        <w:spacing w:after="0" w:line="220" w:lineRule="exact"/>
        <w:rPr>
          <w:sz w:val="20"/>
          <w:szCs w:val="20"/>
          <w:color w:val="auto"/>
        </w:rPr>
      </w:pPr>
    </w:p>
    <w:p>
      <w:pPr>
        <w:jc w:val="both"/>
        <w:ind w:firstLine="631"/>
        <w:spacing w:after="0" w:line="277" w:lineRule="auto"/>
        <w:rPr>
          <w:sz w:val="20"/>
          <w:szCs w:val="20"/>
          <w:color w:val="auto"/>
        </w:rPr>
      </w:pPr>
      <w:r>
        <w:rPr>
          <w:rFonts w:ascii="Times New Roman" w:cs="Times New Roman" w:eastAsia="Times New Roman" w:hAnsi="Times New Roman"/>
          <w:sz w:val="18"/>
          <w:szCs w:val="18"/>
          <w:color w:val="auto"/>
        </w:rPr>
        <w:t>Other current assets at December 31, 2025, primarily relate to the recognition of an accrued receivable of approximately €0.3 million under the BNY revenue sharing program.</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Other current assets at December 31, 2024, mainly relate to interest maturing on investment in marketable securities and the allowance for corporate equity (“ACE”) of approximately €180,000 that were subsequently collected in 2025.</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current assets at December 31, 2023, mainly relate to interests maturing on investment in marketable securities.</w:t>
      </w:r>
    </w:p>
    <w:p>
      <w:pPr>
        <w:spacing w:after="0" w:line="220"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18"/>
          <w:szCs w:val="18"/>
          <w:color w:val="auto"/>
        </w:rPr>
        <w:t>At December 31, 2025 and 2024, other prepaids refer to accrual adjustments for services that have already been fully invoiced and paid, but whose economic usefulness is distributed over multiple periods beyond the current closing period. These costs mainly concern IT services, licenses, insurance, and manufacturing activities.</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At December 31, 2023, Other prepaid expenses mainly relate to the directors and officers (“D&amp;O”) insurance policy paid in December 2023 of approximately €0.2 million.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Fixed assets, net</w:t>
            </w: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Fixed assets consist of the following:</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4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4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7"/>
        </w:trPr>
        <w:tc>
          <w:tcPr>
            <w:tcW w:w="4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(In Euros)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(ERP Implementation)</w:t>
            </w:r>
          </w:p>
        </w:tc>
        <w:tc>
          <w:tcPr>
            <w:tcW w:w="1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87,800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87,800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87,800</w:t>
            </w: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61,070</w:t>
            </w:r>
          </w:p>
        </w:tc>
        <w:tc>
          <w:tcPr>
            <w:tcW w:w="2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53,445</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48,976</w:t>
            </w:r>
          </w:p>
        </w:tc>
      </w:tr>
      <w:tr>
        <w:trPr>
          <w:trHeight w:val="207"/>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assets</w:t>
            </w:r>
          </w:p>
        </w:tc>
        <w:tc>
          <w:tcPr>
            <w:tcW w:w="1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148,870</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141,245</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(126,405)</w:t>
            </w:r>
          </w:p>
        </w:tc>
        <w:tc>
          <w:tcPr>
            <w:tcW w:w="22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(98,323)</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(53,799)</w:t>
            </w:r>
          </w:p>
        </w:tc>
      </w:tr>
      <w:tr>
        <w:trPr>
          <w:trHeight w:val="22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Software included software customization and development costs related to information technology security infrastructure and the Company’s ERP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Equipment consists of computers, furniture, and fixtures in our office space in Milan, Italy.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significant purchases, disposals, or impairments during the current and previous periods.</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Depreciation has been calculated by taking into consideration the use, purpose, and financial-technical duration of the assets, based on their estimated economic lives.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11. Other non-current assets</w:t>
      </w:r>
    </w:p>
    <w:p>
      <w:pPr>
        <w:spacing w:after="0" w:line="224"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Added Tax (VAT)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tax credit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 - related parties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At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8"/>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right"/>
              <w:ind w:right="720"/>
              <w:spacing w:after="0" w:line="189" w:lineRule="exact"/>
              <w:rPr>
                <w:sz w:val="20"/>
                <w:szCs w:val="20"/>
                <w:color w:val="auto"/>
              </w:rPr>
            </w:pPr>
            <w:r>
              <w:rPr>
                <w:rFonts w:ascii="Times New Roman" w:cs="Times New Roman" w:eastAsia="Times New Roman" w:hAnsi="Times New Roman"/>
                <w:sz w:val="18"/>
                <w:szCs w:val="18"/>
                <w:color w:val="auto"/>
              </w:rPr>
              <w:t>(in Euros)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582,785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290,150</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630,342</w:t>
            </w:r>
          </w:p>
        </w:tc>
      </w:tr>
      <w:tr>
        <w:trPr>
          <w:trHeight w:val="213"/>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167,000</w:t>
            </w:r>
          </w:p>
        </w:tc>
      </w:tr>
      <w:tr>
        <w:trPr>
          <w:trHeight w:val="227"/>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1,158</w:t>
            </w:r>
          </w:p>
        </w:tc>
        <w:tc>
          <w:tcPr>
            <w:tcW w:w="2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14,594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207,218</w:t>
            </w:r>
          </w:p>
        </w:tc>
      </w:tr>
      <w:tr>
        <w:trPr>
          <w:trHeight w:val="232"/>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3,350</w:t>
            </w:r>
          </w:p>
        </w:tc>
        <w:tc>
          <w:tcPr>
            <w:tcW w:w="2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3,350</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0"/>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1,887,293</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308,094</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1,007,910</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-727710</wp:posOffset>
            </wp:positionV>
            <wp:extent cx="7134225" cy="135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-457200</wp:posOffset>
            </wp:positionV>
            <wp:extent cx="7134225" cy="135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-177165</wp:posOffset>
            </wp:positionV>
            <wp:extent cx="7134225" cy="161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5360" w:space="720"/>
            <w:col w:w="5160"/>
          </w:cols>
          <w:pgMar w:left="320" w:top="678" w:right="339" w:bottom="1440" w:gutter="0" w:footer="0" w:header="0"/>
        </w:sect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non-current VAT balance reflects the portion of the VAT credit that management does not expect to recover within the next twelve months as of the respective reporting dates.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As of December 31, 2025, the Company recognized a long-term R&amp;D tax credit asset, reflecting the portion of the credit expected to be utilized beyond the next twelve months.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As of December 31, 2025, other non-current assets include the right-of-use (“ROU”) asset related to a finance lease for a company vehicle entered into in February 2022 with a 48-month term ending in January 2026.</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lease was accounted for as a finance lease under ASC 842. As of December 31, 2025, the remaining net book value of the ROU asset and the corresponding lease liability amounted to €1,158, with the lease liability classified as current due to the imminent expiration of the lease term.</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February 2026, upon expiration of the lease term, the Company exercised its contractual purchase option and acquired the vehicle. The related ROU asset and lease liability were accordingly reversed.</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addition, other non-current assets - related party includes a security deposit of €3,350 paid to OSR - San Raffaele Hospital as a security guarantee for the office lease contract. (See Note 18.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Retirement benefit obligation</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Compensation – Retirement Benefits.</w:t>
      </w:r>
    </w:p>
    <w:p>
      <w:pPr>
        <w:spacing w:after="0" w:line="3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amount of the obligation at December 31, 2025, 2024, and 2023 was approximately €0.3 million, €0.2 million and €0.2 million,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the payment of performance bonuses in June 2025, on which a portion of the TFR accrues.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Mandatory convertible bond issuance</w:t>
      </w:r>
    </w:p>
    <w:p>
      <w:pPr>
        <w:spacing w:after="0" w:line="222"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On March 19, 2025, the Company issued the first tranche of a mandatory convertible bond (the “MCB” or the “POC” – </w:t>
      </w:r>
      <w:r>
        <w:rPr>
          <w:rFonts w:ascii="Times New Roman" w:cs="Times New Roman" w:eastAsia="Times New Roman" w:hAnsi="Times New Roman"/>
          <w:sz w:val="18"/>
          <w:szCs w:val="18"/>
          <w:i w:val="1"/>
          <w:iCs w:val="1"/>
          <w:color w:val="auto"/>
        </w:rPr>
        <w:t>Prestito Obbligazionario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Convertibile</w:t>
      </w:r>
      <w:r>
        <w:rPr>
          <w:rFonts w:ascii="Times New Roman" w:cs="Times New Roman" w:eastAsia="Times New Roman" w:hAnsi="Times New Roman"/>
          <w:sz w:val="18"/>
          <w:szCs w:val="18"/>
          <w:color w:val="auto"/>
        </w:rPr>
        <w:t>) for a nominal amount of €7,500,000, as part of a broader issuance totaling €20,000,000, pursuant to the agreement with Fondazione Enea Tech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 Biomedical (the “Investor”) signed on March 12, 2025.</w:t>
      </w:r>
    </w:p>
    <w:p>
      <w:pPr>
        <w:spacing w:after="0" w:line="17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instrument denominated “Genenta 2025–2028,” is structured as a three-year mandatory convertible bond, with no cash redemption at maturity. A second tranche of €12,500,000 may be issued contingent on the achievement of clinical, regulatory, and financial milestones, or as otherwise agreed between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167" w:name="page168"/>
    <w:bookmarkEnd w:id="167"/>
    <w:p>
      <w:pPr>
        <w:ind w:left="640"/>
        <w:spacing w:after="0"/>
        <w:rPr>
          <w:sz w:val="20"/>
          <w:szCs w:val="20"/>
          <w:color w:val="auto"/>
        </w:rPr>
      </w:pPr>
      <w:r>
        <w:rPr>
          <w:rFonts w:ascii="Times New Roman" w:cs="Times New Roman" w:eastAsia="Times New Roman" w:hAnsi="Times New Roman"/>
          <w:sz w:val="17"/>
          <w:szCs w:val="17"/>
          <w:color w:val="auto"/>
        </w:rPr>
        <w:t>The key terms, including conversion terms of the instrument are summarized as follows:</w:t>
      </w:r>
    </w:p>
    <w:p>
      <w:pPr>
        <w:sectPr>
          <w:pgSz w:w="11900" w:h="16838" w:orient="portrait"/>
          <w:cols w:equalWidth="0" w:num="1">
            <w:col w:w="11240"/>
          </w:cols>
          <w:pgMar w:left="320" w:top="682" w:right="339" w:bottom="1017" w:gutter="0" w:footer="0" w:header="0"/>
        </w:sectPr>
      </w:pPr>
    </w:p>
    <w:p>
      <w:pPr>
        <w:spacing w:after="0" w:line="229" w:lineRule="exact"/>
        <w:rPr>
          <w:sz w:val="20"/>
          <w:szCs w:val="20"/>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nominal value</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Tranche 1 issued: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Tranche 2 (conditional)</w:t>
      </w:r>
      <w:r>
        <w:rPr>
          <w:rFonts w:ascii="Times New Roman" w:cs="Times New Roman" w:eastAsia="Times New Roman" w:hAnsi="Times New Roman"/>
          <w:sz w:val="17"/>
          <w:szCs w:val="17"/>
          <w:color w:val="auto"/>
        </w:rPr>
        <w:t>:</w:t>
      </w:r>
    </w:p>
    <w:p>
      <w:pPr>
        <w:spacing w:after="0" w:line="231"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conversion</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formula</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price cap</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cap</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Discount (if applicable)</w:t>
      </w:r>
      <w:r>
        <w:rPr>
          <w:rFonts w:ascii="Times New Roman" w:cs="Times New Roman" w:eastAsia="Times New Roman" w:hAnsi="Times New Roman"/>
          <w:sz w:val="17"/>
          <w:szCs w:val="17"/>
          <w:color w:val="auto"/>
        </w:rPr>
        <w:t>:</w:t>
      </w:r>
    </w:p>
    <w:p>
      <w:pPr>
        <w:spacing w:after="0" w:line="231"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rights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Price of conversion</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Classification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311"/>
        <w:spacing w:after="0"/>
        <w:rPr>
          <w:sz w:val="20"/>
          <w:szCs w:val="20"/>
          <w:color w:val="auto"/>
        </w:rPr>
      </w:pPr>
      <w:r>
        <w:rPr>
          <w:rFonts w:ascii="Times New Roman" w:cs="Times New Roman" w:eastAsia="Times New Roman" w:hAnsi="Times New Roman"/>
          <w:sz w:val="18"/>
          <w:szCs w:val="18"/>
          <w:color w:val="auto"/>
        </w:rPr>
        <w:t>€20,000,000 (two tranches)</w:t>
      </w:r>
    </w:p>
    <w:p>
      <w:pPr>
        <w:spacing w:after="0" w:line="220" w:lineRule="exact"/>
        <w:rPr>
          <w:sz w:val="20"/>
          <w:szCs w:val="20"/>
          <w:color w:val="auto"/>
        </w:rPr>
      </w:pPr>
    </w:p>
    <w:p>
      <w:pPr>
        <w:ind w:left="311"/>
        <w:spacing w:after="0"/>
        <w:rPr>
          <w:sz w:val="20"/>
          <w:szCs w:val="20"/>
          <w:color w:val="auto"/>
        </w:rPr>
      </w:pPr>
      <w:r>
        <w:rPr>
          <w:rFonts w:ascii="Times New Roman" w:cs="Times New Roman" w:eastAsia="Times New Roman" w:hAnsi="Times New Roman"/>
          <w:sz w:val="18"/>
          <w:szCs w:val="18"/>
          <w:color w:val="auto"/>
        </w:rPr>
        <w:t>€7,500,000 on March 19, 2025</w:t>
      </w:r>
    </w:p>
    <w:p>
      <w:pPr>
        <w:spacing w:after="0" w:line="220" w:lineRule="exact"/>
        <w:rPr>
          <w:sz w:val="20"/>
          <w:szCs w:val="20"/>
          <w:color w:val="auto"/>
        </w:rPr>
      </w:pPr>
    </w:p>
    <w:p>
      <w:pPr>
        <w:ind w:left="311"/>
        <w:spacing w:after="0"/>
        <w:rPr>
          <w:sz w:val="20"/>
          <w:szCs w:val="20"/>
          <w:color w:val="auto"/>
        </w:rPr>
      </w:pPr>
      <w:r>
        <w:rPr>
          <w:rFonts w:ascii="Times New Roman" w:cs="Times New Roman" w:eastAsia="Times New Roman" w:hAnsi="Times New Roman"/>
          <w:sz w:val="18"/>
          <w:szCs w:val="18"/>
          <w:color w:val="auto"/>
        </w:rPr>
        <w:t>€12,500,000, contingent on R&amp;D and financial milestones</w:t>
      </w:r>
    </w:p>
    <w:p>
      <w:pPr>
        <w:spacing w:after="0" w:line="220" w:lineRule="exact"/>
        <w:rPr>
          <w:sz w:val="20"/>
          <w:szCs w:val="20"/>
          <w:color w:val="auto"/>
        </w:rPr>
      </w:pPr>
    </w:p>
    <w:p>
      <w:pPr>
        <w:ind w:left="311"/>
        <w:spacing w:after="0"/>
        <w:rPr>
          <w:sz w:val="20"/>
          <w:szCs w:val="20"/>
          <w:color w:val="auto"/>
        </w:rPr>
      </w:pPr>
      <w:r>
        <w:rPr>
          <w:rFonts w:ascii="Times New Roman" w:cs="Times New Roman" w:eastAsia="Times New Roman" w:hAnsi="Times New Roman"/>
          <w:sz w:val="18"/>
          <w:szCs w:val="18"/>
          <w:color w:val="auto"/>
        </w:rPr>
        <w:t>March 19, 2028 (of Tranche 1)</w:t>
      </w:r>
    </w:p>
    <w:p>
      <w:pPr>
        <w:spacing w:after="0" w:line="218" w:lineRule="exact"/>
        <w:rPr>
          <w:sz w:val="20"/>
          <w:szCs w:val="20"/>
          <w:color w:val="auto"/>
        </w:rPr>
      </w:pPr>
    </w:p>
    <w:p>
      <w:pPr>
        <w:ind w:left="311" w:right="70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mandatory and automatic </w:t>
      </w:r>
      <w:r>
        <w:rPr>
          <w:rFonts w:ascii="Times New Roman" w:cs="Times New Roman" w:eastAsia="Times New Roman" w:hAnsi="Times New Roman"/>
          <w:sz w:val="18"/>
          <w:szCs w:val="18"/>
          <w:color w:val="auto"/>
        </w:rPr>
        <w:t>at maturity, or earlier based on specific conditions (e.g., change of control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round)</w:t>
      </w:r>
    </w:p>
    <w:p>
      <w:pPr>
        <w:spacing w:after="0" w:line="161" w:lineRule="exact"/>
        <w:rPr>
          <w:sz w:val="20"/>
          <w:szCs w:val="20"/>
          <w:color w:val="auto"/>
        </w:rPr>
      </w:pPr>
    </w:p>
    <w:p>
      <w:pPr>
        <w:ind w:left="311"/>
        <w:spacing w:after="0"/>
        <w:rPr>
          <w:sz w:val="20"/>
          <w:szCs w:val="20"/>
          <w:color w:val="auto"/>
        </w:rPr>
      </w:pPr>
      <w:r>
        <w:rPr>
          <w:rFonts w:ascii="Times New Roman" w:cs="Times New Roman" w:eastAsia="Times New Roman" w:hAnsi="Times New Roman"/>
          <w:sz w:val="18"/>
          <w:szCs w:val="18"/>
          <w:color w:val="auto"/>
        </w:rPr>
        <w:t>55% based on the 90-day VWAP of ADS + 45% based on the fair market value determined by a third party</w:t>
      </w:r>
    </w:p>
    <w:p>
      <w:pPr>
        <w:spacing w:after="0" w:line="220" w:lineRule="exact"/>
        <w:rPr>
          <w:sz w:val="20"/>
          <w:szCs w:val="20"/>
          <w:color w:val="auto"/>
        </w:rPr>
      </w:pPr>
    </w:p>
    <w:p>
      <w:pPr>
        <w:ind w:left="311"/>
        <w:spacing w:after="0"/>
        <w:rPr>
          <w:sz w:val="20"/>
          <w:szCs w:val="20"/>
          <w:color w:val="auto"/>
        </w:rPr>
      </w:pPr>
      <w:r>
        <w:rPr>
          <w:rFonts w:ascii="Times New Roman" w:cs="Times New Roman" w:eastAsia="Times New Roman" w:hAnsi="Times New Roman"/>
          <w:sz w:val="18"/>
          <w:szCs w:val="18"/>
          <w:color w:val="auto"/>
        </w:rPr>
        <w:t>USD 17.64 per share</w:t>
      </w:r>
    </w:p>
    <w:p>
      <w:pPr>
        <w:spacing w:after="0" w:line="220" w:lineRule="exact"/>
        <w:rPr>
          <w:sz w:val="20"/>
          <w:szCs w:val="20"/>
          <w:color w:val="auto"/>
        </w:rPr>
      </w:pPr>
    </w:p>
    <w:p>
      <w:pPr>
        <w:ind w:left="311"/>
        <w:spacing w:after="0"/>
        <w:rPr>
          <w:sz w:val="20"/>
          <w:szCs w:val="20"/>
          <w:color w:val="auto"/>
        </w:rPr>
      </w:pPr>
      <w:r>
        <w:rPr>
          <w:rFonts w:ascii="Times New Roman" w:cs="Times New Roman" w:eastAsia="Times New Roman" w:hAnsi="Times New Roman"/>
          <w:sz w:val="18"/>
          <w:szCs w:val="18"/>
          <w:color w:val="auto"/>
        </w:rPr>
        <w:t>Conversion limited to a maximum of 29% of share capital</w:t>
      </w:r>
    </w:p>
    <w:p>
      <w:pPr>
        <w:spacing w:after="0" w:line="220" w:lineRule="exact"/>
        <w:rPr>
          <w:sz w:val="20"/>
          <w:szCs w:val="20"/>
          <w:color w:val="auto"/>
        </w:rPr>
      </w:pPr>
    </w:p>
    <w:p>
      <w:pPr>
        <w:ind w:left="311"/>
        <w:spacing w:after="0"/>
        <w:rPr>
          <w:sz w:val="20"/>
          <w:szCs w:val="20"/>
          <w:color w:val="auto"/>
        </w:rPr>
      </w:pPr>
      <w:r>
        <w:rPr>
          <w:rFonts w:ascii="Times New Roman" w:cs="Times New Roman" w:eastAsia="Times New Roman" w:hAnsi="Times New Roman"/>
          <w:sz w:val="18"/>
          <w:szCs w:val="18"/>
          <w:color w:val="auto"/>
        </w:rPr>
        <w:t>6% or 3%, depending on market conditions</w:t>
      </w:r>
    </w:p>
    <w:p>
      <w:pPr>
        <w:spacing w:after="0" w:line="200" w:lineRule="exact"/>
        <w:rPr>
          <w:sz w:val="20"/>
          <w:szCs w:val="20"/>
          <w:color w:val="auto"/>
        </w:rPr>
      </w:pPr>
    </w:p>
    <w:p>
      <w:pPr>
        <w:spacing w:after="0" w:line="233" w:lineRule="exact"/>
        <w:rPr>
          <w:sz w:val="20"/>
          <w:szCs w:val="20"/>
          <w:color w:val="auto"/>
        </w:rPr>
      </w:pPr>
    </w:p>
    <w:p>
      <w:pPr>
        <w:ind w:left="311" w:hanging="311"/>
        <w:spacing w:after="0"/>
        <w:tabs>
          <w:tab w:leader="none" w:pos="31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per annum if paid in ordinary shares (“equity-settled”)</w:t>
      </w:r>
    </w:p>
    <w:p>
      <w:pPr>
        <w:spacing w:after="0" w:line="219" w:lineRule="exact"/>
        <w:rPr>
          <w:rFonts w:ascii="Times New Roman" w:cs="Times New Roman" w:eastAsia="Times New Roman" w:hAnsi="Times New Roman"/>
          <w:sz w:val="18"/>
          <w:szCs w:val="18"/>
          <w:color w:val="auto"/>
        </w:rPr>
      </w:pPr>
    </w:p>
    <w:p>
      <w:pPr>
        <w:ind w:left="311" w:hanging="311"/>
        <w:spacing w:after="0"/>
        <w:tabs>
          <w:tab w:leader="none" w:pos="31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per annum if paid in cash</w:t>
      </w:r>
    </w:p>
    <w:p>
      <w:pPr>
        <w:spacing w:after="0" w:line="219" w:lineRule="exact"/>
        <w:rPr>
          <w:rFonts w:ascii="Times New Roman" w:cs="Times New Roman" w:eastAsia="Times New Roman" w:hAnsi="Times New Roman"/>
          <w:sz w:val="18"/>
          <w:szCs w:val="18"/>
          <w:color w:val="auto"/>
        </w:rPr>
      </w:pPr>
    </w:p>
    <w:p>
      <w:pPr>
        <w:ind w:left="311" w:hanging="311"/>
        <w:spacing w:after="0"/>
        <w:tabs>
          <w:tab w:leader="none" w:pos="31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accrued annually and payable in full upon conversion</w:t>
      </w:r>
    </w:p>
    <w:p>
      <w:pPr>
        <w:spacing w:after="0" w:line="219" w:lineRule="exact"/>
        <w:rPr>
          <w:rFonts w:ascii="Times New Roman" w:cs="Times New Roman" w:eastAsia="Times New Roman" w:hAnsi="Times New Roman"/>
          <w:sz w:val="18"/>
          <w:szCs w:val="18"/>
          <w:color w:val="auto"/>
        </w:rPr>
      </w:pPr>
    </w:p>
    <w:p>
      <w:pPr>
        <w:ind w:left="31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of early redemption by the bondholder, except in the case of default or material breach</w:t>
      </w:r>
    </w:p>
    <w:p>
      <w:pPr>
        <w:spacing w:after="0" w:line="219" w:lineRule="exact"/>
        <w:rPr>
          <w:rFonts w:ascii="Times New Roman" w:cs="Times New Roman" w:eastAsia="Times New Roman" w:hAnsi="Times New Roman"/>
          <w:sz w:val="18"/>
          <w:szCs w:val="18"/>
          <w:color w:val="auto"/>
        </w:rPr>
      </w:pPr>
    </w:p>
    <w:p>
      <w:pPr>
        <w:ind w:left="311"/>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of 55% market ADS price and 45% fair value (as determined by an independent advisor), with caps and anti-dilution adjustments (see Conversion Formula above)</w:t>
      </w:r>
    </w:p>
    <w:p>
      <w:pPr>
        <w:spacing w:after="0" w:line="162" w:lineRule="exact"/>
        <w:rPr>
          <w:rFonts w:ascii="Times New Roman" w:cs="Times New Roman" w:eastAsia="Times New Roman" w:hAnsi="Times New Roman"/>
          <w:sz w:val="18"/>
          <w:szCs w:val="18"/>
          <w:color w:val="auto"/>
        </w:rPr>
      </w:pPr>
    </w:p>
    <w:p>
      <w:pPr>
        <w:ind w:left="311" w:right="2540"/>
        <w:spacing w:after="0" w:line="5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Converted shares are subject to lock-up (2 years, or 1 year if converted early) No embedded derivative requiring bifurcation, no cash settlement feature</w:t>
      </w:r>
    </w:p>
    <w:p>
      <w:pPr>
        <w:spacing w:after="0" w:line="1" w:lineRule="exact"/>
        <w:rPr>
          <w:sz w:val="20"/>
          <w:szCs w:val="20"/>
          <w:color w:val="auto"/>
        </w:rPr>
      </w:pPr>
    </w:p>
    <w:p>
      <w:pPr>
        <w:sectPr>
          <w:pgSz w:w="11900" w:h="16838" w:orient="portrait"/>
          <w:cols w:equalWidth="0" w:num="2">
            <w:col w:w="2400" w:space="489"/>
            <w:col w:w="8351"/>
          </w:cols>
          <w:pgMar w:left="320" w:top="682" w:right="339" w:bottom="1017" w:gutter="0" w:footer="0" w:header="0"/>
          <w:type w:val="continuous"/>
        </w:sectPr>
      </w:pPr>
    </w:p>
    <w:p>
      <w:pPr>
        <w:jc w:val="both"/>
        <w:ind w:firstLine="631"/>
        <w:spacing w:after="0" w:line="277" w:lineRule="auto"/>
        <w:rPr>
          <w:sz w:val="20"/>
          <w:szCs w:val="20"/>
          <w:color w:val="auto"/>
        </w:rPr>
      </w:pPr>
      <w:r>
        <w:rPr>
          <w:rFonts w:ascii="Times New Roman" w:cs="Times New Roman" w:eastAsia="Times New Roman" w:hAnsi="Times New Roman"/>
          <w:sz w:val="18"/>
          <w:szCs w:val="18"/>
          <w:color w:val="auto"/>
        </w:rPr>
        <w:t>The Company’s Board has formally resolved at its meeting on June 4, 2025, to pay interest in ordinary shares at the annual rate of 6%, not in cash, subject to any extraordinary activity of the Company requiring cash payment, such as a merger, acquisition, or other change in control.</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Interest is accrued annually at a rate of 6% and fully payable in ordinary shares (“equity-settled”) upon conversion of the MCB. Since the instrument is measured at fair value, interest is not accrued separately; instead, it is embedded in the liability’s fair value. Consequently, the total fair value of the liability (including the implicit interest) is remeasured at each reporting date, and any change in fair value is a gain (loss) of the reporting period.</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amount of due diligence costs related to the agreement with the Investor and the issuance of the MCB, recognized in the Consolidated Statements of Operations and Comprehensive Loss as financial expenses as of December 31, 2025, is approximately €0.4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valuation at initial recognition</w:t>
      </w:r>
    </w:p>
    <w:p>
      <w:pPr>
        <w:spacing w:after="0" w:line="2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conversion terms are contingent upon specific corporate scenarios such as an investment round, a change of control, maturity, and dissolution, with scenario-based probabilities assigned to each. Given the presence of non-linear payoffs, optionality features, and market-linked triggers, a Monte Carlo simulation model was employed to value the instrument at initial recognition.</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valuation was made using a risk-neutral Monte Carlo simulation model consisting of 20,000 paths, projecting the issuer’s stock price via Geometric Brownian Motion with volatility calibrated over a three (3) year forward-looking horizon.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Key inputs included:</w:t>
            </w:r>
          </w:p>
        </w:tc>
        <w:tc>
          <w:tcPr>
            <w:tcW w:w="220" w:type="dxa"/>
            <w:vAlign w:val="bottom"/>
          </w:tcPr>
          <w:p>
            <w:pPr>
              <w:spacing w:after="0"/>
              <w:rPr>
                <w:sz w:val="20"/>
                <w:szCs w:val="20"/>
                <w:color w:val="auto"/>
              </w:rPr>
            </w:pPr>
          </w:p>
        </w:tc>
        <w:tc>
          <w:tcPr>
            <w:tcW w:w="7640" w:type="dxa"/>
            <w:vAlign w:val="bottom"/>
          </w:tcPr>
          <w:p>
            <w:pPr>
              <w:spacing w:after="0"/>
              <w:rPr>
                <w:sz w:val="20"/>
                <w:szCs w:val="20"/>
                <w:color w:val="auto"/>
              </w:rPr>
            </w:pPr>
          </w:p>
        </w:tc>
      </w:tr>
      <w:tr>
        <w:trPr>
          <w:trHeight w:val="44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Parameter</w:t>
            </w:r>
          </w:p>
        </w:tc>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Value / Source</w:t>
            </w:r>
          </w:p>
        </w:tc>
      </w:tr>
      <w:tr>
        <w:trPr>
          <w:trHeight w:val="207"/>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Effective date</w:t>
            </w:r>
          </w:p>
        </w:tc>
        <w:tc>
          <w:tcPr>
            <w:tcW w:w="220" w:type="dxa"/>
            <w:vAlign w:val="bottom"/>
            <w:tcBorders>
              <w:top w:val="single" w:sz="8" w:color="CCEEFF"/>
            </w:tcBorders>
            <w:shd w:val="clear" w:color="auto" w:fill="CCEEFF"/>
          </w:tcPr>
          <w:p>
            <w:pPr>
              <w:spacing w:after="0"/>
              <w:rPr>
                <w:sz w:val="17"/>
                <w:szCs w:val="17"/>
                <w:color w:val="auto"/>
              </w:rPr>
            </w:pPr>
          </w:p>
        </w:tc>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19, 2025</w:t>
            </w:r>
          </w:p>
        </w:tc>
      </w:tr>
      <w:tr>
        <w:trPr>
          <w:trHeight w:val="213"/>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Maturity</w:t>
            </w:r>
          </w:p>
        </w:tc>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19, 2028</w:t>
            </w:r>
          </w:p>
        </w:tc>
      </w:tr>
      <w:tr>
        <w:trPr>
          <w:trHeight w:val="21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Nominal value</w:t>
            </w:r>
          </w:p>
        </w:tc>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$8.165 million (converted from €7.5 million FX as of 3/19/2025)</w:t>
            </w:r>
          </w:p>
        </w:tc>
      </w:tr>
      <w:tr>
        <w:trPr>
          <w:trHeight w:val="213"/>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Risk-free rate</w:t>
            </w:r>
          </w:p>
        </w:tc>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4.00% (U.S. Treasury, 3.0-year term)</w:t>
            </w:r>
          </w:p>
        </w:tc>
      </w:tr>
      <w:tr>
        <w:trPr>
          <w:trHeight w:val="21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Equity volatility (annualized)</w:t>
            </w:r>
          </w:p>
        </w:tc>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83.0% (Historical, 3.0-year horizon)</w:t>
            </w:r>
          </w:p>
        </w:tc>
      </w:tr>
      <w:tr>
        <w:trPr>
          <w:trHeight w:val="213"/>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price on valuation date</w:t>
            </w:r>
          </w:p>
        </w:tc>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$3.82 (Nasdaq CM: GNTA – S&amp;P Capital IQ)</w:t>
            </w:r>
          </w:p>
        </w:tc>
      </w:tr>
      <w:tr>
        <w:trPr>
          <w:trHeight w:val="21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Simulated term</w:t>
            </w:r>
          </w:p>
        </w:tc>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 years</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simulations</w:t>
            </w:r>
          </w:p>
        </w:tc>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20,000</w:t>
            </w:r>
          </w:p>
        </w:tc>
      </w:tr>
      <w:tr>
        <w:trPr>
          <w:trHeight w:val="406"/>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F-21</w:t>
            </w:r>
          </w:p>
        </w:tc>
      </w:tr>
    </w:tbl>
    <w:p>
      <w:pPr>
        <w:sectPr>
          <w:pgSz w:w="11900" w:h="16838" w:orient="portrait"/>
          <w:cols w:equalWidth="0" w:num="1">
            <w:col w:w="11240"/>
          </w:cols>
          <w:pgMar w:left="320" w:top="682" w:right="339" w:bottom="1017" w:gutter="0" w:footer="0" w:header="0"/>
          <w:type w:val="continuous"/>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Scenarios modeled: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bond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8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payoff</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PV</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Event</w:t>
            </w:r>
          </w:p>
        </w:tc>
        <w:tc>
          <w:tcPr>
            <w:tcW w:w="120" w:type="dxa"/>
            <w:vAlign w:val="bottom"/>
          </w:tcPr>
          <w:p>
            <w:pPr>
              <w:spacing w:after="0"/>
              <w:rPr>
                <w:sz w:val="18"/>
                <w:szCs w:val="18"/>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5"/>
              </w:rPr>
              <w:t>(USD</w:t>
            </w:r>
          </w:p>
        </w:tc>
        <w:tc>
          <w:tcPr>
            <w:tcW w:w="80" w:type="dxa"/>
            <w:vAlign w:val="bottom"/>
          </w:tcPr>
          <w:p>
            <w:pPr>
              <w:spacing w:after="0"/>
              <w:rPr>
                <w:sz w:val="18"/>
                <w:szCs w:val="18"/>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Discount</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PV</w:t>
            </w:r>
          </w:p>
        </w:tc>
        <w:tc>
          <w:tcPr>
            <w:tcW w:w="12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(USD</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2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Probability</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2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80" w:type="dxa"/>
            <w:vAlign w:val="bottom"/>
          </w:tcPr>
          <w:p>
            <w:pPr>
              <w:spacing w:after="0"/>
              <w:rPr>
                <w:sz w:val="20"/>
                <w:szCs w:val="20"/>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20" w:type="dxa"/>
            <w:vAlign w:val="bottom"/>
          </w:tcPr>
          <w:p>
            <w:pPr>
              <w:spacing w:after="0"/>
              <w:rPr>
                <w:sz w:val="20"/>
                <w:szCs w:val="20"/>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round</w:t>
            </w:r>
          </w:p>
        </w:tc>
        <w:tc>
          <w:tcPr>
            <w:tcW w:w="20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3/31/2026</w:t>
            </w:r>
          </w:p>
        </w:tc>
        <w:tc>
          <w:tcPr>
            <w:tcW w:w="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3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0.9299</w:t>
            </w: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12/31/2027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9,548</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9,776</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0.8221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3/19/2028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9,656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10,317</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0.8098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Dissolution</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9/30/2026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8,927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0.8977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8,165</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Fair value in euros (at spot FX rate): </w:t>
      </w:r>
      <w:r>
        <w:rPr>
          <w:rFonts w:ascii="Times New Roman" w:cs="Times New Roman" w:eastAsia="Times New Roman" w:hAnsi="Times New Roman"/>
          <w:sz w:val="18"/>
          <w:szCs w:val="18"/>
          <w:b w:val="1"/>
          <w:bCs w:val="1"/>
          <w:color w:val="auto"/>
        </w:rPr>
        <w:t>€7,500,000.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subsequent measurement at December 31, 2025</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fair value was updated as of December 31, 2025, using a Monte Carlo simulation with 20,000 price paths, calibrated using a Geometric Brownian Motion model to simulate GNTA share prices and scenario-specific conversion payoffs.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Key valuation inputs: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Parameter</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March 19, 2025</w:t>
            </w:r>
          </w:p>
        </w:tc>
        <w:tc>
          <w:tcPr>
            <w:tcW w:w="160" w:type="dxa"/>
            <w:vAlign w:val="bottom"/>
          </w:tcPr>
          <w:p>
            <w:pPr>
              <w:spacing w:after="0"/>
              <w:rPr>
                <w:sz w:val="20"/>
                <w:szCs w:val="20"/>
                <w:color w:val="auto"/>
              </w:rPr>
            </w:pPr>
          </w:p>
        </w:tc>
        <w:tc>
          <w:tcPr>
            <w:tcW w:w="190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07"/>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GNTA share price</w:t>
            </w: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volatility (3.0-year horizon)</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(3.0 years)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Implied yield (adjusted yield for June 30, 2025)</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 years</w:t>
            </w:r>
          </w:p>
        </w:tc>
        <w:tc>
          <w:tcPr>
            <w:tcW w:w="0" w:type="dxa"/>
            <w:vAlign w:val="bottom"/>
          </w:tcPr>
          <w:p>
            <w:pPr>
              <w:spacing w:after="0"/>
              <w:rPr>
                <w:sz w:val="1"/>
                <w:szCs w:val="1"/>
                <w:color w:val="auto"/>
              </w:rPr>
            </w:pPr>
          </w:p>
        </w:tc>
      </w:tr>
      <w:tr>
        <w:trPr>
          <w:trHeight w:val="428"/>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Scenarios modeled:</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bond</w:t>
            </w:r>
          </w:p>
        </w:tc>
        <w:tc>
          <w:tcPr>
            <w:tcW w:w="26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payoff</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PV</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Event</w:t>
            </w:r>
          </w:p>
        </w:tc>
        <w:tc>
          <w:tcPr>
            <w:tcW w:w="120" w:type="dxa"/>
            <w:vAlign w:val="bottom"/>
          </w:tcPr>
          <w:p>
            <w:pPr>
              <w:spacing w:after="0"/>
              <w:rPr>
                <w:sz w:val="18"/>
                <w:szCs w:val="18"/>
                <w:color w:val="auto"/>
              </w:rPr>
            </w:pPr>
          </w:p>
        </w:tc>
        <w:tc>
          <w:tcPr>
            <w:tcW w:w="620" w:type="dxa"/>
            <w:vAlign w:val="bottom"/>
            <w:gridSpan w:val="3"/>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5"/>
              </w:rPr>
              <w:t>(USD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300" w:type="dxa"/>
            <w:vAlign w:val="bottom"/>
          </w:tcPr>
          <w:p>
            <w:pPr>
              <w:spacing w:after="0"/>
              <w:rPr>
                <w:sz w:val="18"/>
                <w:szCs w:val="18"/>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PV</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(USD</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2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Probability</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20" w:type="dxa"/>
            <w:vAlign w:val="bottom"/>
          </w:tcPr>
          <w:p>
            <w:pPr>
              <w:spacing w:after="0"/>
              <w:rPr>
                <w:sz w:val="20"/>
                <w:szCs w:val="20"/>
                <w:color w:val="auto"/>
              </w:rPr>
            </w:pPr>
          </w:p>
        </w:tc>
        <w:tc>
          <w:tcPr>
            <w:tcW w:w="620" w:type="dxa"/>
            <w:vAlign w:val="bottom"/>
            <w:gridSpan w:val="3"/>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300" w:type="dxa"/>
            <w:vAlign w:val="bottom"/>
          </w:tcPr>
          <w:p>
            <w:pPr>
              <w:spacing w:after="0"/>
              <w:rPr>
                <w:sz w:val="20"/>
                <w:szCs w:val="20"/>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factor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gridSpan w:val="3"/>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round</w:t>
            </w:r>
          </w:p>
        </w:tc>
        <w:tc>
          <w:tcPr>
            <w:tcW w:w="20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6/30/2026</w:t>
            </w:r>
          </w:p>
        </w:tc>
        <w:tc>
          <w:tcPr>
            <w:tcW w:w="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300" w:type="dxa"/>
            <w:vAlign w:val="bottom"/>
            <w:vMerge w:val="continue"/>
            <w:shd w:val="clear" w:color="auto" w:fill="CCEEFF"/>
          </w:tcPr>
          <w:p>
            <w:pPr>
              <w:spacing w:after="0"/>
              <w:rPr>
                <w:sz w:val="17"/>
                <w:szCs w:val="17"/>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0.9684</w:t>
            </w:r>
          </w:p>
        </w:tc>
        <w:tc>
          <w:tcPr>
            <w:tcW w:w="2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12/31/2027</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$ 10,299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0.8784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3/19/2028</w:t>
            </w:r>
          </w:p>
        </w:tc>
        <w:tc>
          <w:tcPr>
            <w:tcW w:w="7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$ 10,414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12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0.8663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8,210</w:t>
            </w:r>
          </w:p>
        </w:tc>
        <w:tc>
          <w:tcPr>
            <w:tcW w:w="0" w:type="dxa"/>
            <w:vAlign w:val="bottom"/>
          </w:tcPr>
          <w:p>
            <w:pPr>
              <w:spacing w:after="0"/>
              <w:rPr>
                <w:sz w:val="1"/>
                <w:szCs w:val="1"/>
                <w:color w:val="auto"/>
              </w:rPr>
            </w:pPr>
          </w:p>
        </w:tc>
      </w:tr>
      <w:tr>
        <w:trPr>
          <w:trHeight w:val="22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Dissolution</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12/31/2026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0.9372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Fair value in euros (at spot FX rate): </w:t>
      </w:r>
      <w:r>
        <w:rPr>
          <w:rFonts w:ascii="Times New Roman" w:cs="Times New Roman" w:eastAsia="Times New Roman" w:hAnsi="Times New Roman"/>
          <w:sz w:val="18"/>
          <w:szCs w:val="18"/>
          <w:b w:val="1"/>
          <w:bCs w:val="1"/>
          <w:color w:val="auto"/>
        </w:rPr>
        <w:t>€7,603,000.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Scenario modeling rationale</w:t>
      </w:r>
    </w:p>
    <w:p>
      <w:pPr>
        <w:spacing w:after="0" w:line="222"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fair value of the Mandatory Convertible Bond (“MCB”) depends on discrete corporate events that may trigger different conversion or settlement outcomes (investment round, change of control, maturity, or dissolution). Because these outcomes are mutually exclusive and have different payoff structures, the Company adopted a scenario-weighted valuation framework. Each scenario was assigned an explicit probability based on management’s assessment of corporate plans, historical market precedents, and input from independent advisors.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Model mechanics</w:t>
      </w:r>
    </w:p>
    <w:p>
      <w:pPr>
        <w:spacing w:after="0" w:line="222" w:lineRule="exact"/>
        <w:rPr>
          <w:sz w:val="20"/>
          <w:szCs w:val="20"/>
          <w:color w:val="auto"/>
        </w:rPr>
      </w:pPr>
    </w:p>
    <w:p>
      <w:pPr>
        <w:ind w:left="640" w:hanging="313"/>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 uses a Monte Carlo simulation under a risk-neutral framework to project potential paths of the issuer’s stock price until maturity.</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simulated path, the model applies the rules of the relevant scenario:</w:t>
      </w:r>
    </w:p>
    <w:p>
      <w:pPr>
        <w:spacing w:after="0" w:line="6" w:lineRule="exact"/>
        <w:rPr>
          <w:rFonts w:ascii="Times New Roman" w:cs="Times New Roman" w:eastAsia="Times New Roman" w:hAnsi="Times New Roman"/>
          <w:sz w:val="18"/>
          <w:szCs w:val="18"/>
          <w:color w:val="auto"/>
        </w:rPr>
      </w:pPr>
    </w:p>
    <w:p>
      <w:pPr>
        <w:ind w:left="1280" w:hanging="366"/>
        <w:spacing w:after="0"/>
        <w:tabs>
          <w:tab w:leader="none" w:pos="12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round → all bonds convert into shares at the capped conversion price.</w:t>
      </w:r>
    </w:p>
    <w:p>
      <w:pPr>
        <w:spacing w:after="0" w:line="6" w:lineRule="exact"/>
        <w:rPr>
          <w:rFonts w:ascii="Times New Roman" w:cs="Times New Roman" w:eastAsia="Times New Roman" w:hAnsi="Times New Roman"/>
          <w:sz w:val="18"/>
          <w:szCs w:val="18"/>
          <w:color w:val="auto"/>
        </w:rPr>
      </w:pPr>
    </w:p>
    <w:p>
      <w:pPr>
        <w:ind w:left="1280" w:hanging="366"/>
        <w:spacing w:after="0"/>
        <w:tabs>
          <w:tab w:leader="none" w:pos="12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 mixed settlement, with partial share conversion subject to the 29% ownership cap, and residual settled in cash.</w:t>
      </w:r>
    </w:p>
    <w:p>
      <w:pPr>
        <w:spacing w:after="0" w:line="6" w:lineRule="exact"/>
        <w:rPr>
          <w:rFonts w:ascii="Times New Roman" w:cs="Times New Roman" w:eastAsia="Times New Roman" w:hAnsi="Times New Roman"/>
          <w:sz w:val="18"/>
          <w:szCs w:val="18"/>
          <w:color w:val="auto"/>
        </w:rPr>
      </w:pPr>
    </w:p>
    <w:p>
      <w:pPr>
        <w:ind w:left="1280" w:hanging="366"/>
        <w:spacing w:after="0" w:line="247" w:lineRule="auto"/>
        <w:tabs>
          <w:tab w:leader="none" w:pos="12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 bondholders receive accrued Payment-In-Kind (“PIK”) interest plus conversion into shares, again capped at 29% ownership, with any residual in cash.</w:t>
      </w:r>
    </w:p>
    <w:p>
      <w:pPr>
        <w:ind w:left="1280" w:hanging="366"/>
        <w:spacing w:after="0"/>
        <w:tabs>
          <w:tab w:leader="none" w:pos="12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 recovery is modeled as a stressed case with reduced payoff.</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simulation accounts for optionality (conversion right), non-linear features (caps on ownership and price), and market-linked triggers (stock volatility and risk-free rates).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Probability-weighted outcomes</w:t>
      </w:r>
    </w:p>
    <w:p>
      <w:pPr>
        <w:spacing w:after="0" w:line="222" w:lineRule="exact"/>
        <w:rPr>
          <w:sz w:val="20"/>
          <w:szCs w:val="20"/>
          <w:color w:val="auto"/>
        </w:rPr>
      </w:pPr>
    </w:p>
    <w:p>
      <w:pPr>
        <w:ind w:left="640" w:hanging="313"/>
        <w:spacing w:after="0"/>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simulation generates distributions of payoffs under each scenario.</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payoffs are then weighted by the assigned probabilities (e.g., 90% for maturity, 5% for change of control).</w:t>
      </w:r>
    </w:p>
    <w:p>
      <w:pPr>
        <w:spacing w:after="0" w:line="6" w:lineRule="exact"/>
        <w:rPr>
          <w:rFonts w:ascii="Times New Roman" w:cs="Times New Roman" w:eastAsia="Times New Roman" w:hAnsi="Times New Roman"/>
          <w:sz w:val="18"/>
          <w:szCs w:val="18"/>
          <w:color w:val="auto"/>
        </w:rPr>
      </w:pPr>
    </w:p>
    <w:p>
      <w:pPr>
        <w:jc w:val="both"/>
        <w:ind w:left="640" w:hanging="313"/>
        <w:spacing w:after="0" w:line="251" w:lineRule="auto"/>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is applied using a market-adjusted yield to produce the present values that sum to the reported fair value. The market-adjusted yield begins with the inception-date implied yield and is adjusted for the observed shifts in the index yield curve between the inception date and June 30,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i w:val="1"/>
          <w:iCs w:val="1"/>
          <w:color w:val="auto"/>
        </w:rPr>
        <w:t>Why Monte Carlo is required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Unlike a straight bond or simple option, the MCB embeds several contingent features (ownership caps, conversion price ceiling, event-driven triggers).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make analytical closed-form valuation impractical. Monte Carlo simulation allows the Company to:</w:t>
      </w:r>
    </w:p>
    <w:p>
      <w:pPr>
        <w:spacing w:after="0" w:line="201" w:lineRule="exact"/>
        <w:rPr>
          <w:sz w:val="20"/>
          <w:szCs w:val="20"/>
          <w:color w:val="auto"/>
        </w:rPr>
      </w:pPr>
    </w:p>
    <w:p>
      <w:pPr>
        <w:ind w:left="640" w:hanging="313"/>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capture the path dependency of stock prices,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 probabilistic corporate events,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payoff profile is consistent with both contractual terms and market risk.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Interpretation for investors</w:t>
      </w:r>
    </w:p>
    <w:p>
      <w:pPr>
        <w:spacing w:after="0" w:line="222" w:lineRule="exact"/>
        <w:rPr>
          <w:sz w:val="20"/>
          <w:szCs w:val="20"/>
          <w:color w:val="auto"/>
        </w:rPr>
      </w:pPr>
    </w:p>
    <w:p>
      <w:pPr>
        <w:ind w:left="640" w:hanging="313"/>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 shows that maturity is the dominant scenario (90%), anchoring most of the fair value.</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likely events (investment round, dissolution) still affect valuation because of their asymmetric payoffs.</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fair value ($8,927m as of December 31, 2025) reflects both the equity-linked upside and the downside protection features of the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scenario recovery basis</w:t>
      </w:r>
    </w:p>
    <w:p>
      <w:pPr>
        <w:spacing w:after="0" w:line="222"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In a low-probability dissolution scenario, the expected recovery was assumed at 15% of cash proceeds, based on sector benchmarks for distressed biotech asset liquidations, implying a recovery of $1.32 million.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Summary Table – Fair value reconciliation (USD ‘000s)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Opening FV</w:t>
            </w:r>
          </w:p>
        </w:tc>
        <w:tc>
          <w:tcPr>
            <w:tcW w:w="20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FV (P&amp;L)</w:t>
            </w:r>
          </w:p>
        </w:tc>
        <w:tc>
          <w:tcPr>
            <w:tcW w:w="26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Closing FV</w:t>
            </w:r>
          </w:p>
        </w:tc>
      </w:tr>
      <w:tr>
        <w:trPr>
          <w:trHeight w:val="207"/>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36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00" w:type="dxa"/>
            <w:vAlign w:val="bottom"/>
            <w:tcBorders>
              <w:top w:val="single" w:sz="8" w:color="CCEEFF"/>
            </w:tcBorders>
            <w:shd w:val="clear" w:color="auto" w:fill="CCEEFF"/>
          </w:tcPr>
          <w:p>
            <w:pPr>
              <w:spacing w:after="0"/>
              <w:rPr>
                <w:sz w:val="17"/>
                <w:szCs w:val="17"/>
                <w:color w:val="auto"/>
              </w:rPr>
            </w:pPr>
          </w:p>
        </w:tc>
      </w:tr>
      <w:tr>
        <w:trPr>
          <w:trHeight w:val="428"/>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Summary Table – Fair Value Reconciliation (Euro ‘000s)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Opening FV</w:t>
            </w:r>
          </w:p>
        </w:tc>
        <w:tc>
          <w:tcPr>
            <w:tcW w:w="20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FV (P&amp;L)</w:t>
            </w:r>
          </w:p>
        </w:tc>
        <w:tc>
          <w:tcPr>
            <w:tcW w:w="26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Closing FV</w:t>
            </w:r>
          </w:p>
        </w:tc>
      </w:tr>
      <w:tr>
        <w:trPr>
          <w:trHeight w:val="207"/>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5"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Fair value increase primarily reflects currency translation movement, the lower market yield, time decay, accumulation of accrued PIK interest, and minor equity path shifts despite a lower stock price.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Shareholders’ equity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July 2023, 100 new ADSs were issued in an ATM Offering, and the Company recorded an increase in common stock, no par value of €531.</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2023, the Company accrued €739,884 as the fair value of stock options granted as per the Equity Incentive Plan 2021-2025. (See Note 15. Share-based compensation for more details.)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At December 31, 2023, the Company had 18,216,958 ordinary shares issued and outstanding with approximately 1.8 million ordinary shares reserved for the Plan.</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March 2024, 72,908 new ordinary shares were issued pursuant to the Sales Agreement and the Company recorded an increase in common stock, no par value of €270,885.</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70" w:name="page171"/>
    <w:bookmarkEnd w:id="170"/>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2024, the Company accrued €847,255 as the fair value of stock options granted as per the Plan. (See Note 15. Share-based compensation for more details.)</w:t>
      </w:r>
    </w:p>
    <w:p>
      <w:pPr>
        <w:spacing w:after="0" w:line="163"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At December 31, 2024, the Company had 18,289,866 common shares issued and outstanding with approximately 1.8 million ordinary shares reserved for the Plan.</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March 2025, 856,602 new ordinary shares were issued pursuant to the ATM, and the Company recorded an increase in common stock no par value of €2,977,060.</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October 2025, 4,285,715 new ordinary shares were issued pursuant to the Registered Direct Offering, and the Company recorded an increase in common stock, no par value of €11,810,398.</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 ended December 31, 2025, the Company accrued €1,009,738 as the fair value of stock options granted as per the Plan. (See Note 15. Share-based compensation for more details.)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At December 31, 2025, the Company had 23,432,183 ordinary shares issued and outstanding with approximately 2.3 million ordinary shares reserved for the Plan.</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Weighted average shares</w:t>
      </w:r>
    </w:p>
    <w:p>
      <w:pPr>
        <w:spacing w:after="0" w:line="222"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calculation was performed by taking the number of shares outstanding during each period and weighting them by the number of days such shares were outstanding. For the years ended December 31, 2025, 2024 and 2023, the weighted average number of the Company’s ordinary shares, no par value, was 19,710,187, 18,273,490 and 18,216,907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To reward the efforts of employees, officers, directors, and certain consultants, and to promote the Company’s growth and development, the Board may approve, upon occasion, various share-based awards.</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March 2023, the Board, as administrator of the Plan, awarded NSOs on 46,400 shares to the Company’s directors. The NSOs vested monthly over a one (1) year period with a 10-year term. All NSOs were priced based on a 30-day volume weighted average formula, adjusted by Black-Scholes, which was determined to be $5.62 per share.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December 31, 2023, there were 586,923 granted stock options and 1,234,772 stock options remaining available for grant.</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July 2024, the Company’s board of directors, as administrator of the Plan, awarded NSOs on 587,650 shares to certain of the Company’s officers and employees. The NSOs vested monthly over three years with a 10-year term, expiring on July 1, 2034. A cliff vesting period is provided for those employees with less than one (1) year of service at the time of grant, until the first anniversary of employment is completed. The exercise price of the NSOs is $3.083 per share, corresponding to the market price at the date of grant. In addition, each new Board member received equity compensation in the form of an initial stock option equity grant of $50,000 (based on the Black Scholes model) that vested immediately.</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In the second half of 2024, two employees and a consultant left the Company. As per the applicable rules, the options already granted to the aforementioned employees and consultant but not yet vested as of the termination date of their respective employment or consultancy contracts have been returned to the stock option pool for a total of 56,482. Combined with those already returned to the pool in April 2024, a total of 204,265 options were returned to the pool in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71" w:name="page172"/>
    <w:bookmarkEnd w:id="171"/>
    <w:p>
      <w:pPr>
        <w:ind w:left="640"/>
        <w:spacing w:after="0"/>
        <w:rPr>
          <w:sz w:val="20"/>
          <w:szCs w:val="20"/>
          <w:color w:val="auto"/>
        </w:rPr>
      </w:pPr>
      <w:r>
        <w:rPr>
          <w:rFonts w:ascii="Times New Roman" w:cs="Times New Roman" w:eastAsia="Times New Roman" w:hAnsi="Times New Roman"/>
          <w:sz w:val="18"/>
          <w:szCs w:val="18"/>
          <w:color w:val="auto"/>
        </w:rPr>
        <w:t>At December 31, 2024, there were 970,308 granted stock options and 858,678 stock options remaining available for grant.</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June 2025, the Board, as the administrator of the Equity Incentive Plan 2021–2035, awarded NSOs on 495,507 shares to the Company’s directors, officers, and employees. For the Chairman and CEO, the NSOs vest monthly over three (3) years and have a 10-year term. For the other two directors of the Company, the NSOs vest monthly over one (1) year, also with a 10-year term. The NSOs granted to officers and employees also have a 10-year term and vest monthly over three (3) years, except for employees with less than one (1) year of service, whose options include a one-year cliff vesting from the date of hire, followed by monthly vesting thereafter.</w:t>
      </w:r>
    </w:p>
    <w:p>
      <w:pPr>
        <w:spacing w:after="0" w:line="18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June 2025, the CFO was awarded 23,007 NSOs instead of a portion of his 2023 and 2024 performance cash bonus. These options vested immediately and have a 10-year term.</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options were granted with an exercise price of $4.36 per share, reflecting the stock price on the date of grant.</w:t>
      </w:r>
    </w:p>
    <w:p>
      <w:pPr>
        <w:spacing w:after="0" w:line="220" w:lineRule="exact"/>
        <w:rPr>
          <w:sz w:val="20"/>
          <w:szCs w:val="20"/>
          <w:color w:val="auto"/>
        </w:rPr>
      </w:pPr>
    </w:p>
    <w:p>
      <w:pPr>
        <w:jc w:val="both"/>
        <w:ind w:firstLine="631"/>
        <w:spacing w:after="0" w:line="284" w:lineRule="auto"/>
        <w:rPr>
          <w:sz w:val="20"/>
          <w:szCs w:val="20"/>
          <w:color w:val="auto"/>
        </w:rPr>
      </w:pPr>
      <w:r>
        <w:rPr>
          <w:rFonts w:ascii="Times New Roman" w:cs="Times New Roman" w:eastAsia="Times New Roman" w:hAnsi="Times New Roman"/>
          <w:sz w:val="17"/>
          <w:szCs w:val="17"/>
          <w:color w:val="auto"/>
        </w:rPr>
        <w:t>In December 2025, the Board, acting as the administrator of the Equity Incentive Plan 2021-2035, approved the grant, with vesting beginning on November 1, 2025, of 27,110 NSOs to Dr. Francesco Galimi, a member of the Company’s Board of Directors and its acting Chief Medical Officer and Head of Development, as part of his compensation package. The options vest monthly over three months and have a 10-year term, expiring on November 1, 2035.</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options were granted with an exercise price of $2.57 per share, reflecting the stock price on the date of grant.</w:t>
      </w:r>
    </w:p>
    <w:p>
      <w:pPr>
        <w:spacing w:after="0" w:line="220"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8"/>
          <w:szCs w:val="18"/>
          <w:color w:val="auto"/>
        </w:rPr>
        <w:t>In December 2025, the Company’s Board, acting as administrator of the Plan, granted NSOs on 545,000 shares to certain directors, officers, employees, and consultants of the Company. The NSOs vest monthly over three years, except for those granted to one director, which vest monthly over a one (1) year period. All options have a ten-year term and expire on December 18, 2035.</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options were granted with an exercise price of $1.48 per share, reflecting the stock price on the date of grant.</w:t>
      </w:r>
    </w:p>
    <w:p>
      <w:pPr>
        <w:spacing w:after="0" w:line="220" w:lineRule="exact"/>
        <w:rPr>
          <w:sz w:val="20"/>
          <w:szCs w:val="20"/>
          <w:color w:val="auto"/>
        </w:rPr>
      </w:pPr>
    </w:p>
    <w:p>
      <w:pPr>
        <w:jc w:val="both"/>
        <w:ind w:firstLine="631"/>
        <w:spacing w:after="0" w:line="254" w:lineRule="auto"/>
        <w:rPr>
          <w:sz w:val="20"/>
          <w:szCs w:val="20"/>
          <w:color w:val="auto"/>
        </w:rPr>
      </w:pPr>
      <w:r>
        <w:rPr>
          <w:rFonts w:ascii="Times New Roman" w:cs="Times New Roman" w:eastAsia="Times New Roman" w:hAnsi="Times New Roman"/>
          <w:sz w:val="18"/>
          <w:szCs w:val="18"/>
          <w:color w:val="auto"/>
        </w:rPr>
        <w:t>In the second half of 2025, three employees including the Company’s Chief Medical Officer and Head of Development left the Company. In line with and according to the applicable plan provisions, the options previously granted to these employees that were unvested as of the respective employment termination dates were forfeited and returned to the stock option pool. Therefore, 68,671 options granted in July 2024 and 78,525 options granted in June 2025, totaling options on 147,196 shares, were returned to the pool as of December 31, 2025. When combined with options forfeited or expired and returned to the pool, a cumulative total of 351,461 options have been returned to the Company’s stock option pool.</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December 31, 2025, there were 1.9 million granted stock options and 452,490 stock options remaining available for grant.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740" w:type="dxa"/>
            <w:vAlign w:val="bottom"/>
          </w:tcPr>
          <w:p>
            <w:pPr>
              <w:spacing w:after="0"/>
              <w:rPr>
                <w:sz w:val="18"/>
                <w:szCs w:val="18"/>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Number of</w:t>
            </w: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Contractual Term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32"/>
        </w:trPr>
        <w:tc>
          <w:tcPr>
            <w:tcW w:w="4740" w:type="dxa"/>
            <w:vAlign w:val="bottom"/>
          </w:tcPr>
          <w:p>
            <w:pPr>
              <w:spacing w:after="0"/>
              <w:rPr>
                <w:sz w:val="20"/>
                <w:szCs w:val="20"/>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Intrinsic Value</w:t>
            </w:r>
          </w:p>
        </w:tc>
      </w:tr>
      <w:tr>
        <w:trPr>
          <w:trHeight w:val="207"/>
        </w:trPr>
        <w:tc>
          <w:tcPr>
            <w:tcW w:w="47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540,523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4.99</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272,480</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46,400</w:t>
            </w: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586,923</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382,785</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100" w:type="dxa"/>
            <w:vAlign w:val="bottom"/>
            <w:tcBorders>
              <w:bottom w:val="single" w:sz="8" w:color="CCEEFF"/>
            </w:tcBorders>
          </w:tcPr>
          <w:p>
            <w:pPr>
              <w:spacing w:after="0"/>
              <w:rPr>
                <w:sz w:val="17"/>
                <w:szCs w:val="17"/>
                <w:color w:val="auto"/>
              </w:rPr>
            </w:pPr>
          </w:p>
        </w:tc>
      </w:tr>
      <w:tr>
        <w:trPr>
          <w:trHeight w:val="20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expected to vest as of December 31,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204,138</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34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33,800</w:t>
            </w:r>
          </w:p>
        </w:tc>
        <w:tc>
          <w:tcPr>
            <w:tcW w:w="100" w:type="dxa"/>
            <w:vAlign w:val="bottom"/>
            <w:shd w:val="clear" w:color="auto" w:fill="CCEEFF"/>
          </w:tcPr>
          <w:p>
            <w:pPr>
              <w:spacing w:after="0"/>
              <w:rPr>
                <w:sz w:val="17"/>
                <w:szCs w:val="17"/>
                <w:color w:val="auto"/>
              </w:rPr>
            </w:pPr>
          </w:p>
        </w:tc>
      </w:tr>
      <w:tr>
        <w:trPr>
          <w:trHeight w:val="207"/>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586,923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4.84</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67,596</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587,650</w:t>
            </w: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2.87</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(204,265)</w:t>
            </w:r>
          </w:p>
        </w:tc>
        <w:tc>
          <w:tcPr>
            <w:tcW w:w="1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970,308</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706,366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514,210</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199,667</w:t>
            </w:r>
          </w:p>
        </w:tc>
        <w:tc>
          <w:tcPr>
            <w:tcW w:w="100" w:type="dxa"/>
            <w:vAlign w:val="bottom"/>
            <w:tcBorders>
              <w:bottom w:val="single" w:sz="8" w:color="CCEEFF"/>
            </w:tcBorders>
          </w:tcPr>
          <w:p>
            <w:pPr>
              <w:spacing w:after="0"/>
              <w:rPr>
                <w:sz w:val="17"/>
                <w:szCs w:val="17"/>
                <w:color w:val="auto"/>
              </w:rPr>
            </w:pPr>
          </w:p>
        </w:tc>
      </w:tr>
      <w:tr>
        <w:trPr>
          <w:trHeight w:val="20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expected to vest as of December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456,098</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34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506,699</w:t>
            </w:r>
          </w:p>
        </w:tc>
        <w:tc>
          <w:tcPr>
            <w:tcW w:w="100" w:type="dxa"/>
            <w:vAlign w:val="bottom"/>
            <w:shd w:val="clear" w:color="auto" w:fill="CCEEFF"/>
          </w:tcPr>
          <w:p>
            <w:pPr>
              <w:spacing w:after="0"/>
              <w:rPr>
                <w:sz w:val="17"/>
                <w:szCs w:val="17"/>
                <w:color w:val="auto"/>
              </w:rPr>
            </w:pPr>
          </w:p>
        </w:tc>
      </w:tr>
      <w:tr>
        <w:trPr>
          <w:trHeight w:val="207"/>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970,308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3.65</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706,366</w:t>
            </w: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1,067,617</w:t>
            </w: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2.32</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(147,196)</w:t>
            </w:r>
          </w:p>
        </w:tc>
        <w:tc>
          <w:tcPr>
            <w:tcW w:w="12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1,890,729</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845,607</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7"/>
                <w:szCs w:val="17"/>
                <w:color w:val="auto"/>
              </w:rPr>
            </w:pPr>
          </w:p>
        </w:tc>
      </w:tr>
      <w:tr>
        <w:trPr>
          <w:trHeight w:val="20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expected to vest as of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1,045,122</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34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4,585</w:t>
            </w:r>
          </w:p>
        </w:tc>
        <w:tc>
          <w:tcPr>
            <w:tcW w:w="100" w:type="dxa"/>
            <w:vAlign w:val="bottom"/>
            <w:shd w:val="clear" w:color="auto" w:fill="CCEEFF"/>
          </w:tcPr>
          <w:p>
            <w:pPr>
              <w:spacing w:after="0"/>
              <w:rPr>
                <w:sz w:val="17"/>
                <w:szCs w:val="17"/>
                <w:color w:val="auto"/>
              </w:rPr>
            </w:pPr>
          </w:p>
        </w:tc>
      </w:tr>
      <w:tr>
        <w:trPr>
          <w:trHeight w:val="420"/>
        </w:trPr>
        <w:tc>
          <w:tcPr>
            <w:tcW w:w="4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F-25</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2" w:right="339" w:bottom="1440" w:gutter="0" w:footer="0" w:header="0"/>
        </w:sectPr>
      </w:pPr>
    </w:p>
    <w:bookmarkStart w:id="172" w:name="page173"/>
    <w:bookmarkEnd w:id="172"/>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calculates the fair value of stock option awards granted to employees and non-employees using the Black-Scholes option-pricing method. The Company chose this method because it is considered easier to apply, and it is a defined equation that incorporates only one set of inputs. As a result, it is the model most commonly in use.</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If the Company determined that other methods were more reasonable, or other methods for calculating these assumptions were prescribed by regulators, the fair value calculated for the Company’s stock options could change significantly. Higher volatility and longer expected lives would result in an increase in share-based compensation expense to non-employees determined at the date of grant. Share-based compensation expense to non-employees affects the Company’s general and administrative expenses and research and development expenses, depending on the non-employee’s function.</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Company calculated the stock-based compensation expense for the granted options using the Black-Scholes method, applying the following inputs for each stock grant:</w:t>
      </w:r>
    </w:p>
    <w:p>
      <w:pPr>
        <w:spacing w:after="0" w:line="163" w:lineRule="exact"/>
        <w:rPr>
          <w:sz w:val="20"/>
          <w:szCs w:val="20"/>
          <w:color w:val="auto"/>
        </w:rPr>
      </w:pPr>
    </w:p>
    <w:p>
      <w:pPr>
        <w:ind w:left="960" w:hanging="313"/>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exercise price.</w:t>
      </w:r>
    </w:p>
    <w:p>
      <w:pPr>
        <w:spacing w:after="0" w:line="2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expected term.</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current price.</w:t>
      </w:r>
    </w:p>
    <w:p>
      <w:pPr>
        <w:spacing w:after="0" w:line="6" w:lineRule="exact"/>
        <w:rPr>
          <w:rFonts w:ascii="Times New Roman" w:cs="Times New Roman" w:eastAsia="Times New Roman" w:hAnsi="Times New Roman"/>
          <w:sz w:val="18"/>
          <w:szCs w:val="18"/>
          <w:color w:val="auto"/>
        </w:rPr>
      </w:pPr>
    </w:p>
    <w:p>
      <w:pPr>
        <w:ind w:left="960" w:right="20" w:hanging="313"/>
        <w:spacing w:after="0" w:line="247"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expected price volatility during the option’s expected (or in certain cases, contractual) term, or in cases where the calculated value is used, the historical volatility of an appropriate industry sector index.</w:t>
      </w:r>
    </w:p>
    <w:p>
      <w:pPr>
        <w:ind w:left="960" w:right="20" w:hanging="313"/>
        <w:spacing w:after="0" w:line="247"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shares’ expected dividends during the option’s expected (or in certain cases, contractual) term, except in cases such as when dividend protection is provided; and</w:t>
      </w:r>
    </w:p>
    <w:p>
      <w:pPr>
        <w:ind w:left="960" w:hanging="313"/>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during the option’s expected (or in certain cases, contractual) term.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share-based compensation expense for the years ended December 31, 2025, 2024, and 2023 is represented by the following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 expense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218,664</w:t>
            </w:r>
          </w:p>
        </w:tc>
        <w:tc>
          <w:tcPr>
            <w:tcW w:w="3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116,532</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73,392</w:t>
            </w: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 expense - related party</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108,455</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General &amp; administrative expense</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242,903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436,877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505,828</w:t>
            </w:r>
          </w:p>
        </w:tc>
      </w:tr>
      <w:tr>
        <w:trPr>
          <w:trHeight w:val="22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 - related party</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367,719</w:t>
            </w: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254,045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160,664</w:t>
            </w:r>
          </w:p>
        </w:tc>
      </w:tr>
      <w:tr>
        <w:trPr>
          <w:trHeight w:val="260"/>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937,742</w:t>
            </w:r>
          </w:p>
        </w:tc>
        <w:tc>
          <w:tcPr>
            <w:tcW w:w="3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847,254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739,884</w:t>
            </w:r>
          </w:p>
        </w:tc>
        <w:tc>
          <w:tcPr>
            <w:tcW w:w="100" w:type="dxa"/>
            <w:vAlign w:val="bottom"/>
            <w:tcBorders>
              <w:bottom w:val="single" w:sz="8" w:color="CCEEFF"/>
            </w:tcBorders>
          </w:tcPr>
          <w:p>
            <w:pPr>
              <w:spacing w:after="0"/>
              <w:rPr>
                <w:sz w:val="22"/>
                <w:szCs w:val="22"/>
                <w:color w:val="auto"/>
              </w:rPr>
            </w:pPr>
          </w:p>
        </w:tc>
      </w:tr>
      <w:tr>
        <w:trPr>
          <w:trHeight w:val="194"/>
        </w:trPr>
        <w:tc>
          <w:tcPr>
            <w:tcW w:w="5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Unrecognized expense</w:t>
            </w:r>
          </w:p>
        </w:tc>
        <w:tc>
          <w:tcPr>
            <w:tcW w:w="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2,271,990</w:t>
            </w: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1,404,415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907,683</w:t>
            </w:r>
          </w:p>
        </w:tc>
        <w:tc>
          <w:tcPr>
            <w:tcW w:w="100" w:type="dxa"/>
            <w:vAlign w:val="bottom"/>
            <w:shd w:val="clear" w:color="auto" w:fill="CCEEFF"/>
          </w:tcPr>
          <w:p>
            <w:pPr>
              <w:spacing w:after="0"/>
              <w:rPr>
                <w:sz w:val="16"/>
                <w:szCs w:val="16"/>
                <w:color w:val="auto"/>
              </w:rPr>
            </w:pPr>
          </w:p>
        </w:tc>
      </w:tr>
    </w:tbl>
    <w:p>
      <w:pPr>
        <w:spacing w:after="0" w:line="19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€937,742, €847,255 and €739,884 respectively, as the fair value of the stock options granted.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amount of unrecognized expense at December 31, 2025, 2024 and 2023 was €2,271,990, €1,404,415 and €907,683 respectively.</w:t>
      </w:r>
    </w:p>
    <w:p>
      <w:pPr>
        <w:spacing w:after="0" w:line="220"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The weighted average fair value of the options granted during the period ended December 31, 2025, 2024 and 2023 was €2.32, €2.87 and €5.30 per share, respectively.</w:t>
      </w:r>
    </w:p>
    <w:p>
      <w:pPr>
        <w:spacing w:after="0" w:line="163" w:lineRule="exact"/>
        <w:rPr>
          <w:sz w:val="20"/>
          <w:szCs w:val="20"/>
          <w:color w:val="auto"/>
        </w:rPr>
      </w:pPr>
    </w:p>
    <w:p>
      <w:pPr>
        <w:jc w:val="both"/>
        <w:ind w:firstLine="757"/>
        <w:spacing w:after="0" w:line="262" w:lineRule="auto"/>
        <w:rPr>
          <w:sz w:val="20"/>
          <w:szCs w:val="20"/>
          <w:color w:val="auto"/>
        </w:rPr>
      </w:pPr>
      <w:r>
        <w:rPr>
          <w:rFonts w:ascii="Times New Roman" w:cs="Times New Roman" w:eastAsia="Times New Roman" w:hAnsi="Times New Roman"/>
          <w:sz w:val="18"/>
          <w:szCs w:val="18"/>
          <w:color w:val="auto"/>
        </w:rPr>
        <w:t>The amount of stock option expenses recognized in the Consolidated Statements of Operations and Comprehensive Loss, totaling €937,742, differs from the €1,009,738 reported in the Consolidated Statements of Changes in Shareholders’ Equity. The difference of €71,996 is explained by the partial offset of provisions previously accrued in the Consolidated Balance Sheets for 2023 and 2024 performance bonuses.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Accumulated Other Comprehensive Income relates to marketable securities fair value measurement reserve and cumulative translation adjustment reserve as reported in the following table.</w:t>
      </w:r>
    </w:p>
    <w:p>
      <w:pPr>
        <w:sectPr>
          <w:pgSz w:w="11900" w:h="16838" w:orient="portrait"/>
          <w:cols w:equalWidth="0" w:num="1">
            <w:col w:w="11240"/>
          </w:cols>
          <w:pgMar w:left="320" w:top="6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Adjustment for net (gain) loss on marketable securities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fair value of marketable securities</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Changes in Accumulated Other Comprehensive Income</w:t>
      </w:r>
    </w:p>
    <w:p>
      <w:pPr>
        <w:spacing w:after="0" w:line="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6347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Unrealized gains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on available-for-</w:t>
            </w:r>
          </w:p>
        </w:tc>
        <w:tc>
          <w:tcPr>
            <w:tcW w:w="160" w:type="dxa"/>
            <w:vAlign w:val="bottom"/>
          </w:tcPr>
          <w:p>
            <w:pPr>
              <w:spacing w:after="0"/>
              <w:rPr>
                <w:sz w:val="18"/>
                <w:szCs w:val="18"/>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Foreign currency</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2"/>
        </w:trPr>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99"/>
              </w:rPr>
              <w:t>sale debt securities</w:t>
            </w:r>
          </w:p>
        </w:tc>
        <w:tc>
          <w:tcPr>
            <w:tcW w:w="360" w:type="dxa"/>
            <w:vAlign w:val="bottom"/>
          </w:tcPr>
          <w:p>
            <w:pPr>
              <w:spacing w:after="0"/>
              <w:rPr>
                <w:sz w:val="20"/>
                <w:szCs w:val="20"/>
                <w:color w:val="auto"/>
              </w:rPr>
            </w:pPr>
          </w:p>
        </w:tc>
        <w:tc>
          <w:tcPr>
            <w:tcW w:w="1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translation adjustments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0"/>
                <w:szCs w:val="20"/>
                <w:color w:val="auto"/>
              </w:rPr>
            </w:pPr>
          </w:p>
        </w:tc>
      </w:tr>
      <w:tr>
        <w:trPr>
          <w:trHeight w:val="40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96,234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(7,288)</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88,946</w:t>
            </w:r>
          </w:p>
        </w:tc>
        <w:tc>
          <w:tcPr>
            <w:tcW w:w="60" w:type="dxa"/>
            <w:vAlign w:val="bottom"/>
          </w:tcPr>
          <w:p>
            <w:pPr>
              <w:spacing w:after="0"/>
              <w:rPr>
                <w:sz w:val="24"/>
                <w:szCs w:val="24"/>
                <w:color w:val="auto"/>
              </w:rPr>
            </w:pPr>
          </w:p>
        </w:tc>
      </w:tr>
      <w:tr>
        <w:trPr>
          <w:trHeight w:val="213"/>
        </w:trPr>
        <w:tc>
          <w:tcPr>
            <w:tcW w:w="120" w:type="dxa"/>
            <w:vAlign w:val="bottom"/>
          </w:tcPr>
          <w:p>
            <w:pPr>
              <w:spacing w:after="0"/>
              <w:rPr>
                <w:sz w:val="18"/>
                <w:szCs w:val="18"/>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(96,234)</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(96,234)</w:t>
            </w:r>
          </w:p>
        </w:tc>
      </w:tr>
      <w:tr>
        <w:trPr>
          <w:trHeight w:val="227"/>
        </w:trPr>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103,439</w:t>
            </w:r>
          </w:p>
        </w:tc>
        <w:tc>
          <w:tcPr>
            <w:tcW w:w="60" w:type="dxa"/>
            <w:vAlign w:val="bottom"/>
          </w:tcPr>
          <w:p>
            <w:pPr>
              <w:spacing w:after="0"/>
              <w:rPr>
                <w:sz w:val="19"/>
                <w:szCs w:val="19"/>
                <w:color w:val="auto"/>
              </w:rPr>
            </w:pPr>
          </w:p>
        </w:tc>
      </w:tr>
      <w:tr>
        <w:trPr>
          <w:trHeight w:val="232"/>
        </w:trPr>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70,360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70,360</w:t>
            </w:r>
          </w:p>
        </w:tc>
        <w:tc>
          <w:tcPr>
            <w:tcW w:w="60" w:type="dxa"/>
            <w:vAlign w:val="bottom"/>
          </w:tcPr>
          <w:p>
            <w:pPr>
              <w:spacing w:after="0"/>
              <w:rPr>
                <w:sz w:val="20"/>
                <w:szCs w:val="20"/>
                <w:color w:val="auto"/>
              </w:rPr>
            </w:pPr>
          </w:p>
        </w:tc>
      </w:tr>
      <w:tr>
        <w:trPr>
          <w:trHeight w:val="220"/>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103,439</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166,511</w:t>
            </w:r>
          </w:p>
        </w:tc>
        <w:tc>
          <w:tcPr>
            <w:tcW w:w="6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-727710</wp:posOffset>
            </wp:positionV>
            <wp:extent cx="7134225" cy="135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-457200</wp:posOffset>
            </wp:positionV>
            <wp:extent cx="7134225" cy="135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-177165</wp:posOffset>
            </wp:positionV>
            <wp:extent cx="7134225" cy="161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15875</wp:posOffset>
            </wp:positionV>
            <wp:extent cx="71342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2">
            <w:col w:w="4700" w:space="720"/>
            <w:col w:w="5820"/>
          </w:cols>
          <w:pgMar w:left="320" w:top="682" w:right="339" w:bottom="1440" w:gutter="0" w:footer="0" w:header="0"/>
          <w:type w:val="continuous"/>
        </w:sectPr>
      </w:pPr>
    </w:p>
    <w:bookmarkStart w:id="173" w:name="page174"/>
    <w:bookmarkEnd w:id="173"/>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unrealized net gain on marketable securities not matured at December 31, 2025, was approximately €0.1 million. Translation adjustments on investment transactions expressed in U.S. dollars were not material. The cumulative translation adjustments reserve mainly includes the effect of the translation of U.S. dollars held by the U.S. Subsidiary into Euros as the consolidated financial statements’ 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Company’s research and development (R&amp;D) expenses are a combination of third-party expenses and related-party expenses, as detailed below:</w:t>
      </w:r>
    </w:p>
    <w:p>
      <w:pPr>
        <w:sectPr>
          <w:pgSz w:w="11900" w:h="16838" w:orient="portrait"/>
          <w:cols w:equalWidth="0" w:num="1">
            <w:col w:w="11240"/>
          </w:cols>
          <w:pgMar w:left="320" w:top="6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Euros)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Consultants &amp; other third parties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&amp; supplies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(including share-based)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&amp; entertainment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Third Parties</w:t>
            </w:r>
          </w:p>
        </w:tc>
        <w:tc>
          <w:tcPr>
            <w:tcW w:w="3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Related Parties</w:t>
            </w: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r>
      <w:tr>
        <w:trPr>
          <w:trHeight w:val="4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145,071</w:t>
            </w:r>
          </w:p>
        </w:tc>
        <w:tc>
          <w:tcPr>
            <w:tcW w:w="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150,811</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295,882</w:t>
            </w:r>
          </w:p>
        </w:tc>
      </w:tr>
      <w:tr>
        <w:trPr>
          <w:trHeight w:val="213"/>
        </w:trPr>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1,456,243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1,456,244</w:t>
            </w:r>
          </w:p>
        </w:tc>
      </w:tr>
      <w:tr>
        <w:trPr>
          <w:trHeight w:val="213"/>
        </w:trPr>
        <w:tc>
          <w:tcPr>
            <w:tcW w:w="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721,095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191,170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912,264</w:t>
            </w:r>
          </w:p>
        </w:tc>
      </w:tr>
      <w:tr>
        <w:trPr>
          <w:trHeight w:val="227"/>
        </w:trPr>
        <w:tc>
          <w:tcPr>
            <w:tcW w:w="42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17,976</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w:t>
            </w:r>
          </w:p>
        </w:tc>
      </w:tr>
      <w:tr>
        <w:trPr>
          <w:trHeight w:val="232"/>
        </w:trPr>
        <w:tc>
          <w:tcPr>
            <w:tcW w:w="420" w:type="dxa"/>
            <w:vAlign w:val="bottom"/>
          </w:tcPr>
          <w:p>
            <w:pPr>
              <w:spacing w:after="0"/>
              <w:rPr>
                <w:sz w:val="20"/>
                <w:szCs w:val="20"/>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16,976</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w:t>
            </w:r>
          </w:p>
        </w:tc>
      </w:tr>
      <w:tr>
        <w:trPr>
          <w:trHeight w:val="220"/>
        </w:trPr>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2,357,361</w:t>
            </w: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341,981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2,699,342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-1007745</wp:posOffset>
            </wp:positionV>
            <wp:extent cx="7134225" cy="144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-727710</wp:posOffset>
            </wp:positionV>
            <wp:extent cx="7134225" cy="135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-457200</wp:posOffset>
            </wp:positionV>
            <wp:extent cx="7134225" cy="135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-177165</wp:posOffset>
            </wp:positionV>
            <wp:extent cx="7134225" cy="161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4700" w:space="720"/>
            <w:col w:w="5820"/>
          </w:cols>
          <w:pgMar w:left="320" w:top="682"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ind w:left="11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Third Parties</w:t>
            </w:r>
          </w:p>
        </w:tc>
        <w:tc>
          <w:tcPr>
            <w:tcW w:w="200" w:type="dxa"/>
            <w:vAlign w:val="bottom"/>
          </w:tcPr>
          <w:p>
            <w:pPr>
              <w:spacing w:after="0"/>
              <w:rPr>
                <w:sz w:val="17"/>
                <w:szCs w:val="17"/>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Related Parties</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7"/>
                <w:szCs w:val="17"/>
                <w:color w:val="auto"/>
              </w:rPr>
            </w:pPr>
          </w:p>
        </w:tc>
      </w:tr>
      <w:tr>
        <w:trPr>
          <w:trHeight w:val="207"/>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Consultants &amp; other third parties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262,229</w:t>
            </w:r>
          </w:p>
        </w:tc>
        <w:tc>
          <w:tcPr>
            <w:tcW w:w="3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753,679</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1,015,908</w:t>
            </w: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&amp; supplies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2,301,038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2,301,038</w:t>
            </w: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744,959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695,764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1,440,723</w:t>
            </w: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&amp; entertainment</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29,137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29,137</w:t>
            </w: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26,048</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26,048</w:t>
            </w:r>
          </w:p>
        </w:tc>
      </w:tr>
      <w:tr>
        <w:trPr>
          <w:trHeight w:val="207"/>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3,363,410</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2"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Euros)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Consultants &amp; other third parties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&amp; supplies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(including share-based)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&amp; entertainment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Third Parties</w:t>
            </w: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Related Parties</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Total</w:t>
            </w:r>
          </w:p>
        </w:tc>
      </w:tr>
      <w:tr>
        <w:trPr>
          <w:trHeight w:val="40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305,289</w:t>
            </w:r>
          </w:p>
        </w:tc>
        <w:tc>
          <w:tcPr>
            <w:tcW w:w="3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1,331,166</w:t>
            </w:r>
          </w:p>
        </w:tc>
        <w:tc>
          <w:tcPr>
            <w:tcW w:w="32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1,636,455</w:t>
            </w:r>
          </w:p>
        </w:tc>
      </w:tr>
      <w:tr>
        <w:trPr>
          <w:trHeight w:val="213"/>
        </w:trPr>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3,639,920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3,639,920</w:t>
            </w:r>
          </w:p>
        </w:tc>
      </w:tr>
      <w:tr>
        <w:trPr>
          <w:trHeight w:val="213"/>
        </w:trPr>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467,557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645,932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1,113,489</w:t>
            </w:r>
          </w:p>
        </w:tc>
      </w:tr>
      <w:tr>
        <w:trPr>
          <w:trHeight w:val="227"/>
        </w:trPr>
        <w:tc>
          <w:tcPr>
            <w:tcW w:w="22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44,243</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44,243</w:t>
            </w:r>
          </w:p>
        </w:tc>
      </w:tr>
      <w:tr>
        <w:trPr>
          <w:trHeight w:val="232"/>
        </w:trPr>
        <w:tc>
          <w:tcPr>
            <w:tcW w:w="22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39,965</w:t>
            </w:r>
          </w:p>
        </w:tc>
        <w:tc>
          <w:tcPr>
            <w:tcW w:w="20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40,334</w:t>
            </w:r>
          </w:p>
        </w:tc>
      </w:tr>
      <w:tr>
        <w:trPr>
          <w:trHeight w:val="220"/>
        </w:trPr>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4,496,974</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1,977,467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6,474,441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-1007745</wp:posOffset>
            </wp:positionV>
            <wp:extent cx="7134225" cy="144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-727710</wp:posOffset>
            </wp:positionV>
            <wp:extent cx="7134225" cy="135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-457200</wp:posOffset>
            </wp:positionV>
            <wp:extent cx="7134225" cy="135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-177165</wp:posOffset>
            </wp:positionV>
            <wp:extent cx="7134225" cy="161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700" w:space="720"/>
            <w:col w:w="5820"/>
          </w:cols>
          <w:pgMar w:left="320" w:top="682"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8"/>
          <w:szCs w:val="18"/>
          <w:color w:val="auto"/>
        </w:rPr>
        <w:t>Related party R&amp;D expenses for consultants &amp; other third parties refer mainly to the costs of preclinical and clinical activities charged by OSR.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costs for materials &amp; supplies relate mainly to manufacturing costs charged by the Company’s main manufacturing vendor, AGC Biologics.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costs relate to R&amp;D personnel wages, salaries, and share-based compensation including social contribution and other related personnel costs.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Travel &amp; entertainment expenses relate mainly to business trips and scientific conferences. Other R&amp;D expenses relate to minor general operating costs.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type w:val="continuous"/>
        </w:sectPr>
      </w:pPr>
    </w:p>
    <w:bookmarkStart w:id="174" w:name="page175"/>
    <w:bookmarkEnd w:id="174"/>
    <w:p>
      <w:pPr>
        <w:ind w:left="640"/>
        <w:spacing w:after="0"/>
        <w:rPr>
          <w:sz w:val="20"/>
          <w:szCs w:val="20"/>
          <w:color w:val="auto"/>
        </w:rPr>
      </w:pPr>
      <w:r>
        <w:rPr>
          <w:rFonts w:ascii="Times New Roman" w:cs="Times New Roman" w:eastAsia="Times New Roman" w:hAnsi="Times New Roman"/>
          <w:sz w:val="18"/>
          <w:szCs w:val="18"/>
          <w:color w:val="auto"/>
        </w:rPr>
        <w:t>The Company recorded research and development expenses of approximately €2.7 million in 2025, €4.8 million in 2024 and €6.5 million in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credit compensation effect was approximately €2.2 million in 2025, €0.5 million in 2024 and €0.4 million in 2023.</w:t>
      </w:r>
    </w:p>
    <w:p>
      <w:pPr>
        <w:spacing w:after="0" w:line="199"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The decrease in R&amp;D expenses of approximately €2.1 million was mainly due to several factors as explained above under the section </w:t>
      </w:r>
      <w:r>
        <w:rPr>
          <w:rFonts w:ascii="Times New Roman" w:cs="Times New Roman" w:eastAsia="Times New Roman" w:hAnsi="Times New Roman"/>
          <w:sz w:val="18"/>
          <w:szCs w:val="18"/>
          <w:i w:val="1"/>
          <w:iCs w:val="1"/>
          <w:color w:val="auto"/>
        </w:rPr>
        <w:t>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Comparison of Year Ended December 31, 2025 to Year Ended December 31, 2024. </w:t>
      </w:r>
      <w:r>
        <w:rPr>
          <w:rFonts w:ascii="Times New Roman" w:cs="Times New Roman" w:eastAsia="Times New Roman" w:hAnsi="Times New Roman"/>
          <w:sz w:val="18"/>
          <w:szCs w:val="18"/>
          <w:color w:val="auto"/>
        </w:rPr>
        <w:t>The overall decrease of €2.1 million was primarily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manufacturing and clinical activities, including fewer drug product batch productions, reduced CRO engagement, lower patient enrollment, and the absence of certain trial-related activities previously associated with the TEM-GBM program. The Company’s strategic focus shifted predominantly to the TEM-GU study, which was in an earlier clinical phase and required a comparatively lower level of exploratory analyses and oversight activities. The decrease was further supported by contractual amendments, consulting cost reductions, management compensation adjustments, and the impact of R&amp;D tax credits. These reductions were partially offset by increased manufacturing associated activities related to the implementation of an Exclusive GMP Suite agreement, although such increase was mitigated by the tax credit benefit.</w:t>
      </w:r>
    </w:p>
    <w:p>
      <w:pPr>
        <w:spacing w:after="0" w:line="185" w:lineRule="exact"/>
        <w:rPr>
          <w:sz w:val="20"/>
          <w:szCs w:val="20"/>
          <w:color w:val="auto"/>
        </w:rPr>
      </w:pPr>
    </w:p>
    <w:p>
      <w:pPr>
        <w:jc w:val="both"/>
        <w:ind w:firstLine="631"/>
        <w:spacing w:after="0" w:line="254" w:lineRule="auto"/>
        <w:rPr>
          <w:sz w:val="20"/>
          <w:szCs w:val="20"/>
          <w:color w:val="auto"/>
        </w:rPr>
      </w:pPr>
      <w:r>
        <w:rPr>
          <w:rFonts w:ascii="Times New Roman" w:cs="Times New Roman" w:eastAsia="Times New Roman" w:hAnsi="Times New Roman"/>
          <w:sz w:val="18"/>
          <w:szCs w:val="18"/>
          <w:color w:val="auto"/>
        </w:rPr>
        <w:t xml:space="preserve">The decrease in R&amp;D expenses of approximately €1.7 million for the year ended December 31, 2024 compared to the year ended December 31, 2023, was mainly due to several factors as explained above under the section </w:t>
      </w:r>
      <w:r>
        <w:rPr>
          <w:rFonts w:ascii="Times New Roman" w:cs="Times New Roman" w:eastAsia="Times New Roman" w:hAnsi="Times New Roman"/>
          <w:sz w:val="18"/>
          <w:szCs w:val="18"/>
          <w:i w:val="1"/>
          <w:iCs w:val="1"/>
          <w:color w:val="auto"/>
        </w:rPr>
        <w:t>Results of Operations Comparison of Year Ended December 31, 2024 to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Ended December 31, 2023. </w:t>
      </w:r>
      <w:r>
        <w:rPr>
          <w:rFonts w:ascii="Times New Roman" w:cs="Times New Roman" w:eastAsia="Times New Roman" w:hAnsi="Times New Roman"/>
          <w:sz w:val="18"/>
          <w:szCs w:val="18"/>
          <w:color w:val="auto"/>
        </w:rPr>
        <w:t>The overall decrease was primarily attributable to lower manufacturing and scale-up costs related to lentiviral vector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reduced technology transfer activities, and decreased fees to OSR in line with contractual payment schedules. These reductions were partially offset by increased clinical trial expenses associated with the commencement of the TEM-GU study in October 2024.</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general and administrative expenses are also a combination of third-party and related party expenses, as detailed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7"/>
          </w:tcPr>
          <w:p>
            <w:pPr>
              <w:ind w:left="11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5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60" w:type="dxa"/>
            <w:vAlign w:val="bottom"/>
          </w:tcPr>
          <w:p>
            <w:pPr>
              <w:spacing w:after="0"/>
              <w:rPr>
                <w:sz w:val="19"/>
                <w:szCs w:val="19"/>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07"/>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749,515</w:t>
            </w:r>
          </w:p>
        </w:tc>
        <w:tc>
          <w:tcPr>
            <w:tcW w:w="3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1,232,384</w:t>
            </w:r>
          </w:p>
        </w:tc>
        <w:tc>
          <w:tcPr>
            <w:tcW w:w="3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1,981,899</w:t>
            </w:r>
          </w:p>
        </w:tc>
        <w:tc>
          <w:tcPr>
            <w:tcW w:w="80" w:type="dxa"/>
            <w:vAlign w:val="bottom"/>
          </w:tcPr>
          <w:p>
            <w:pPr>
              <w:spacing w:after="0"/>
              <w:rPr>
                <w:sz w:val="18"/>
                <w:szCs w:val="18"/>
                <w:color w:val="auto"/>
              </w:rPr>
            </w:pP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legal &amp; other professional</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722,836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722,836</w:t>
            </w:r>
          </w:p>
        </w:tc>
        <w:tc>
          <w:tcPr>
            <w:tcW w:w="80" w:type="dxa"/>
            <w:vAlign w:val="bottom"/>
            <w:shd w:val="clear" w:color="auto" w:fill="CCEEFF"/>
          </w:tcPr>
          <w:p>
            <w:pPr>
              <w:spacing w:after="0"/>
              <w:rPr>
                <w:sz w:val="18"/>
                <w:szCs w:val="18"/>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&amp; IT - related</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172,690</w:t>
            </w:r>
          </w:p>
        </w:tc>
        <w:tc>
          <w:tcPr>
            <w:tcW w:w="80" w:type="dxa"/>
            <w:vAlign w:val="bottom"/>
          </w:tcPr>
          <w:p>
            <w:pPr>
              <w:spacing w:after="0"/>
              <w:rPr>
                <w:sz w:val="18"/>
                <w:szCs w:val="18"/>
                <w:color w:val="auto"/>
              </w:rPr>
            </w:pP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&amp; insurance - related</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16,260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20,816</w:t>
            </w:r>
          </w:p>
        </w:tc>
        <w:tc>
          <w:tcPr>
            <w:tcW w:w="80" w:type="dxa"/>
            <w:vAlign w:val="bottom"/>
            <w:shd w:val="clear" w:color="auto" w:fill="CCEEFF"/>
          </w:tcPr>
          <w:p>
            <w:pPr>
              <w:spacing w:after="0"/>
              <w:rPr>
                <w:sz w:val="18"/>
                <w:szCs w:val="18"/>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Consultants &amp; others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270,122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36,400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306,522</w:t>
            </w:r>
          </w:p>
        </w:tc>
        <w:tc>
          <w:tcPr>
            <w:tcW w:w="80" w:type="dxa"/>
            <w:vAlign w:val="bottom"/>
          </w:tcPr>
          <w:p>
            <w:pPr>
              <w:spacing w:after="0"/>
              <w:rPr>
                <w:sz w:val="18"/>
                <w:szCs w:val="18"/>
                <w:color w:val="auto"/>
              </w:rPr>
            </w:pPr>
          </w:p>
        </w:tc>
      </w:tr>
      <w:tr>
        <w:trPr>
          <w:trHeight w:val="22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695,193</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4,442</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699,635</w:t>
            </w:r>
          </w:p>
        </w:tc>
        <w:tc>
          <w:tcPr>
            <w:tcW w:w="80" w:type="dxa"/>
            <w:vAlign w:val="bottom"/>
            <w:shd w:val="clear" w:color="auto" w:fill="CCEEFF"/>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2,614,912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1,289,486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3,904,398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7"/>
          </w:tcPr>
          <w:p>
            <w:pPr>
              <w:ind w:left="11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5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60" w:type="dxa"/>
            <w:vAlign w:val="bottom"/>
          </w:tcPr>
          <w:p>
            <w:pPr>
              <w:spacing w:after="0"/>
              <w:rPr>
                <w:sz w:val="19"/>
                <w:szCs w:val="19"/>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07"/>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(including share-based)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1,019,056</w:t>
            </w:r>
          </w:p>
        </w:tc>
        <w:tc>
          <w:tcPr>
            <w:tcW w:w="3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1,459,302</w:t>
            </w:r>
          </w:p>
        </w:tc>
        <w:tc>
          <w:tcPr>
            <w:tcW w:w="32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2,478,358</w:t>
            </w:r>
          </w:p>
        </w:tc>
        <w:tc>
          <w:tcPr>
            <w:tcW w:w="80" w:type="dxa"/>
            <w:vAlign w:val="bottom"/>
          </w:tcPr>
          <w:p>
            <w:pPr>
              <w:spacing w:after="0"/>
              <w:rPr>
                <w:sz w:val="18"/>
                <w:szCs w:val="18"/>
                <w:color w:val="auto"/>
              </w:rPr>
            </w:pP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legal &amp; other professional</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828,592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828,592</w:t>
            </w:r>
          </w:p>
        </w:tc>
        <w:tc>
          <w:tcPr>
            <w:tcW w:w="80" w:type="dxa"/>
            <w:vAlign w:val="bottom"/>
            <w:shd w:val="clear" w:color="auto" w:fill="CCEEFF"/>
          </w:tcPr>
          <w:p>
            <w:pPr>
              <w:spacing w:after="0"/>
              <w:rPr>
                <w:sz w:val="18"/>
                <w:szCs w:val="18"/>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 &amp; IT - related</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188,951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188,951</w:t>
            </w:r>
          </w:p>
        </w:tc>
        <w:tc>
          <w:tcPr>
            <w:tcW w:w="80" w:type="dxa"/>
            <w:vAlign w:val="bottom"/>
          </w:tcPr>
          <w:p>
            <w:pPr>
              <w:spacing w:after="0"/>
              <w:rPr>
                <w:sz w:val="18"/>
                <w:szCs w:val="18"/>
                <w:color w:val="auto"/>
              </w:rPr>
            </w:pP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&amp; insurance - related</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14,795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18,143</w:t>
            </w:r>
          </w:p>
        </w:tc>
        <w:tc>
          <w:tcPr>
            <w:tcW w:w="80" w:type="dxa"/>
            <w:vAlign w:val="bottom"/>
            <w:shd w:val="clear" w:color="auto" w:fill="CCEEFF"/>
          </w:tcPr>
          <w:p>
            <w:pPr>
              <w:spacing w:after="0"/>
              <w:rPr>
                <w:sz w:val="18"/>
                <w:szCs w:val="18"/>
                <w:color w:val="auto"/>
              </w:rPr>
            </w:pP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Consultants &amp; others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561,458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561,458</w:t>
            </w:r>
          </w:p>
        </w:tc>
        <w:tc>
          <w:tcPr>
            <w:tcW w:w="80" w:type="dxa"/>
            <w:vAlign w:val="bottom"/>
          </w:tcPr>
          <w:p>
            <w:pPr>
              <w:spacing w:after="0"/>
              <w:rPr>
                <w:sz w:val="18"/>
                <w:szCs w:val="18"/>
                <w:color w:val="auto"/>
              </w:rPr>
            </w:pPr>
          </w:p>
        </w:tc>
      </w:tr>
      <w:tr>
        <w:trPr>
          <w:trHeight w:val="22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874,165</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875,954</w:t>
            </w:r>
          </w:p>
        </w:tc>
        <w:tc>
          <w:tcPr>
            <w:tcW w:w="80" w:type="dxa"/>
            <w:vAlign w:val="bottom"/>
            <w:shd w:val="clear" w:color="auto" w:fill="CCEEFF"/>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3,475,570</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1,475,886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4,951,456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2"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Euros)</w:t>
      </w:r>
    </w:p>
    <w:p>
      <w:pPr>
        <w:spacing w:after="0" w:line="27" w:lineRule="exact"/>
        <w:rPr>
          <w:sz w:val="20"/>
          <w:szCs w:val="20"/>
          <w:color w:val="auto"/>
        </w:rPr>
      </w:pPr>
    </w:p>
    <w:p>
      <w:pPr>
        <w:ind w:right="1920"/>
        <w:spacing w:after="0" w:line="247" w:lineRule="auto"/>
        <w:rPr>
          <w:sz w:val="20"/>
          <w:szCs w:val="20"/>
          <w:color w:val="auto"/>
        </w:rPr>
      </w:pPr>
      <w:r>
        <w:rPr>
          <w:rFonts w:ascii="Times New Roman" w:cs="Times New Roman" w:eastAsia="Times New Roman" w:hAnsi="Times New Roman"/>
          <w:sz w:val="18"/>
          <w:szCs w:val="18"/>
          <w:color w:val="auto"/>
        </w:rPr>
        <w:t>Compensation (including share-based) Accounting, legal &amp; other professional Communication &amp; IT related Facility Facility &amp; insurance related Consultants &amp; other third parties Other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1,218,299</w:t>
            </w:r>
          </w:p>
        </w:tc>
        <w:tc>
          <w:tcPr>
            <w:tcW w:w="3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1,317,068</w:t>
            </w:r>
          </w:p>
        </w:tc>
        <w:tc>
          <w:tcPr>
            <w:tcW w:w="32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2,535,367</w:t>
            </w:r>
          </w:p>
        </w:tc>
      </w:tr>
      <w:tr>
        <w:trPr>
          <w:trHeight w:val="213"/>
        </w:trPr>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1,026,534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1,026,534</w:t>
            </w:r>
          </w:p>
        </w:tc>
      </w:tr>
      <w:tr>
        <w:trPr>
          <w:trHeight w:val="213"/>
        </w:trPr>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166,416</w:t>
            </w:r>
          </w:p>
        </w:tc>
      </w:tr>
      <w:tr>
        <w:trPr>
          <w:trHeight w:val="213"/>
        </w:trPr>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15,731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21,911</w:t>
            </w:r>
          </w:p>
        </w:tc>
      </w:tr>
      <w:tr>
        <w:trPr>
          <w:trHeight w:val="227"/>
        </w:trPr>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610,103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610,103</w:t>
            </w:r>
          </w:p>
        </w:tc>
      </w:tr>
      <w:tr>
        <w:trPr>
          <w:trHeight w:val="232"/>
        </w:trPr>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896,018</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2,152</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898,170</w:t>
            </w:r>
          </w:p>
        </w:tc>
      </w:tr>
      <w:tr>
        <w:trPr>
          <w:trHeight w:val="220"/>
        </w:trPr>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3,923,550</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1,334,951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5,258,501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-1143000</wp:posOffset>
            </wp:positionV>
            <wp:extent cx="7134225" cy="144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-863600</wp:posOffset>
            </wp:positionV>
            <wp:extent cx="7134225" cy="135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-592455</wp:posOffset>
            </wp:positionV>
            <wp:extent cx="7134225" cy="135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-321310</wp:posOffset>
            </wp:positionV>
            <wp:extent cx="7134225" cy="144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15875</wp:posOffset>
            </wp:positionV>
            <wp:extent cx="71342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2">
            <w:col w:w="4700" w:space="720"/>
            <w:col w:w="5820"/>
          </w:cols>
          <w:pgMar w:left="320" w:top="682" w:right="339" w:bottom="1440" w:gutter="0" w:footer="0" w:header="0"/>
          <w:type w:val="continuous"/>
        </w:sectPr>
      </w:pPr>
    </w:p>
    <w:bookmarkStart w:id="175" w:name="page176"/>
    <w:bookmarkEnd w:id="175"/>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General and administrative expenses were approximately €3.9 million for the year ended December 31, 2025, as compared to approximately €5.0 million for the year ended December 31, 2024. The decrease of approximately €1.1 million was primarily due to the combined effect of:</w:t>
      </w:r>
    </w:p>
    <w:p>
      <w:pPr>
        <w:spacing w:after="0" w:line="163" w:lineRule="exact"/>
        <w:rPr>
          <w:sz w:val="20"/>
          <w:szCs w:val="20"/>
          <w:color w:val="auto"/>
        </w:rPr>
      </w:pPr>
    </w:p>
    <w:p>
      <w:pPr>
        <w:jc w:val="both"/>
        <w:ind w:left="960" w:hanging="313"/>
        <w:spacing w:after="0" w:line="262"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compensation, (approximately €0.5 million) primarily due to: (1) the reversal of bonus accruals recorded during 2023 and 2024 for the CMO and CFO, which were not subsequently confirmed in part and therefore were not paid in during 2025; (2) the absence of any bonus accruals for 2025, following a change in the Company’s bonus recognition policy;</w:t>
      </w:r>
    </w:p>
    <w:p>
      <w:pPr>
        <w:spacing w:after="0" w:line="17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accounting, legal and other professional (approximately €0.1 million) mainly related to a decrease in external audit expenses;</w:t>
      </w:r>
    </w:p>
    <w:p>
      <w:pPr>
        <w:spacing w:after="0" w:line="219"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consultants and other third-party costs (approximately €0.3 million) primarily driven by cost-saving contract amendments and reduced consulting activity. Additionally, certain consultant contracts were not renewed in 2025;</w:t>
      </w:r>
    </w:p>
    <w:p>
      <w:pPr>
        <w:spacing w:after="0" w:line="162"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other general and administrative costs (approximately €0.2 million), primarily driven by a decrease in patent maintenance costs (approximately €0.1 million).</w:t>
      </w:r>
    </w:p>
    <w:p>
      <w:pPr>
        <w:spacing w:after="0" w:line="163"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were approximately €5.0 million for the year ended December 31, 2024, as compared to approximately €5.3 million for the year ended December 31, 2023. The decrease of approximately €0.3 million was primarily attributable to lower professional fees, reduced consultancy expenses, and decreased insurance costs, partially offset by higher legal expenses, increased IT and cybersecurity-related costs, and higher patent maintenance expenses.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accounts payable to related parties are comprised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5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0"/>
        </w:trPr>
        <w:tc>
          <w:tcPr>
            <w:tcW w:w="5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(in Euros)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Raffaele Hospital (OSR)</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300,328</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180,116</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170,888</w:t>
            </w:r>
          </w:p>
        </w:tc>
        <w:tc>
          <w:tcPr>
            <w:tcW w:w="80" w:type="dxa"/>
            <w:vAlign w:val="bottom"/>
            <w:shd w:val="clear" w:color="auto" w:fill="CCEEFF"/>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300,328</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accrued expenses to related parties are comprised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54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7"/>
        </w:trPr>
        <w:tc>
          <w:tcPr>
            <w:tcW w:w="5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(in Euros)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Raffaele Hospital (OSR)</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128,188</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413,935</w:t>
            </w: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Richard Slansky</w:t>
            </w:r>
          </w:p>
        </w:tc>
        <w:tc>
          <w:tcPr>
            <w:tcW w:w="1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243,101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116,738</w:t>
            </w:r>
          </w:p>
        </w:tc>
      </w:tr>
      <w:tr>
        <w:trPr>
          <w:trHeight w:val="21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Pierluigi Paracchi</w:t>
            </w: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46,678</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336,000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175,254</w:t>
            </w:r>
          </w:p>
        </w:tc>
      </w:tr>
      <w:tr>
        <w:trPr>
          <w:trHeight w:val="21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Francesco Galimi</w:t>
            </w:r>
          </w:p>
        </w:tc>
        <w:tc>
          <w:tcPr>
            <w:tcW w:w="1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17,036</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 Russo</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324,055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155,651</w:t>
            </w:r>
          </w:p>
        </w:tc>
      </w:tr>
      <w:tr>
        <w:trPr>
          <w:trHeight w:val="22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861,578</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5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F-29</w:t>
            </w: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2" w:right="339" w:bottom="1440" w:gutter="0" w:footer="0" w:header="0"/>
        </w:sectPr>
      </w:pPr>
    </w:p>
    <w:bookmarkStart w:id="176" w:name="page177"/>
    <w:bookmarkEnd w:id="176"/>
    <w:p>
      <w:pPr>
        <w:ind w:left="640"/>
        <w:spacing w:after="0"/>
        <w:rPr>
          <w:sz w:val="20"/>
          <w:szCs w:val="20"/>
          <w:color w:val="auto"/>
        </w:rPr>
      </w:pPr>
      <w:r>
        <w:rPr>
          <w:rFonts w:ascii="Times New Roman" w:cs="Times New Roman" w:eastAsia="Times New Roman" w:hAnsi="Times New Roman"/>
          <w:sz w:val="18"/>
          <w:szCs w:val="18"/>
          <w:color w:val="auto"/>
        </w:rPr>
        <w:t>The Company has identified the following related parties as of December 31,2025:</w:t>
      </w:r>
    </w:p>
    <w:p>
      <w:pPr>
        <w:spacing w:after="0" w:line="220" w:lineRule="exact"/>
        <w:rPr>
          <w:sz w:val="20"/>
          <w:szCs w:val="20"/>
          <w:color w:val="auto"/>
        </w:rPr>
      </w:pPr>
    </w:p>
    <w:p>
      <w:pPr>
        <w:ind w:left="640" w:hanging="313"/>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Pierluigi Paracchi</w:t>
      </w:r>
      <w:r>
        <w:rPr>
          <w:rFonts w:ascii="Times New Roman" w:cs="Times New Roman" w:eastAsia="Times New Roman" w:hAnsi="Times New Roman"/>
          <w:sz w:val="18"/>
          <w:szCs w:val="18"/>
          <w:color w:val="auto"/>
        </w:rPr>
        <w:t xml:space="preserve"> (director, CEO, and co-founder of the Company);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Luigi Naldini</w:t>
      </w:r>
      <w:r>
        <w:rPr>
          <w:rFonts w:ascii="Times New Roman" w:cs="Times New Roman" w:eastAsia="Times New Roman" w:hAnsi="Times New Roman"/>
          <w:sz w:val="18"/>
          <w:szCs w:val="18"/>
          <w:color w:val="auto"/>
        </w:rPr>
        <w:t xml:space="preserve"> (co-founder of the Company and chair of the scientific advisory board, until December 31, 2025);</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Bernhard Rudolph Gentner</w:t>
      </w:r>
      <w:r>
        <w:rPr>
          <w:rFonts w:ascii="Times New Roman" w:cs="Times New Roman" w:eastAsia="Times New Roman" w:hAnsi="Times New Roman"/>
          <w:sz w:val="18"/>
          <w:szCs w:val="18"/>
          <w:color w:val="auto"/>
        </w:rPr>
        <w:t xml:space="preserve"> (co- founder of the Company and member of the scientific advisory board, until December 31, 2025);</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Richard Slansky</w:t>
      </w:r>
      <w:r>
        <w:rPr>
          <w:rFonts w:ascii="Times New Roman" w:cs="Times New Roman" w:eastAsia="Times New Roman" w:hAnsi="Times New Roman"/>
          <w:sz w:val="18"/>
          <w:szCs w:val="18"/>
          <w:color w:val="auto"/>
        </w:rPr>
        <w:t xml:space="preserve"> (Chief Financial Officer);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Francesco Galimi (A</w:t>
      </w:r>
      <w:r>
        <w:rPr>
          <w:rFonts w:ascii="Times New Roman" w:cs="Times New Roman" w:eastAsia="Times New Roman" w:hAnsi="Times New Roman"/>
          <w:sz w:val="18"/>
          <w:szCs w:val="18"/>
          <w:color w:val="auto"/>
        </w:rPr>
        <w:t>cting Chief Medical Officer and Head of Development and advises the Chief Executive Officer);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Giacomoantonio Paracchi</w:t>
      </w:r>
      <w:r>
        <w:rPr>
          <w:rFonts w:ascii="Times New Roman" w:cs="Times New Roman" w:eastAsia="Times New Roman" w:hAnsi="Times New Roman"/>
          <w:sz w:val="18"/>
          <w:szCs w:val="18"/>
          <w:color w:val="auto"/>
        </w:rPr>
        <w:t xml:space="preserve"> (member of the Company’s Board of Directors);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 Raffaele Hospital</w:t>
      </w:r>
      <w:r>
        <w:rPr>
          <w:rFonts w:ascii="Times New Roman" w:cs="Times New Roman" w:eastAsia="Times New Roman" w:hAnsi="Times New Roman"/>
          <w:sz w:val="18"/>
          <w:szCs w:val="18"/>
          <w:color w:val="auto"/>
        </w:rPr>
        <w:t xml:space="preserve"> (co-founder of the Company, shareholder, main service provider for clinical activity and licensor of brands of any product that can be obtained through research).</w:t>
      </w:r>
    </w:p>
    <w:p>
      <w:pPr>
        <w:spacing w:after="0" w:line="16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description of the nature of the transactions between the Company and these related parties: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Pierluigi Paracchi</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Mr. Pierluigi Paracchi is the Company’s Chief Executive Officer, Chairman, General Manager, and co-founder. His current employment arrangement with the Company, effective April 1, 2025, provides an annual gross salary of €451,560 plus a 40% annual bonus subject to Board approval. Mr. Paracchi also has use of a Company car.</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Effective from May 2025, Mr. Pierluigi Paracchi also receives an annual compensation of €45,000 for his role as the Company’s Chairman of the Board of Directors.</w:t>
      </w:r>
    </w:p>
    <w:p>
      <w:pPr>
        <w:spacing w:after="0" w:line="163" w:lineRule="exact"/>
        <w:rPr>
          <w:sz w:val="20"/>
          <w:szCs w:val="20"/>
          <w:color w:val="auto"/>
        </w:rPr>
      </w:pPr>
    </w:p>
    <w:p>
      <w:pPr>
        <w:jc w:val="both"/>
        <w:ind w:firstLine="640"/>
        <w:spacing w:after="0" w:line="307" w:lineRule="auto"/>
        <w:rPr>
          <w:sz w:val="20"/>
          <w:szCs w:val="20"/>
          <w:color w:val="auto"/>
        </w:rPr>
      </w:pPr>
      <w:r>
        <w:rPr>
          <w:rFonts w:ascii="Times New Roman" w:cs="Times New Roman" w:eastAsia="Times New Roman" w:hAnsi="Times New Roman"/>
          <w:sz w:val="17"/>
          <w:szCs w:val="17"/>
          <w:color w:val="auto"/>
        </w:rPr>
        <w:t>For the year ended December 31, 2025, 2024 and 2023 the Company expensed approximately €550,430 (including (€91,105 of social contributions and TFR), €688,000 (including €87,738 of social contributions and TFR) and €692,000 respectively, related to Mr. Pierluigi Paracchi’s compensation.</w:t>
      </w:r>
    </w:p>
    <w:p>
      <w:pPr>
        <w:spacing w:after="0" w:line="14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As of December 31, 2025, Mr. Pierluigi Paracchi received NSOs on a total of 260,000 of the Company’s ADSs, with 80,000 received in June 2025, and 180,000 in December 2025.</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As of December 31, 2025, the Company did not accrue any bonus in respect of Mr. Pierluigi Paracchi’s activities performed in 2025, while a bonus of €168,000 was accrued as of December 31, 2024, and December 31, 2023, in respect of his activities performed in 2024 and 2023.</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 June 2025, previously accrued performance bonuses for the years 2024 (€168,000) and 2023 (€168,000) were paid, for a total gross amount of €336,000.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Luigi Naldini/Bernhard Rudolph Gentner</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Drs. Naldini and Gentner are co-founders of the Company and were an instrumental part of the Company’s SAB – Scientific Advisory Board, with Dr. Naldini as Chairman, and Dr. Gentner as a member. The Company had consulting agreements with each of Drs. Naldini and Gentner.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Dr. Naldini had an advisory agreement approved by the Board of Directors whereby he and his staff performed pre-clinical studies for the Company.</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latest consulting agreement with Dr. Naldini was signed on June 20, 2022, which included an annual fee of €100,000 starting July 1, 2022.</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May 12, 2025, the consulting agreement originally dated October 1, 2015, and subsequently amended on June 20, 2022, was further amended to extend its validity for an additional 12 months, from July 1, 2025, to June 30, 2026. The contract was altered so that it would not be automatically renewed. Additionally, the annual fee for the extended term was reduced to €50,000, effective July 1, 2025.</w:t>
      </w:r>
    </w:p>
    <w:p>
      <w:pPr>
        <w:spacing w:after="0" w:line="176" w:lineRule="exact"/>
        <w:rPr>
          <w:sz w:val="20"/>
          <w:szCs w:val="20"/>
          <w:color w:val="auto"/>
        </w:rPr>
      </w:pPr>
    </w:p>
    <w:p>
      <w:pPr>
        <w:jc w:val="both"/>
        <w:ind w:right="20" w:firstLine="631"/>
        <w:spacing w:after="0" w:line="277" w:lineRule="auto"/>
        <w:rPr>
          <w:sz w:val="20"/>
          <w:szCs w:val="20"/>
          <w:color w:val="auto"/>
        </w:rPr>
      </w:pPr>
      <w:r>
        <w:rPr>
          <w:rFonts w:ascii="Times New Roman" w:cs="Times New Roman" w:eastAsia="Times New Roman" w:hAnsi="Times New Roman"/>
          <w:sz w:val="18"/>
          <w:szCs w:val="18"/>
          <w:color w:val="auto"/>
        </w:rPr>
        <w:t>On October 12, 2025, the consulting agreement, amended on May 12, 2025, was further amended to shorten its term to December 31, 2025, without automatic renewal, for a fixed fee of €6,250.</w:t>
      </w:r>
    </w:p>
    <w:p>
      <w:pPr>
        <w:spacing w:after="0" w:line="163"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18"/>
          <w:szCs w:val="18"/>
          <w:color w:val="auto"/>
        </w:rPr>
        <w:t>At December 31, 2025, 2024 and 2023, Dr. Naldini billed €68,750, €100,000 and €100,000 respectively, and all invoices issued were paid before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respective year.</w:t>
      </w:r>
    </w:p>
    <w:p>
      <w:pPr>
        <w:spacing w:after="0" w:line="32"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Dr. Gentner, like Dr. Naldini, oversaw pre-clinical research related to the Company’s platform technology. In addition, he analyzed clinical biological data. The consulting agreement with Dr. Gentner started on July 1, 2022, and provided fees for an amount of €45,000 per year.</w:t>
      </w:r>
    </w:p>
    <w:p>
      <w:pPr>
        <w:spacing w:after="0" w:line="163"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8"/>
          <w:szCs w:val="18"/>
          <w:color w:val="auto"/>
        </w:rPr>
        <w:t>On July 1, 2025, the consulting agreement originally dated April 1, 2016, and subsequently amended on July 1, 2022, was further amended to reduce the annual compensation for Dr. Gentner from €45,000 to €22,500, effective July 1, 2025. The agreement was to remain in effect for a fixed term of one (1) year, from July 1, 2025, through June 30, 2026.</w:t>
      </w:r>
    </w:p>
    <w:p>
      <w:pPr>
        <w:spacing w:after="0" w:line="176" w:lineRule="exact"/>
        <w:rPr>
          <w:sz w:val="20"/>
          <w:szCs w:val="20"/>
          <w:color w:val="auto"/>
        </w:rPr>
      </w:pPr>
    </w:p>
    <w:p>
      <w:pPr>
        <w:jc w:val="both"/>
        <w:ind w:firstLine="631"/>
        <w:spacing w:after="0" w:line="277" w:lineRule="auto"/>
        <w:rPr>
          <w:sz w:val="20"/>
          <w:szCs w:val="20"/>
          <w:color w:val="auto"/>
        </w:rPr>
      </w:pPr>
      <w:r>
        <w:rPr>
          <w:rFonts w:ascii="Times New Roman" w:cs="Times New Roman" w:eastAsia="Times New Roman" w:hAnsi="Times New Roman"/>
          <w:sz w:val="18"/>
          <w:szCs w:val="18"/>
          <w:color w:val="auto"/>
        </w:rPr>
        <w:t>On October 1, 2025, the consulting agreement amended on July 1, 2025, was further amended to shorten its term to December 31, 2025, without automatic renewal, for a fixed fee of €2,814.</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February 2024, Dr. Gentner entered into an addendum to the consulting agreement in which the Company agreed to pay a total one-time fee of up to €15,000 to conduct research, write and submit a scientific research paper. The agreement stipulated the fees that were to be billed progressively, if and when the expected research steps were met.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December 31, 2025, the second step was achieved, billed and paid for €5,000.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December 31, 2024, the first step was achieved, billed, and paid for €5,000.</w:t>
      </w:r>
    </w:p>
    <w:p>
      <w:pPr>
        <w:spacing w:after="0" w:line="220" w:lineRule="exact"/>
        <w:rPr>
          <w:sz w:val="20"/>
          <w:szCs w:val="20"/>
          <w:color w:val="auto"/>
        </w:rPr>
      </w:pPr>
    </w:p>
    <w:p>
      <w:pPr>
        <w:jc w:val="both"/>
        <w:ind w:firstLine="640"/>
        <w:spacing w:after="0" w:line="288" w:lineRule="auto"/>
        <w:rPr>
          <w:sz w:val="20"/>
          <w:szCs w:val="20"/>
          <w:color w:val="auto"/>
        </w:rPr>
      </w:pPr>
      <w:r>
        <w:rPr>
          <w:rFonts w:ascii="Times New Roman" w:cs="Times New Roman" w:eastAsia="Times New Roman" w:hAnsi="Times New Roman"/>
          <w:sz w:val="18"/>
          <w:szCs w:val="18"/>
          <w:color w:val="auto"/>
        </w:rPr>
        <w:t>At December 31, 2025, 2024 and 2023 Dr. Gentner billed €35,939, €45,000 and €45,000 respectively, and all invoices issued were paid before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respective year.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Slansky</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Mr. Richard Slansky is the Chief Financial Officer of the Company. His current employment arrangement is in place with the U.S. subsidiary, and it provides an annual gross compensation of $375,000 plus a 30% bonus subject to Board approval.</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expensed approximately €320,277, €458,000 and €456,000 respectively, related to compensation for Mr. Slansky. At December 31, 2025, the Company did not accrue any bonus in respect of Mr. Slansky’s activities performed in 2025, while a bonus of approximately €108,000 and €116,000 was accrued as of December 31, 2024 and December 31, 2023, in respect of his activities performed in 2024 and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78" w:name="page179"/>
    <w:bookmarkEnd w:id="178"/>
    <w:p>
      <w:pPr>
        <w:ind w:firstLine="640"/>
        <w:spacing w:after="0" w:line="277" w:lineRule="auto"/>
        <w:rPr>
          <w:sz w:val="20"/>
          <w:szCs w:val="20"/>
          <w:color w:val="auto"/>
        </w:rPr>
      </w:pPr>
      <w:r>
        <w:rPr>
          <w:rFonts w:ascii="Times New Roman" w:cs="Times New Roman" w:eastAsia="Times New Roman" w:hAnsi="Times New Roman"/>
          <w:sz w:val="18"/>
          <w:szCs w:val="18"/>
          <w:color w:val="auto"/>
        </w:rPr>
        <w:t>In June 2025, Mr. Slansky was awarded a bonus of approximately €98,832 (gross amount), related to the activity performed in 2023, and €49,416 (gross amount), related to the activity performed in 2024, and accrued in the respective periods.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2023 bonus was allocated as follows:</w:t>
      </w:r>
    </w:p>
    <w:p>
      <w:pPr>
        <w:spacing w:after="0" w:line="220" w:lineRule="exact"/>
        <w:rPr>
          <w:sz w:val="20"/>
          <w:szCs w:val="20"/>
          <w:color w:val="auto"/>
        </w:rPr>
      </w:pPr>
    </w:p>
    <w:p>
      <w:pPr>
        <w:ind w:left="1280" w:right="20" w:hanging="313"/>
        <w:spacing w:after="0" w:line="277" w:lineRule="auto"/>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15,338 fully vested NSOs with an exercise price of $4.36 based on the Black-Scholes pricing model in place of €47,997 cash as a portion of the 2023 bonus;</w:t>
      </w:r>
    </w:p>
    <w:p>
      <w:pPr>
        <w:spacing w:after="0" w:line="162"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€45,902 paid in cash to Mr. Slansky;</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€2,196 and €1,318, respectively, allocated from Mr. Slansky’s bonus to two (2) finance employees and paid in cash.</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original 2024 bonus amount accrued was approximately €108,000; however, this was reduced by 50% and allocated as follows:</w:t>
      </w:r>
    </w:p>
    <w:p>
      <w:pPr>
        <w:spacing w:after="0" w:line="220" w:lineRule="exact"/>
        <w:rPr>
          <w:sz w:val="20"/>
          <w:szCs w:val="20"/>
          <w:color w:val="auto"/>
        </w:rPr>
      </w:pPr>
    </w:p>
    <w:p>
      <w:pPr>
        <w:ind w:left="1280" w:hanging="313"/>
        <w:spacing w:after="0" w:line="277" w:lineRule="auto"/>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7,669 fully vested NSOs with an exercise price of $4.36 based on the Black-Scholes pricing model in place of €23,998 cash as a portion of the 2024 bonus;</w:t>
      </w:r>
    </w:p>
    <w:p>
      <w:pPr>
        <w:spacing w:after="0" w:line="162"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€18,531 paid in cash to Mr. Slansky;</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€3,089, €1,853, and €1,235, respectively, allocated from Mr. Slansky’s bonus to three (3) finance employees and paid in cash.</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As of December 31, 2025, Mr. Slansky received NSOs on a total of 180,000 of the Company’s ADSs, with 60,000 received in June 2025 with an exercise price of $4.36, and 120,000 in December 2025 with an exercise price of $1.48.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Francesco Galimi</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October 1, 2025, the Company entered into a consulting agreement with FG Consulting Inc., an entity controlled by Francesco Galimi, the Company’s Acting Chief Medical Officer and Head of Development. Under the agreement, ongoing scientific and strategic advisory services are provided by Dr. Galimi and invoiced to the Company through FG Consulting Inc.</w:t>
      </w:r>
    </w:p>
    <w:p>
      <w:pPr>
        <w:spacing w:after="0" w:line="176"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The consulting agreement originally dated October 1, 2025, was subsequently amended on October 20, 2025, to extend the term of the agreement from December 31, 2025, to January 31, 2026, and to modify the compensation terms, effective November 1, 2025.</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2025, Dr. Galimi invoiced the Company, through FG Consulting Inc., €25,869 for services provided in his capacity as Acting Chief Medical Officer and Head of Development, and accrued expenses of €17,037 were recognized in relation to such services. In addition, the agreement provided compensation in the form of stock options. A total of 27,110 stock options were granted to the consultant, vesting over the period from November 2025 to January 2026. As of December 31, 2025, the value of the vested options amounted to €33,839.</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December 31, 2025, Dr. Galimi also invoiced the Company €19,453 for his services as a member of the Board.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Giacomoantonio Paracchi</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Mr. Giacomoantonio Paracchi is a member of the Company’s Board of Directors. His annual gross compensation amounts to €30,000, pro-rated for the period from November 2025 through the next shareholders’ meeting.</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2025, Mr. Giacomoantonio Paracchi received compensation of €5,000 for his services as a member of the Board.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OSR – San Raffaele Hospital</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OSR - San Raffaele Hospital is a co-founder of the Company, and the Company is a corporate and research spin-off of OSR.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OSR License Agreement</w:t>
      </w:r>
    </w:p>
    <w:p>
      <w:pPr>
        <w:spacing w:after="0" w:line="222"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entered into an Amended and Restated License Agreement (the “ARLA”) with OSR in March 2023.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79" w:name="page180"/>
    <w:bookmarkEnd w:id="179"/>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effectiveness of the ARLA was subject to Italy’s Law Decree No. 21 of March 15, 2012 (i.e., the Italian Golden Power regulations), as subsequently amended and supplemented, and would not become effective until the applicable Italian governmental authority consented to the ARLA. On April 20, 2023, such consent was received and the ARLA became effective.</w:t>
      </w:r>
    </w:p>
    <w:p>
      <w:pPr>
        <w:spacing w:after="0" w:line="176"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Pursuant to the terms of the ARLA, OSR has granted the Company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based-hematopoietic stem and progenitor cells (“HSPC”) gene transfer with respect to any solid cancer indication (including glioblastoma and solid liver cancer) and/or (b) any lympho-hematopoietic indication for which the Company exercises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spacing w:after="0" w:line="178"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the Company granted OSR a perpetual, worldwide, royalty-free, non-exclusive license to any improvement generated by the Company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the Company regarding the Lentigen know-how are non-exclusive and cannot be sublicensed due to a pre-existing nonexclusive sublicense to these rights between OSR and GlaxoSmithKline Intellectual Property Development Limited.</w:t>
      </w:r>
    </w:p>
    <w:p>
      <w:pPr>
        <w:spacing w:after="0" w:line="19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Pursuant to the ARLA, the Company has an exclusive option exercisable until April 20, 2026 to any OSR product improvements at no additional cost, which could be useful for the development and/or commercialization of licensed products in the field of use. The Company also has an exclusive option exercisable until April 20, 2026 (the “LHI Option Period”) to any lympho-hematopoietic indication(s) to be included as part of the field of use, on an indication-by-indication basis, subject to the payment of specified option fees and milestone payments:</w:t>
      </w:r>
    </w:p>
    <w:p>
      <w:pPr>
        <w:spacing w:after="0" w:line="181" w:lineRule="exact"/>
        <w:rPr>
          <w:sz w:val="20"/>
          <w:szCs w:val="20"/>
          <w:color w:val="auto"/>
        </w:rPr>
      </w:pPr>
    </w:p>
    <w:p>
      <w:pPr>
        <w:ind w:left="640" w:hanging="633"/>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for the first lympho-hematopoietic indication;</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for the second lympho-hematopoietic indication; and</w:t>
      </w:r>
    </w:p>
    <w:p>
      <w:pPr>
        <w:spacing w:after="0" w:line="21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for the third lympho-hematopoietic indication.</w:t>
      </w:r>
    </w:p>
    <w:p>
      <w:pPr>
        <w:spacing w:after="0" w:line="21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fee is due for the fourth lympho-hematopoietic indication and any subsequent lympho-hematopoietic indications.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has the right to extend the LHI Option Period twice for additional 12-month periods, subject to the payment of specified extension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w:t>
      </w:r>
    </w:p>
    <w:p>
      <w:pPr>
        <w:spacing w:after="0" w:line="201" w:lineRule="exact"/>
        <w:rPr>
          <w:sz w:val="20"/>
          <w:szCs w:val="20"/>
          <w:color w:val="auto"/>
        </w:rPr>
      </w:pPr>
    </w:p>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Prior to the effective date of the ARLA, the Company paid OSR an upfront fee in amount equal to €250,000 pursuant to the Original OSR License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80" w:name="page181"/>
    <w:bookmarkEnd w:id="180"/>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Pursuant to the ARLA, as consideration, the Company agreed to pay OSR additional license fees equal to up to €875,000 in total, which are payable on April 20, 2023, December 31, 2023, and upon our entering into a sublicense agreement with a third party sublicensee (pursuant to which the Company is entitled to receive an upfront payment in an amount exceeding a specified threshold from such sublicensee) during the period between September 30, 2022 and April 20, 2028 (with most of these additional license fees being triggered upon our entering into such a sublicense agreement). In addition, the Company has agreed to pay OSR royalties and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our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United States and certain E.U. countries, and achievement of certain net sales levels.</w:t>
      </w:r>
    </w:p>
    <w:p>
      <w:pPr>
        <w:spacing w:after="0" w:line="19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As part of the ARLA, the Company has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The Company is also obligated to carry out its development activities using qualified and experienced professionals and sufficient level of resources. In particular, consistent with the terms of the Original OSR License Agreement, the ARLA continues to require the Company to invest (a) at least €5,425,000 with respect to the development of the licensed products, and (b) at least €2,420,000 with respect to the manufacturing of such licensed products (subject to certain adjustments). (See Note 18. Commitments and contingencies.)</w:t>
      </w:r>
    </w:p>
    <w:p>
      <w:pPr>
        <w:spacing w:after="0" w:line="185"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OSR maintains control of the preparation, prosecution and maintenance of the patents licensed. The Company is obligated to pay those costs unless additional licensees benefit from these rights, in which case the cost will be shared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OSR controls enforcement of the patents and know-how rights, at its own expense. In the event that OSR fails to file suit to enforce such rights after notice from the Company, the Company has the right to enforce the licensed technology within the field of use. Both the Company and OSR must consent to settlement of any such litigation, and all monies recovered will be shared, after reimbursement for costs, in relation to the damages suffered by each party, or failing a bona fide agreement between the Company and OSR, on a 50% - 50% basis.</w:t>
      </w:r>
    </w:p>
    <w:p>
      <w:pPr>
        <w:spacing w:after="0" w:line="185"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ARLA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the Company fail to pay any of the upfront payment, additional license fees, sublicensing income or milestone payments within 30 days of due dates for each. In addition, OSR may terminate (with a 60-business-day prior written notice) the Company’s rights as to certain fields of use for the Company’s failure to achieve certain development milestones for specified licensed products within certain time periods, which may be subject to extension.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i w:val="1"/>
          <w:iCs w:val="1"/>
          <w:color w:val="auto"/>
        </w:rPr>
        <w:t>Amendment to OSR Amended and Restated License Agreement</w:t>
      </w:r>
    </w:p>
    <w:p>
      <w:pPr>
        <w:spacing w:after="0" w:line="22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On September 28, 2023, the Company and OSR entered into an amendment to the ARLA, whereby the Company and OSR agreed that the Company had fulfilled the obligations as set forth in the ARLA specific to Candidate Products 1 pursuant to the CP1 SRA. Furthermore, the amendment provides that the Company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sponsored research agreement with regards to Candidate Products 2, OSR granted the Company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the Company’s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the Company.</w:t>
      </w:r>
    </w:p>
    <w:p>
      <w:pPr>
        <w:spacing w:after="0" w:line="188"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At December 31, 2025, the cumulative total amount of expense for the OSR clinical trial activity from inception amounted to approximately €12.0 million and including the cost for the exercise of the first and the second solid cancer indication option fee of €1.0 million, as well as the cost for ARLA fees of approximately €0.4 million.</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At December 31, 2025, there were no pending activities with OSR related to any agreement in place prior to the ARLA effective date, except for the project called “TEM-MM unspent budget reallocated to the TEM-GBM study”, for which the last tranche of activities corresponding to the 20% of the total project of approximately €0.2 million still pending completion.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OSR Sponsored Research Agreement</w:t>
      </w:r>
    </w:p>
    <w:p>
      <w:pPr>
        <w:spacing w:after="0" w:line="222"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August 1, 2023, the Company entered into a Sponsored Research Agreement (“CP1 SRA”), which was contemplated under the ARLA, pursuant to which the Company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the Company and provide an estimate for completing the research.</w:t>
      </w:r>
    </w:p>
    <w:p>
      <w:pPr>
        <w:spacing w:after="0" w:line="18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During the period from the date of execution from the CP1 SRA until six months from the last report delivered to the Company under the CP1 SRA (the “CP1 Option Period”), the Company has the exclusive option to include certain intellectual property related to Candidate Products 1 and Candidate Products 1 as part of the licensed patents and licensed products under the ARLA. To exercise this option, the Company must pay an option exercise fee. The Company also has the right to extend the CP1 Option Period twice for additional 24-month periods. The extension requires payment of an extension fee for each 24-month extension.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2025, the Company recorded and paid approximately €0.5 million for the CP1 SRA studies.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entered into a non-cancelable lease agreement for office space in December 2020, effective since December 2019.</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February 5, 2026, the Company provided formal notice to OSR of its intention to terminate the office lease agreement. The Company has indicated its availability to vacate the premises prior to the contractual expiration date. As of the date of issuance of these financial statements, the Company is awaiting confirmation from OSR regarding the effective termination date and any related financial implications. (see Note 18 Commitments and contingencies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Carlo Russo</w:t>
      </w:r>
    </w:p>
    <w:p>
      <w:pPr>
        <w:spacing w:after="0" w:line="224" w:lineRule="exact"/>
        <w:rPr>
          <w:sz w:val="20"/>
          <w:szCs w:val="20"/>
          <w:color w:val="auto"/>
        </w:rPr>
      </w:pPr>
    </w:p>
    <w:p>
      <w:pPr>
        <w:jc w:val="both"/>
        <w:ind w:right="20" w:firstLine="631"/>
        <w:spacing w:after="0" w:line="277" w:lineRule="auto"/>
        <w:rPr>
          <w:sz w:val="20"/>
          <w:szCs w:val="20"/>
          <w:color w:val="auto"/>
        </w:rPr>
      </w:pPr>
      <w:r>
        <w:rPr>
          <w:rFonts w:ascii="Times New Roman" w:cs="Times New Roman" w:eastAsia="Times New Roman" w:hAnsi="Times New Roman"/>
          <w:sz w:val="18"/>
          <w:szCs w:val="18"/>
          <w:color w:val="auto"/>
        </w:rPr>
        <w:t>Dr. Carlo Russo served the Company as Chief Medical Officer and Head of Development until September 30, 2025. He was responsible for the clinical development of Temferon™, the Company’s gene therapy platform.</w:t>
      </w:r>
    </w:p>
    <w:p>
      <w:pPr>
        <w:spacing w:after="0" w:line="163" w:lineRule="exact"/>
        <w:rPr>
          <w:sz w:val="20"/>
          <w:szCs w:val="20"/>
          <w:color w:val="auto"/>
        </w:rPr>
      </w:pPr>
    </w:p>
    <w:p>
      <w:pPr>
        <w:jc w:val="both"/>
        <w:ind w:firstLine="631"/>
        <w:spacing w:after="0" w:line="277" w:lineRule="auto"/>
        <w:rPr>
          <w:sz w:val="20"/>
          <w:szCs w:val="20"/>
          <w:color w:val="auto"/>
        </w:rPr>
      </w:pPr>
      <w:r>
        <w:rPr>
          <w:rFonts w:ascii="Times New Roman" w:cs="Times New Roman" w:eastAsia="Times New Roman" w:hAnsi="Times New Roman"/>
          <w:sz w:val="18"/>
          <w:szCs w:val="18"/>
          <w:color w:val="auto"/>
        </w:rPr>
        <w:t>His employment arrangement was with the U.S. subsidiary and provided for an annual gross salary of $500,000, plus a 30% bonus, subject to Board approval.</w:t>
      </w:r>
    </w:p>
    <w:p>
      <w:pPr>
        <w:spacing w:after="0" w:line="163" w:lineRule="exact"/>
        <w:rPr>
          <w:sz w:val="20"/>
          <w:szCs w:val="20"/>
          <w:color w:val="auto"/>
        </w:rPr>
      </w:pPr>
    </w:p>
    <w:p>
      <w:pPr>
        <w:jc w:val="both"/>
        <w:ind w:firstLine="631"/>
        <w:spacing w:after="0" w:line="277" w:lineRule="auto"/>
        <w:rPr>
          <w:sz w:val="20"/>
          <w:szCs w:val="20"/>
          <w:color w:val="auto"/>
        </w:rPr>
      </w:pPr>
      <w:r>
        <w:rPr>
          <w:rFonts w:ascii="Times New Roman" w:cs="Times New Roman" w:eastAsia="Times New Roman" w:hAnsi="Times New Roman"/>
          <w:sz w:val="18"/>
          <w:szCs w:val="18"/>
          <w:color w:val="auto"/>
        </w:rPr>
        <w:t>In June 2025, previously accrued performance bonuses for the years 2023 and 2024 were reversed for a total amount of approximately €260,000. No bonuses were accrued for the six months ended June 30, 2025.</w:t>
      </w:r>
    </w:p>
    <w:p>
      <w:pPr>
        <w:spacing w:after="0" w:line="163" w:lineRule="exact"/>
        <w:rPr>
          <w:sz w:val="20"/>
          <w:szCs w:val="20"/>
          <w:color w:val="auto"/>
        </w:rPr>
      </w:pPr>
    </w:p>
    <w:p>
      <w:pPr>
        <w:jc w:val="both"/>
        <w:ind w:firstLine="631"/>
        <w:spacing w:after="0" w:line="277" w:lineRule="auto"/>
        <w:rPr>
          <w:sz w:val="20"/>
          <w:szCs w:val="20"/>
          <w:color w:val="auto"/>
        </w:rPr>
      </w:pPr>
      <w:r>
        <w:rPr>
          <w:rFonts w:ascii="Times New Roman" w:cs="Times New Roman" w:eastAsia="Times New Roman" w:hAnsi="Times New Roman"/>
          <w:sz w:val="18"/>
          <w:szCs w:val="18"/>
          <w:color w:val="auto"/>
        </w:rPr>
        <w:t>In June 2025, Dr. Russo received NSOs on 65,000 of the Company’s ADSs, compared to July 2024, when he received NSOs on 100,000 of the Company’s ADSs.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September 30, 2025, Dr. Carlo Russo resigned and his role was assigned to Dr. Francesco Galimi.</w:t>
      </w:r>
    </w:p>
    <w:p>
      <w:pPr>
        <w:spacing w:after="0" w:line="220" w:lineRule="exact"/>
        <w:rPr>
          <w:sz w:val="20"/>
          <w:szCs w:val="20"/>
          <w:color w:val="auto"/>
        </w:rPr>
      </w:pPr>
    </w:p>
    <w:p>
      <w:pPr>
        <w:jc w:val="both"/>
        <w:ind w:firstLine="631"/>
        <w:spacing w:after="0" w:line="277" w:lineRule="auto"/>
        <w:rPr>
          <w:sz w:val="20"/>
          <w:szCs w:val="20"/>
          <w:color w:val="auto"/>
        </w:rPr>
      </w:pPr>
      <w:r>
        <w:rPr>
          <w:rFonts w:ascii="Times New Roman" w:cs="Times New Roman" w:eastAsia="Times New Roman" w:hAnsi="Times New Roman"/>
          <w:sz w:val="18"/>
          <w:szCs w:val="18"/>
          <w:color w:val="auto"/>
        </w:rPr>
        <w:t>Accordingly, as of the end of the 2025 fiscal year, Dr. Carlo Russo is no longer considered a related party. Any stock options granted to him that had not vested at the time of his resignation were forfeited.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Company’s obligations by contractual maturity at December 31,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40" w:type="dxa"/>
            <w:vAlign w:val="bottom"/>
          </w:tcPr>
          <w:p>
            <w:pPr>
              <w:spacing w:after="0"/>
              <w:rPr>
                <w:sz w:val="20"/>
                <w:szCs w:val="20"/>
                <w:color w:val="auto"/>
              </w:rPr>
            </w:pPr>
          </w:p>
        </w:tc>
        <w:tc>
          <w:tcPr>
            <w:tcW w:w="262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(in Euros)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Payments by Period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line="201" w:lineRule="exact"/>
              <w:rPr>
                <w:sz w:val="20"/>
                <w:szCs w:val="20"/>
                <w:color w:val="auto"/>
              </w:rPr>
            </w:pPr>
            <w:r>
              <w:rPr>
                <w:rFonts w:ascii="Times New Roman" w:cs="Times New Roman" w:eastAsia="Times New Roman" w:hAnsi="Times New Roman"/>
                <w:sz w:val="18"/>
                <w:szCs w:val="18"/>
                <w:color w:val="auto"/>
              </w:rPr>
              <w:t>Less than 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1"/>
              <w:spacing w:after="0" w:line="201" w:lineRule="exact"/>
              <w:rPr>
                <w:sz w:val="20"/>
                <w:szCs w:val="20"/>
                <w:color w:val="auto"/>
              </w:rPr>
            </w:pPr>
            <w:r>
              <w:rPr>
                <w:rFonts w:ascii="Times New Roman" w:cs="Times New Roman" w:eastAsia="Times New Roman" w:hAnsi="Times New Roman"/>
                <w:sz w:val="18"/>
                <w:szCs w:val="18"/>
                <w:color w:val="auto"/>
                <w:w w:val="96"/>
              </w:rPr>
              <w:t>More than</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3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to 5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07"/>
        </w:trPr>
        <w:tc>
          <w:tcPr>
            <w:tcW w:w="1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OSR office rent</w:t>
            </w:r>
          </w:p>
        </w:tc>
        <w:tc>
          <w:tcPr>
            <w:tcW w:w="2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AGC manufacturing</w:t>
            </w:r>
          </w:p>
        </w:tc>
        <w:tc>
          <w:tcPr>
            <w:tcW w:w="286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17,000</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policies</w:t>
            </w:r>
          </w:p>
        </w:tc>
        <w:tc>
          <w:tcPr>
            <w:tcW w:w="2860" w:type="dxa"/>
            <w:vAlign w:val="bottom"/>
            <w:gridSpan w:val="2"/>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commitments with OSR relate to the office rent agreement and the ARLA.</w:t>
      </w:r>
    </w:p>
    <w:p>
      <w:pPr>
        <w:spacing w:after="0" w:line="218"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The commitments with AGC Biologics (“AGC”) relate to product manufacturing. Please see the following section,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for more information.</w:t>
      </w:r>
    </w:p>
    <w:p>
      <w:pPr>
        <w:spacing w:after="0" w:line="16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Insurance on operating leases is related to the non-lease insurance component of the Company’s auto lease agreement, which was entered into in February 2022 and subsequently terminated in February 2026 with the purchase of the car.</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CMOs and CROs agreements</w:t>
      </w:r>
    </w:p>
    <w:p>
      <w:pPr>
        <w:spacing w:after="0" w:line="222"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i w:val="1"/>
          <w:iCs w:val="1"/>
          <w:color w:val="auto"/>
        </w:rPr>
        <w:t>OSR - San Raffaele Hospital</w:t>
      </w:r>
    </w:p>
    <w:p>
      <w:pPr>
        <w:spacing w:after="0" w:line="222"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As part of the ARLA, the Company is obligated to carry out development activities using qualified and experienced professionals and a sufficient level of resources. In particular, consistent with the terms of the Original OSR License Agreement, the ARLA continues to require the Company to invest (a) at least €5,425,000 with respect to the development of the licensed products, and (b) at least €2,420,000 with respect to the manufacturing of such licensed products (subject to certain adjustments).</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incurred €2.8 million, €1.8 million and €2.5 million of expenses during the period ended December 31, 2025, 2024 and 2023 respectively. The cumulative expense to date is approximately €13.7 million, therefore, there is no residual commitment for the Company at December 31, 2025.</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Company has agreed to pay OSR royalties for four percent (4%)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the Company’s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United States and certain E.U. countries, and achievement of certain net sales levels.</w:t>
      </w:r>
    </w:p>
    <w:p>
      <w:pPr>
        <w:spacing w:after="0" w:line="185"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No events have occurred or have been achieved (and none are considered probable) to trigger any contingent payments under the ARLA during the period ended December 31, 2025.</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AGC Biologics</w:t>
      </w:r>
    </w:p>
    <w:p>
      <w:pPr>
        <w:spacing w:after="0" w:line="22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AGC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During 2024, the Company and AGC reached an agreement to renew the Master Service Agreement (MSA) originally signed in March 2019. Initially, the same agreement was temporarily extended until June 2025 to allow for a better definition of the scope and terms of the new MSA, which was signed with effect from December 24, 2024.</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new MSA was an open-ended agreement with no specific expiration date, as its term is tied to the completion of any service phase, or work statement (“WS”), starting with WS01.</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services provided by AGC included activities of manufacturing, testing, and release of Cell Therapy Drug Product using an Exclusive GMP Suite (“EGS”) and a dedicated team (“EGS Team”). The services are remunerated through monthly fees that primarily cover the costs of the suite and the dedicated team, in addition to direct production costs for materials and other accessories if applicable. AGC retains control over both the logistical and organizational aspects of the services, as well as the operational aspects related to the hiring, training, and coordination of personnel. AGC also remains solely responsible for fulfilling any remuneration and social security obligations toward its personnel.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84" w:name="page185"/>
    <w:bookmarkEnd w:id="184"/>
    <w:p>
      <w:pPr>
        <w:ind w:left="640"/>
        <w:spacing w:after="0"/>
        <w:rPr>
          <w:sz w:val="20"/>
          <w:szCs w:val="20"/>
          <w:color w:val="auto"/>
        </w:rPr>
      </w:pPr>
      <w:r>
        <w:rPr>
          <w:rFonts w:ascii="Times New Roman" w:cs="Times New Roman" w:eastAsia="Times New Roman" w:hAnsi="Times New Roman"/>
          <w:sz w:val="18"/>
          <w:szCs w:val="18"/>
          <w:color w:val="auto"/>
        </w:rPr>
        <w:t>WS01 included two main phases:</w:t>
      </w:r>
    </w:p>
    <w:p>
      <w:pPr>
        <w:spacing w:after="0" w:line="220" w:lineRule="exact"/>
        <w:rPr>
          <w:sz w:val="20"/>
          <w:szCs w:val="20"/>
          <w:color w:val="auto"/>
        </w:rPr>
      </w:pPr>
    </w:p>
    <w:p>
      <w:pPr>
        <w:ind w:left="640" w:hanging="313"/>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Ramp-Up Phase with an estimated duration of 6 months, starting on February 1, 2025 (start of activities) and ending on August 1, 2025.</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Routine Phase, which began on the first day of the subsequent month after the completion of the Ramp-Up Phase (specifically, after the receipt of authorization from the Regulatory Agency (“AIFA”) to use the Exclusive Suite and the successful completion of the training of personnel assigned to the dedicated team).</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The Company had the right to terminate this schedule or work statement by providing twelve (12) months’ prior written notice to AGC. However, such notice could not be issued before the sixth (6th) month anniversary of the Ramp-Up Phase commencement date (for clarity, the notice was not to be sent before August 1, 2025).</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As a result of these contractual provisions, as of December 31, 2024, the Company had a commitment of approximately €3.5 million, and since the agreement was signed in December 2024, the commencement date of this agreement was February 2025. The Company is determining if the agreement qualifies as an operating lease under ASC 842.</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On July 1, 2025, AGC and the Company signed the Second Amendment to their original MSA dated 2019, effective on June 30, 2025, to further extend the term of the original MSA, until September 30, 2025, including the possibility of further extension upon mutual written agreement.</w:t>
      </w:r>
    </w:p>
    <w:p>
      <w:pPr>
        <w:spacing w:after="0" w:line="16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August 1, 2025, the Company issued a formal written notice of termination of Work Statement No. 01 dated December 24, 2024, pursuant to Section 4.1 of the MSA dated December 2024. This notice commenced the twelve-month prior notice period ending on July 31, 2026 (the “Termination Date”), during which AGC will continue to issue quarterly invoices in accordance with the MSA, and the Company will remain responsible for all payment obligations relating to the Exclusive GMP Suite (EGS) and the EGS Team, as specified in Section 3 of Schedule 1A of the Second Amendment to the MSA, until the Termination Date.</w:t>
      </w:r>
    </w:p>
    <w:p>
      <w:pPr>
        <w:spacing w:after="0" w:line="18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August 27, 2025, the Company received formal notification from AGC, referencing Work Statement 1 dated December 24, 2024, confirming that the Ramp-up phase—which began on February 1, 2025—had been successfully completed. AGC stated that both contractual conditions had been met: the Authorization from AIFA to use the Exclusive Suite was received on July 3, 2025, and the training of the personnel assigned to the Dedicated Team had been finalized. Consequently, the Routine Phase commenced on September 1, 2025.</w:t>
      </w:r>
    </w:p>
    <w:p>
      <w:pPr>
        <w:spacing w:after="0" w:line="18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September 24, 2025, the Company filed a civil action before the Court of Milan against AGC Biologics S.p.A., seeking a declaratory judgment of nullity and/or termination, with retroactive effect, of the Master Service Agreement and related amendments executed on December 24, 2024. The claim is based on the failure of an essential underlying assumption—the availability of a minimum number of patients required to initiate and sustain clinical production activities. As a result, the Company believes that the manufacturing agreement with AGC is no longer operative; however, the Company has proposed to continue working with AGC based on the availability of production slots, as in the previous agreement.</w:t>
      </w:r>
    </w:p>
    <w:p>
      <w:pPr>
        <w:spacing w:after="0" w:line="1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proceedings are ongoing, the first hearing was on March 11, 2026, and the next hearing is scheduled for June 3, 2026. (See Note 19. Subsequent events for more details).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operating leases</w:t>
      </w:r>
    </w:p>
    <w:p>
      <w:pPr>
        <w:spacing w:after="0" w:line="22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On December 1, 2019, the Company began a six-year non-cancelable (and renewable for further six (6) years until December 1, 2031) lease agreement for office space with OSR. Withdrawal is allowed from the fourth year with a notice of 12 months. As of December 31, 2025, neither party had communicated any termination of the lease agreement, which is therefore considered renewed until December 2031. On February 5, 2026, the Company provided formal written notice of termination of the lease agreement and expressed its willingness to vacate the premises earlier than the contractual expiration date. As of the date of issuance of these financial statements, the Company is awaiting confirmation from OSR regarding the effective termination date and any related financial implications.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Since the annual rent amounts to approximately €16,000, at December 31, 2025, outstanding minimum payments amount to approximately €16,000.</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AGC Biologics S.p.A</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In September 2025, the Company filed a civil action before the Court of Milan against AGC Biologics S.p.A., seeking a declaratory judgment of nullity and/or termination, with retroactive effect, of the Master Service Agreement and related amendments executed on December 24, 2024. The claim is based on the failure of an essential underlying assumption - the availability of a minimum number of patients required to initiate and sustain clinical production activities. As a result, the Company believes that the manufacturing agreement with AGC is no longer operative; however, the Company has proposed to continue working with AGC based on the availability of production slots, as in the previous agreement.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AGC has asserted claims for alleged unpaid amounts arising under the Amendment and related services, including:</w:t>
      </w:r>
    </w:p>
    <w:p>
      <w:pPr>
        <w:spacing w:after="0" w:line="220" w:lineRule="exact"/>
        <w:rPr>
          <w:sz w:val="20"/>
          <w:szCs w:val="20"/>
          <w:color w:val="auto"/>
        </w:rPr>
      </w:pPr>
    </w:p>
    <w:p>
      <w:pPr>
        <w:ind w:left="640" w:hanging="313"/>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€1,554,484 claimed in initial proceedings;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invoiced amounts of €2,402,385, including invoice no. 26VIT00003 dated January 29, 2026 for €847,901.</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parties additionally filed their respective third briefs pursuant to Article 171-ter of the Italian Code of Civil Procedure: AGC on February 25, 2026 (Third Brief – AGC v. Genenta), and the Company on February 27, 2026 (Memoria ex art. 171-ter, no. 3 c.p.c.).</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summary, through their respective third briefs, the parties have consolidated their opposing positions: AGC attributes responsibility for the failed patient enrollment to the Company and defends the full validity of the contract and its credit claim, while the Company challenges the very effectiveness of the contractual title, maintains the essential nature of the minimum patient presupposition, and asserts that any breach and resulting damages are attributable to AGC.</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proceedings are ongoing, the first hearing was on March 11, 2026, and the next hearing is scheduled for June 3, 2026. (See Note 19. Subsequent events for more details.)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A.T.C. Acquisition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January 24, 2026, as part of the Company’s strategic transformation, the Company entered into an investment agreement (the “Investment Agreement”) with A.T.C. S.r.l. (“A.T.C.”), a privately held Italian manufacturer of high-precision tactical rifles, special-forces weapon systems, and competition-grade sporting firearms.</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Pursuant to the Investment Agreement, on January 26, 2026, the Company acquired an initial 19.5% equity interest in A.T.C. for €1.3 million, with the opportunity to increase its ownership to up to 51% through multiple closings for an aggregate consideration of €5.1 million. The completion of additional equity acquisitions is subject to A.T.C. achieving specified turnover and EBITDA performance milestones and maintaining the licences required under Italian law to conduct its business activities.</w:t>
      </w:r>
    </w:p>
    <w:p>
      <w:pPr>
        <w:spacing w:after="0" w:line="181"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Investment Agreement also provides the Company with a put option, pursuant to which the Company may require A.T.C.’s existing shareholders to repurchase the Company’s entire equity interest if (i) A.T.C.’s required licences are revoked or suspended for a period of at least two months, or (ii) A.T.C. achieves less than 30% of the applicable turnover and EBITDA performance milestones. The consideration payable upon exercise of the put option would equal the Company’s total investment at the time of exercise.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Agreement with Fondazione Praexidia</w:t>
      </w:r>
    </w:p>
    <w:p>
      <w:pPr>
        <w:spacing w:after="0" w:line="224" w:lineRule="exact"/>
        <w:rPr>
          <w:sz w:val="20"/>
          <w:szCs w:val="20"/>
          <w:color w:val="auto"/>
        </w:rPr>
      </w:pPr>
    </w:p>
    <w:p>
      <w:pPr>
        <w:jc w:val="both"/>
        <w:ind w:firstLine="379"/>
        <w:spacing w:after="0" w:line="262" w:lineRule="auto"/>
        <w:rPr>
          <w:sz w:val="20"/>
          <w:szCs w:val="20"/>
          <w:color w:val="auto"/>
        </w:rPr>
      </w:pPr>
      <w:r>
        <w:rPr>
          <w:rFonts w:ascii="Times New Roman" w:cs="Times New Roman" w:eastAsia="Times New Roman" w:hAnsi="Times New Roman"/>
          <w:sz w:val="18"/>
          <w:szCs w:val="18"/>
          <w:color w:val="auto"/>
        </w:rPr>
        <w:t>On January 25, 2026, the Company entered into a shareholders’ agreement (the “SHA”) with Pierluigi Paracchi, the Company’s Chief Executive Officer, Chairman of the Board of Directors (the “Board”), General Manager, and co-founder, and Fondazione Praexidia (the “Foundation”). Prior to entering into the SHA, Mr. Pierluigi Paracchi donated 3,000 American Depositary Shares of the Company to the Foundation.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86" w:name="page187"/>
    <w:bookmarkEnd w:id="186"/>
    <w:p>
      <w:pPr>
        <w:jc w:val="both"/>
        <w:ind w:firstLine="631"/>
        <w:spacing w:after="0" w:line="262" w:lineRule="auto"/>
        <w:rPr>
          <w:sz w:val="20"/>
          <w:szCs w:val="20"/>
          <w:color w:val="auto"/>
        </w:rPr>
      </w:pPr>
      <w:r>
        <w:rPr>
          <w:rFonts w:ascii="Times New Roman" w:cs="Times New Roman" w:eastAsia="Times New Roman" w:hAnsi="Times New Roman"/>
          <w:sz w:val="18"/>
          <w:szCs w:val="18"/>
          <w:color w:val="auto"/>
        </w:rPr>
        <w:t>The Foundation is an Italian private foundation that brings together senior figures from Italian government institutions, the defense industry, and the armed forces. The SHA has an initial term of five years and is automatically renewable for additional five-year periods, unless terminated by either party with at least one month’s prior written notice.</w:t>
      </w:r>
    </w:p>
    <w:p>
      <w:pPr>
        <w:spacing w:after="0" w:line="176" w:lineRule="exact"/>
        <w:rPr>
          <w:sz w:val="20"/>
          <w:szCs w:val="20"/>
          <w:color w:val="auto"/>
        </w:rPr>
      </w:pPr>
    </w:p>
    <w:p>
      <w:pPr>
        <w:jc w:val="both"/>
        <w:ind w:firstLine="631"/>
        <w:spacing w:after="0" w:line="254" w:lineRule="auto"/>
        <w:rPr>
          <w:sz w:val="20"/>
          <w:szCs w:val="20"/>
          <w:color w:val="auto"/>
        </w:rPr>
      </w:pPr>
      <w:r>
        <w:rPr>
          <w:rFonts w:ascii="Times New Roman" w:cs="Times New Roman" w:eastAsia="Times New Roman" w:hAnsi="Times New Roman"/>
          <w:sz w:val="18"/>
          <w:szCs w:val="18"/>
          <w:color w:val="auto"/>
        </w:rPr>
        <w:t>The SHA provides for mutual commitments and consultation procedures between the Foundation and Mr. Pierluigi Paracchi in connection with transactions subject to the Italian Golden Power regime (the “Significant Transactions”). In the event that a Significant Transaction is included on the agenda of a Board meeting, Mr. Pierluigi Paracchi is required to inform the Foundation, which may provide a non-binding opinion to the Board. Mr. Pierluigi Paracchi will ensure that any such opinion is presented to the Board; however, both the Board and Mr. Pierluigi Paracchi retain full discretion in their respective deliberations, resolutions and votes.</w:t>
      </w:r>
    </w:p>
    <w:p>
      <w:pPr>
        <w:spacing w:after="0" w:line="186"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8"/>
          <w:szCs w:val="18"/>
          <w:color w:val="auto"/>
        </w:rPr>
        <w:t>If a Significant Transaction is subject to approval at a shareholders’ meeting, Mr. Pierluigi Paracchi and the Foundation will consult with the aim, but not the obligation, of determining common voting indications. In the absence of a common position, each party may vote independently. The SHA does not grant the Foundation any management or decision-making authority over the Company.</w:t>
      </w:r>
    </w:p>
    <w:p>
      <w:pPr>
        <w:spacing w:after="0" w:line="176" w:lineRule="exact"/>
        <w:rPr>
          <w:sz w:val="20"/>
          <w:szCs w:val="20"/>
          <w:color w:val="auto"/>
        </w:rPr>
      </w:pPr>
    </w:p>
    <w:p>
      <w:pPr>
        <w:jc w:val="both"/>
        <w:ind w:firstLine="631"/>
        <w:spacing w:after="0" w:line="257" w:lineRule="auto"/>
        <w:rPr>
          <w:sz w:val="20"/>
          <w:szCs w:val="20"/>
          <w:color w:val="auto"/>
        </w:rPr>
      </w:pPr>
      <w:r>
        <w:rPr>
          <w:rFonts w:ascii="Times New Roman" w:cs="Times New Roman" w:eastAsia="Times New Roman" w:hAnsi="Times New Roman"/>
          <w:sz w:val="18"/>
          <w:szCs w:val="18"/>
          <w:color w:val="auto"/>
        </w:rPr>
        <w:t>The SHA also includes a lock-up in respect of the shares held by Mr. Pierluigi Paracchi and the Foundation, subject to certain customary exceptions, including transfers to affiliates (provided such affiliates adhere to the SHA), transfers required by law, and transfers in connection with a public tender offer for a majority of the Company’s share capital. Mr. Paracchi is also permitted to transfer any shares held in excess of the number required to maintain majority voting power at the Company’s shareholders’ meetings.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Enea Tech Biomedical (“ETB”)</w:t>
      </w:r>
    </w:p>
    <w:p>
      <w:pPr>
        <w:spacing w:after="0" w:line="224"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8"/>
          <w:szCs w:val="18"/>
          <w:color w:val="auto"/>
        </w:rPr>
        <w:t>On January 27, 2026, the Company initiated legal proceedings before the Court of Milan against Fondazione Enea Tech Biomedical (“ETB”), with which the Company entered into a €20 million convertible bond loan agreement in March 2025 (the “Agreement”). To date, the Company has received €7.5 million under the Agreement.</w:t>
      </w:r>
    </w:p>
    <w:p>
      <w:pPr>
        <w:spacing w:after="0" w:line="176" w:lineRule="exact"/>
        <w:rPr>
          <w:sz w:val="20"/>
          <w:szCs w:val="20"/>
          <w:color w:val="auto"/>
        </w:rPr>
      </w:pPr>
    </w:p>
    <w:p>
      <w:pPr>
        <w:jc w:val="both"/>
        <w:ind w:firstLine="631"/>
        <w:spacing w:after="0" w:line="262" w:lineRule="auto"/>
        <w:rPr>
          <w:sz w:val="20"/>
          <w:szCs w:val="20"/>
          <w:color w:val="auto"/>
        </w:rPr>
      </w:pPr>
      <w:r>
        <w:rPr>
          <w:rFonts w:ascii="Times New Roman" w:cs="Times New Roman" w:eastAsia="Times New Roman" w:hAnsi="Times New Roman"/>
          <w:sz w:val="18"/>
          <w:szCs w:val="18"/>
          <w:color w:val="auto"/>
        </w:rPr>
        <w:t>The proceedings seek, among other things, a declaration that the Agreement is null and void and the recovery of damages. The Company’s claim is based on its assertion that ETB, following a memorandum of understanding entered into in 2022 and subsequent delays in executing the Agreement through two separate term sheets, modified the amount, number of instalments, and certain other terms of the financing before its execution in March 2025.</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outcome of the proceedings cannot be predicted at this time, and no assurance can be given as to the ultimate resolution of this matter.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Proceeds from ATM</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January 28, 2026, the Company issued 158,837 ADSs through its ATM program pursuant to the existing sales agreement with Rodman &amp; Renshaw and Virtu Capital, generating gross proceeds of approximately €277,047 (or $330,857). Following this transaction, the total number of the Company’s outstanding ordinary shares increased to 23,591,020.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Operating Lease</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In February 2026, the Company provided formal notice of termination of its office lease agreement with OSR. The Company is currently awaiting OSR’s response regarding the effective termination date that in any case cannot exceed 12 months. The financial impact, if any, will be assessed once an agreement between the parties is finalized.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i w:val="1"/>
          <w:iCs w:val="1"/>
          <w:color w:val="auto"/>
        </w:rPr>
        <w:t>AGC Biologics</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March 11, 2026, the parties appeared before the Court and reiterated their respective arguments and objections, in particular regarding the application under art. 186-ter c.p.c. and the admissibility of claims and documents. The case, considered mainly documentary in nature, was not taken under advisement. The Court adjourned the proceedings to the hearing of June 3,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Claim</w:t>
      </w:r>
    </w:p>
    <w:p>
      <w:pPr>
        <w:spacing w:after="0" w:line="22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On March 18, 2026, the Company was served with an Italian statement of claim (“atto di citazione”) filed before the Tribunal of Milan by certain minority shareholders. The statement of claim challenges the validity of the May 2, 2024 shareholders’ resolution related to the Company’s loyalty share program that provided multiple votes per share depending on the amount of time an ordinary shareholder has held their shares (up to a maximum of 10 votes per share for ordinary shareholder that have held their shares for 10 years), and the October 29, 2025 shareholders’ resolution expanding the corporate purpose to allow Genenta to explore Golden Powers sectors. According to Italian civil procedure law, the Company must file its response by May 15, 2026. Although the Company does not believe these claims hold any merit, the outcome of the proceedings cannot be predicted at this time, and no assurance can be given as to the ultimate resolution of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Sophia HT S.r.l. acquisition binding offer</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On March 23, 2026, the Company entered into a binding offer with Sophia High Tech S.r.l., structured as a phased minority-to-control transaction. The total potential consideration amounts to up to €6.0 million, including primary capital increases, a minor secondary purchase from the founders, and a performance-based earn-out.</w:t>
      </w:r>
    </w:p>
    <w:p>
      <w:pPr>
        <w:spacing w:after="0" w:line="176"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The transaction is structured in two phases. At the initial closing, the Company will subscribe to a capital increase of up to €3.25 million, resulting in an equity interest of approximately 30%, secondary acquisition from the founders. A second tranche of up to €1.95 million is contemplated, subject to the achievement of an EBITDA target for FY2026 (with flexibility retained by the investor), which would increase the Company’s ownership to 51%, thereby granting control.</w:t>
      </w:r>
    </w:p>
    <w:p>
      <w:pPr>
        <w:spacing w:after="0" w:line="18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agreement also includes an earn-out component of up to €0.5 million payable to the founders, aimed at aligning incentives and bridging valuation expectations.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This transaction represents a structured growth investment designed to strengthen Sophia High Tech’s capital base, while enabling a progressive transfer of control and aligning the interests of the founders and the investor.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Extraordinary Shareholders’ Meeting</w:t>
      </w:r>
    </w:p>
    <w:p>
      <w:pPr>
        <w:spacing w:after="0" w:line="224" w:lineRule="exact"/>
        <w:rPr>
          <w:sz w:val="20"/>
          <w:szCs w:val="20"/>
          <w:color w:val="auto"/>
        </w:rPr>
      </w:pPr>
    </w:p>
    <w:p>
      <w:pPr>
        <w:jc w:val="both"/>
        <w:ind w:firstLine="628"/>
        <w:spacing w:after="0" w:line="253" w:lineRule="auto"/>
        <w:rPr>
          <w:sz w:val="20"/>
          <w:szCs w:val="20"/>
          <w:color w:val="auto"/>
        </w:rPr>
      </w:pPr>
      <w:r>
        <w:rPr>
          <w:rFonts w:ascii="Times New Roman" w:cs="Times New Roman" w:eastAsia="Times New Roman" w:hAnsi="Times New Roman"/>
          <w:sz w:val="18"/>
          <w:szCs w:val="18"/>
          <w:color w:val="auto"/>
        </w:rPr>
        <w:t>On March 23, 2026, the Company issued a notice of revocation announcing that its Board of Directors had resolved to revoke the call of the Extraordinary Shareholders’ Meeting (the “Meeting”), which had been scheduled to be held on March 25, 2026, on first call, and, if necessary, on March 26, 2026, on second call, and that the Meeting was cancelled. The Meeting had originally been called to seek shareholder approval of a proposed change to the Company’s corporate name. Following further evaluation, the Company concluded that its current corporate name, “Genenta,” continues to maintain significant recognition and association with the Company’s business. In addition, the initiatives underlying the proposed corporate name change remain at an early stage of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OSR - ARLA – Development Obligations and Contractual Remedies</w:t>
      </w:r>
    </w:p>
    <w:p>
      <w:pPr>
        <w:spacing w:after="0" w:line="22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On April 20, 2026, the first relevant contractual milestone under the Amended and Restated License Agreement (“ARLA”) between the Company and Ospedale San Raffaele, will occur, relating to the assessment of compliance with the minimum development obligations outlined in the agreement. Under the ARLA, failure to meet such obligations may entitle OSR to exercise contractual remedies, including termination of the agreement or conversion of the license from exclusive to non-exclusive. As of the date of approval of the financial statements, assessments regarding the fulfillment of such obligations and discussions with the counterparty are ongoing, and no final determinations have been made.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(Principal Executive Officer) pursuant to Rule 13a-14(a) of the Securities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as amended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Pierluigi Paracchi, certify that:</w:t>
      </w:r>
    </w:p>
    <w:p>
      <w:pPr>
        <w:spacing w:after="0" w:line="220" w:lineRule="exact"/>
        <w:rPr>
          <w:sz w:val="20"/>
          <w:szCs w:val="20"/>
          <w:color w:val="auto"/>
        </w:rPr>
      </w:pPr>
    </w:p>
    <w:p>
      <w:pPr>
        <w:ind w:left="180" w:hanging="173"/>
        <w:spacing w:after="0"/>
        <w:tabs>
          <w:tab w:leader="none" w:pos="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Genenta Science S.p.A. (the “Company”);</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20" w:firstLine="7"/>
        <w:spacing w:after="0" w:line="277" w:lineRule="auto"/>
        <w:tabs>
          <w:tab w:leader="none" w:pos="2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7"/>
        <w:spacing w:after="0" w:line="262" w:lineRule="auto"/>
        <w:tabs>
          <w:tab w:leader="none" w:pos="20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rFonts w:ascii="Times New Roman" w:cs="Times New Roman" w:eastAsia="Times New Roman" w:hAnsi="Times New Roman"/>
          <w:sz w:val="18"/>
          <w:szCs w:val="18"/>
          <w:color w:val="auto"/>
        </w:rPr>
      </w:pPr>
    </w:p>
    <w:p>
      <w:pPr>
        <w:jc w:val="both"/>
        <w:ind w:left="640" w:firstLine="7"/>
        <w:spacing w:after="0" w:line="262" w:lineRule="auto"/>
        <w:tabs>
          <w:tab w:leader="none" w:pos="82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40" w:firstLine="7"/>
        <w:spacing w:after="0" w:line="262" w:lineRule="auto"/>
        <w:tabs>
          <w:tab w:leader="none" w:pos="85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40" w:firstLine="7"/>
        <w:spacing w:after="0" w:line="277" w:lineRule="auto"/>
        <w:tabs>
          <w:tab w:leader="none" w:pos="85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640" w:firstLine="7"/>
        <w:spacing w:after="0" w:line="262" w:lineRule="auto"/>
        <w:tabs>
          <w:tab w:leader="none" w:pos="83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firstLine="7"/>
        <w:spacing w:after="0" w:line="262" w:lineRule="auto"/>
        <w:tabs>
          <w:tab w:leader="none" w:pos="19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640" w:firstLine="7"/>
        <w:spacing w:after="0" w:line="277" w:lineRule="auto"/>
        <w:tabs>
          <w:tab w:leader="none" w:pos="81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40" w:firstLine="7"/>
        <w:spacing w:after="0" w:line="277" w:lineRule="auto"/>
        <w:tabs>
          <w:tab w:leader="none" w:pos="81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21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17145</wp:posOffset>
            </wp:positionV>
            <wp:extent cx="32029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Pierluigi Paracchi</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Financial Officer (Principal Financial Officer) pursuant to Rule 13a-14(a) of the Securities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as amended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B. Slansky, certify that:</w:t>
      </w:r>
    </w:p>
    <w:p>
      <w:pPr>
        <w:spacing w:after="0" w:line="220" w:lineRule="exact"/>
        <w:rPr>
          <w:sz w:val="20"/>
          <w:szCs w:val="20"/>
          <w:color w:val="auto"/>
        </w:rPr>
      </w:pPr>
    </w:p>
    <w:p>
      <w:pPr>
        <w:ind w:left="180" w:hanging="173"/>
        <w:spacing w:after="0"/>
        <w:tabs>
          <w:tab w:leader="none" w:pos="1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Genenta Science S.p.A. (the “Company”);</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20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right="20" w:firstLine="7"/>
        <w:spacing w:after="0" w:line="277" w:lineRule="auto"/>
        <w:tabs>
          <w:tab w:leader="none" w:pos="20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7"/>
        <w:spacing w:after="0" w:line="262" w:lineRule="auto"/>
        <w:tabs>
          <w:tab w:leader="none" w:pos="2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rFonts w:ascii="Times New Roman" w:cs="Times New Roman" w:eastAsia="Times New Roman" w:hAnsi="Times New Roman"/>
          <w:sz w:val="18"/>
          <w:szCs w:val="18"/>
          <w:color w:val="auto"/>
        </w:rPr>
      </w:pPr>
    </w:p>
    <w:p>
      <w:pPr>
        <w:jc w:val="both"/>
        <w:ind w:left="640" w:firstLine="7"/>
        <w:spacing w:after="0" w:line="262" w:lineRule="auto"/>
        <w:tabs>
          <w:tab w:leader="none" w:pos="82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40" w:firstLine="7"/>
        <w:spacing w:after="0" w:line="262" w:lineRule="auto"/>
        <w:tabs>
          <w:tab w:leader="none" w:pos="85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40" w:firstLine="7"/>
        <w:spacing w:after="0" w:line="277" w:lineRule="auto"/>
        <w:tabs>
          <w:tab w:leader="none" w:pos="85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640" w:firstLine="7"/>
        <w:spacing w:after="0" w:line="262" w:lineRule="auto"/>
        <w:tabs>
          <w:tab w:leader="none" w:pos="83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76" w:lineRule="exact"/>
        <w:rPr>
          <w:rFonts w:ascii="Times New Roman" w:cs="Times New Roman" w:eastAsia="Times New Roman" w:hAnsi="Times New Roman"/>
          <w:sz w:val="18"/>
          <w:szCs w:val="18"/>
          <w:color w:val="auto"/>
        </w:rPr>
      </w:pPr>
    </w:p>
    <w:p>
      <w:pPr>
        <w:jc w:val="both"/>
        <w:ind w:firstLine="14"/>
        <w:spacing w:after="0" w:line="262" w:lineRule="auto"/>
        <w:tabs>
          <w:tab w:leader="none" w:pos="19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640" w:firstLine="7"/>
        <w:spacing w:after="0" w:line="277" w:lineRule="auto"/>
        <w:tabs>
          <w:tab w:leader="none" w:pos="81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640" w:firstLine="7"/>
        <w:spacing w:after="0" w:line="277" w:lineRule="auto"/>
        <w:tabs>
          <w:tab w:leader="none" w:pos="81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21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Richard B.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17145</wp:posOffset>
            </wp:positionV>
            <wp:extent cx="32029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B. Slansky</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90" w:name="page191"/>
    <w:bookmarkEnd w:id="190"/>
    <w:p>
      <w:pPr>
        <w:ind w:left="10320"/>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31"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and Chief Financial Officer pursuant to 18 U.S.C. 1350, as adopted pursuant to Section 906 of the Sarbanes-Oxley Act of 2002</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U.S.C. Section 1350 of the Sarbanes-Oxley Act of 2002 (subsections (a) and (b) of Section 1350, Chapter 63 of Title 18, United States Code), as adopted pursuant to Section 906 of the Sarbanes-Oxley Act of 2002, each of the undersigned officers of Genenta Science S.p.A. (the “Company”), does hereby certify, to such officer’s knowledge, that:</w:t>
      </w:r>
    </w:p>
    <w:p>
      <w:pPr>
        <w:spacing w:after="0" w:line="176" w:lineRule="exact"/>
        <w:rPr>
          <w:sz w:val="20"/>
          <w:szCs w:val="20"/>
          <w:color w:val="auto"/>
        </w:rPr>
      </w:pPr>
    </w:p>
    <w:p>
      <w:pPr>
        <w:ind w:left="640" w:hanging="313"/>
        <w:spacing w:after="0" w:line="277" w:lineRule="auto"/>
        <w:tabs>
          <w:tab w:leader="none" w:pos="6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20-F for the year ended December 31, 2025 of the Company (the “Annual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80" w:type="dxa"/>
            <w:vAlign w:val="bottom"/>
          </w:tcPr>
          <w:p>
            <w:pPr>
              <w:spacing w:after="0"/>
              <w:rPr>
                <w:sz w:val="20"/>
                <w:szCs w:val="20"/>
                <w:color w:val="auto"/>
              </w:rPr>
            </w:pP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GENENTA SCIENCE S.P.A.</w:t>
            </w:r>
          </w:p>
        </w:tc>
      </w:tr>
      <w:tr>
        <w:trPr>
          <w:trHeight w:val="4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Pierluigi Paracchi</w:t>
            </w:r>
          </w:p>
        </w:tc>
      </w:tr>
      <w:tr>
        <w:trPr>
          <w:trHeight w:val="188"/>
        </w:trPr>
        <w:tc>
          <w:tcPr>
            <w:tcW w:w="3380" w:type="dxa"/>
            <w:vAlign w:val="bottom"/>
          </w:tcPr>
          <w:p>
            <w:pPr>
              <w:spacing w:after="0"/>
              <w:rPr>
                <w:sz w:val="16"/>
                <w:szCs w:val="16"/>
                <w:color w:val="auto"/>
              </w:rPr>
            </w:pPr>
          </w:p>
        </w:tc>
        <w:tc>
          <w:tcPr>
            <w:tcW w:w="2820" w:type="dxa"/>
            <w:vAlign w:val="bottom"/>
          </w:tcPr>
          <w:p>
            <w:pPr>
              <w:ind w:left="226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Pierluigi Paracchi</w:t>
            </w:r>
          </w:p>
        </w:tc>
      </w:tr>
      <w:tr>
        <w:trPr>
          <w:trHeight w:val="213"/>
        </w:trPr>
        <w:tc>
          <w:tcPr>
            <w:tcW w:w="3380" w:type="dxa"/>
            <w:vAlign w:val="bottom"/>
          </w:tcPr>
          <w:p>
            <w:pPr>
              <w:spacing w:after="0"/>
              <w:rPr>
                <w:sz w:val="18"/>
                <w:szCs w:val="18"/>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2"/>
        </w:trPr>
        <w:tc>
          <w:tcPr>
            <w:tcW w:w="3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Richard B. Slansky</w:t>
            </w:r>
          </w:p>
        </w:tc>
      </w:tr>
      <w:tr>
        <w:trPr>
          <w:trHeight w:val="188"/>
        </w:trPr>
        <w:tc>
          <w:tcPr>
            <w:tcW w:w="3380" w:type="dxa"/>
            <w:vAlign w:val="bottom"/>
          </w:tcPr>
          <w:p>
            <w:pPr>
              <w:spacing w:after="0"/>
              <w:rPr>
                <w:sz w:val="16"/>
                <w:szCs w:val="16"/>
                <w:color w:val="auto"/>
              </w:rPr>
            </w:pPr>
          </w:p>
        </w:tc>
        <w:tc>
          <w:tcPr>
            <w:tcW w:w="2820" w:type="dxa"/>
            <w:vAlign w:val="bottom"/>
          </w:tcPr>
          <w:p>
            <w:pPr>
              <w:ind w:left="226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Richard B. Slansky</w:t>
            </w:r>
          </w:p>
        </w:tc>
      </w:tr>
      <w:tr>
        <w:trPr>
          <w:trHeight w:val="213"/>
        </w:trPr>
        <w:tc>
          <w:tcPr>
            <w:tcW w:w="3380" w:type="dxa"/>
            <w:vAlign w:val="bottom"/>
          </w:tcPr>
          <w:p>
            <w:pPr>
              <w:spacing w:after="0"/>
              <w:rPr>
                <w:sz w:val="18"/>
                <w:szCs w:val="18"/>
                <w:color w:val="auto"/>
              </w:rPr>
            </w:pP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3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26"/>
        </w:trPr>
        <w:tc>
          <w:tcPr>
            <w:tcW w:w="3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7200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1964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auto"/>
        </w:rPr>
        <w:t>March 31, 2026</w:t>
      </w:r>
    </w:p>
    <w:p>
      <w:pPr>
        <w:spacing w:after="0" w:line="23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F-3 (No. 333-271901) and in the Registration Statement on Form S-8 (No. 333-278392) of our report dated March 31, 2026, with respect to the consolidated financial statements of Genenta Science S.p.A included in this Form 20-F of Genenta Science S.p.A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123190</wp:posOffset>
            </wp:positionV>
            <wp:extent cx="2050415" cy="4578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2050415"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Dannible &amp; McKee, LLP</w:t>
      </w:r>
    </w:p>
    <w:p>
      <w:pPr>
        <w:spacing w:after="0" w:line="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Syracuse,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723900</wp:posOffset>
            </wp:positionV>
            <wp:extent cx="71342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2266315</wp:posOffset>
            </wp:positionH>
            <wp:positionV relativeFrom="paragraph">
              <wp:posOffset>139065</wp:posOffset>
            </wp:positionV>
            <wp:extent cx="2618105" cy="313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2618105" cy="313690"/>
                    </a:xfrm>
                    <a:prstGeom prst="rect">
                      <a:avLst/>
                    </a:prstGeom>
                    <a:noFill/>
                  </pic:spPr>
                </pic:pic>
              </a:graphicData>
            </a:graphic>
          </wp:anchor>
        </w:drawing>
      </w:r>
    </w:p>
    <w:sectPr>
      <w:pgSz w:w="11900" w:h="16838" w:orient="portrait"/>
      <w:cols w:equalWidth="0" w:num="1">
        <w:col w:w="11240"/>
      </w:cols>
      <w:pgMar w:left="320" w:top="3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1."/>
      <w:numFmt w:val="upperLetter"/>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decimal"/>
      <w:start w:val="1"/>
    </w:lvl>
  </w:abstractNum>
  <w:abstractNum w:abstractNumId="52">
    <w:nsid w:val="6A5EE64"/>
    <w:multiLevelType w:val="hybridMultilevel"/>
    <w:lvl w:ilvl="0">
      <w:lvlJc w:val="left"/>
      <w:lvlText w:val="(%1)"/>
      <w:numFmt w:val="lowerRoman"/>
      <w:start w:val="1"/>
    </w:lvl>
  </w:abstractNum>
  <w:abstractNum w:abstractNumId="53">
    <w:nsid w:val="14330624"/>
    <w:multiLevelType w:val="hybridMultilevel"/>
    <w:lvl w:ilvl="0">
      <w:lvlJc w:val="left"/>
      <w:lvlText w:val="(%1)"/>
      <w:numFmt w:val="lowerRoman"/>
      <w:start w:val="2"/>
    </w:lvl>
  </w:abstractNum>
  <w:abstractNum w:abstractNumId="54">
    <w:nsid w:val="7FFFCA11"/>
    <w:multiLevelType w:val="hybridMultilevel"/>
    <w:lvl w:ilvl="0">
      <w:lvlJc w:val="left"/>
      <w:lvlText w:val="%1)"/>
      <w:numFmt w:val="upperLetter"/>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1)"/>
      <w:numFmt w:val="lowerRoman"/>
      <w:start w:val="2"/>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1)"/>
      <w:numFmt w:val="decimal"/>
      <w:start w:val="1"/>
    </w:lvl>
  </w:abstractNum>
  <w:abstractNum w:abstractNumId="69">
    <w:nsid w:val="68EBC550"/>
    <w:multiLevelType w:val="hybridMultilevel"/>
    <w:lvl w:ilvl="0">
      <w:lvlJc w:val="left"/>
      <w:lvlText w:val="(%1)"/>
      <w:numFmt w:val="decimal"/>
      <w:start w:val="3"/>
    </w:lvl>
  </w:abstractNum>
  <w:abstractNum w:abstractNumId="70">
    <w:nsid w:val="2DF6D648"/>
    <w:multiLevelType w:val="hybridMultilevel"/>
    <w:lvl w:ilvl="0">
      <w:lvlJc w:val="left"/>
      <w:lvlText w:val="(%1)"/>
      <w:numFmt w:val="decimal"/>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1)"/>
      <w:numFmt w:val="decimal"/>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lvl w:ilvl="1">
      <w:lvlJc w:val="left"/>
      <w:lvlText w:val="(%2)"/>
      <w:numFmt w:val="lowerRoman"/>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1)"/>
      <w:numFmt w:val="decimal"/>
    </w:lvl>
    <w:lvl w:ilvl="1">
      <w:lvlJc w:val="left"/>
      <w:lvlText w:val="*"/>
      <w:numFmt w:val="bullet"/>
      <w:start w:val="1"/>
    </w:lvl>
  </w:abstractNum>
  <w:abstractNum w:abstractNumId="81">
    <w:nsid w:val="7055A5F5"/>
    <w:multiLevelType w:val="hybridMultilevel"/>
    <w:lvl w:ilvl="0">
      <w:lvlJc w:val="left"/>
      <w:lvlText w:val="%1)"/>
      <w:numFmt w:val="decimal"/>
      <w:start w:val="6"/>
    </w:lvl>
  </w:abstractNum>
  <w:abstractNum w:abstractNumId="82">
    <w:nsid w:val="5FB8370B"/>
    <w:multiLevelType w:val="hybridMultilevel"/>
    <w:lvl w:ilvl="0">
      <w:lvlJc w:val="left"/>
      <w:lvlText w:val="(%1)"/>
      <w:numFmt w:val="lowerLetter"/>
      <w:start w:val="1"/>
    </w:lvl>
  </w:abstractNum>
  <w:abstractNum w:abstractNumId="83">
    <w:nsid w:val="50801EE1"/>
    <w:multiLevelType w:val="hybridMultilevel"/>
    <w:lvl w:ilvl="0">
      <w:lvlJc w:val="left"/>
      <w:lvlText w:val="(%1)"/>
      <w:numFmt w:val="lowerLetter"/>
      <w:start w:val="1"/>
    </w:lvl>
  </w:abstractNum>
  <w:abstractNum w:abstractNumId="84">
    <w:nsid w:val="488AC1A"/>
    <w:multiLevelType w:val="hybridMultilevel"/>
    <w:lvl w:ilvl="0">
      <w:lvlJc w:val="left"/>
      <w:lvlText w:val="(%1)"/>
      <w:numFmt w:val="lowerRoman"/>
      <w:start w:val="2"/>
    </w:lvl>
  </w:abstractNum>
  <w:abstractNum w:abstractNumId="85">
    <w:nsid w:val="5FB8011C"/>
    <w:multiLevelType w:val="hybridMultilevel"/>
    <w:lvl w:ilvl="0">
      <w:lvlJc w:val="left"/>
      <w:lvlText w:val="(%1)"/>
      <w:numFmt w:val="lowerLetter"/>
      <w:start w:val="3"/>
    </w:lvl>
  </w:abstractNum>
  <w:abstractNum w:abstractNumId="86">
    <w:nsid w:val="6AA78F7F"/>
    <w:multiLevelType w:val="hybridMultilevel"/>
    <w:lvl w:ilvl="0">
      <w:lvlJc w:val="left"/>
      <w:lvlText w:val="●"/>
      <w:numFmt w:val="bullet"/>
      <w:start w:val="1"/>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
      <w:numFmt w:val="bullet"/>
      <w:start w:val="1"/>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
      <w:numFmt w:val="bullet"/>
      <w:start w:val="1"/>
    </w:lvl>
    <w:lvl w:ilvl="1">
      <w:lvlJc w:val="left"/>
      <w:lvlText w:val="○"/>
      <w:numFmt w:val="bullet"/>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1)"/>
      <w:numFmt w:val="decimal"/>
      <w:start w:val="1"/>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
      <w:numFmt w:val="bullet"/>
      <w:start w:val="1"/>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4"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jpeg"/><Relationship Id="rId194" Type="http://schemas.openxmlformats.org/officeDocument/2006/relationships/image" Target="media/image159.jpe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jpeg"/><Relationship Id="rId257" Type="http://schemas.openxmlformats.org/officeDocument/2006/relationships/image" Target="media/image222.jpeg"/><Relationship Id="rId258" Type="http://schemas.openxmlformats.org/officeDocument/2006/relationships/image" Target="media/image223.png"/><Relationship Id="rId259" Type="http://schemas.openxmlformats.org/officeDocument/2006/relationships/image" Target="media/image224.jpeg"/><Relationship Id="rId163" Type="http://schemas.openxmlformats.org/officeDocument/2006/relationships/hyperlink" Target="https://www.sec.gov/Archives/edgar/data/1838716/000164117225001207/ex2-4.htm" TargetMode="External"/><Relationship Id="rId165" Type="http://schemas.openxmlformats.org/officeDocument/2006/relationships/hyperlink" Target="https://www.sec.gov/Archives/edgar/data/1838716/000149315221027683/ex3-1.htm" TargetMode="External"/><Relationship Id="rId166" Type="http://schemas.openxmlformats.org/officeDocument/2006/relationships/hyperlink" Target="https://www.sec.gov/Archives/edgar/data/1838716/000149315223013272/ex3-2.htm" TargetMode="External"/><Relationship Id="rId167" Type="http://schemas.openxmlformats.org/officeDocument/2006/relationships/hyperlink" Target="https://www.sec.gov/Archives/edgar/data/1838716/000149315221027683/ex4-1.htm" TargetMode="External"/><Relationship Id="rId168" Type="http://schemas.openxmlformats.org/officeDocument/2006/relationships/hyperlink" Target="https://www.sec.gov/Archives/edgar/data/1838716/000149315222011671/ex4-3.htm" TargetMode="External"/><Relationship Id="rId169" Type="http://schemas.openxmlformats.org/officeDocument/2006/relationships/hyperlink" Target="https://www.sec.gov/Archives/edgar/data/1838716/000164117225001207/ex8-1.htm" TargetMode="External"/><Relationship Id="rId170" Type="http://schemas.openxmlformats.org/officeDocument/2006/relationships/hyperlink" Target="https://www.sec.gov/Archives/edgar/data/1838716/000149315223013272/ex10-17.htm" TargetMode="External"/><Relationship Id="rId171" Type="http://schemas.openxmlformats.org/officeDocument/2006/relationships/hyperlink" Target="https://www.sec.gov/Archives/edgar/data/1838716/000149315223037845/ex10-2.htm" TargetMode="External"/><Relationship Id="rId172" Type="http://schemas.openxmlformats.org/officeDocument/2006/relationships/hyperlink" Target="https://www.sec.gov/Archives/edgar/data/1838716/000149315223037845/ex10-1.htm" TargetMode="External"/><Relationship Id="rId173" Type="http://schemas.openxmlformats.org/officeDocument/2006/relationships/hyperlink" Target="https://www.sec.gov/Archives/edgar/data/1838716/000149315221027683/ex10-5.htm" TargetMode="External"/><Relationship Id="rId174" Type="http://schemas.openxmlformats.org/officeDocument/2006/relationships/hyperlink" Target="https://www.sec.gov/Archives/edgar/data/1838716/000149315221027683/ex10-6.htm" TargetMode="External"/><Relationship Id="rId175" Type="http://schemas.openxmlformats.org/officeDocument/2006/relationships/hyperlink" Target="https://www.sec.gov/Archives/edgar/data/1838716/000149315221027683/ex10-7.htm" TargetMode="External"/><Relationship Id="rId176" Type="http://schemas.openxmlformats.org/officeDocument/2006/relationships/hyperlink" Target="https://www.sec.gov/Archives/edgar/data/1838716/000149315221027683/ex10-8.htm" TargetMode="External"/><Relationship Id="rId177" Type="http://schemas.openxmlformats.org/officeDocument/2006/relationships/hyperlink" Target="https://www.sec.gov/Archives/edgar/data/1838716/000149315221027683/ex10-9.htm" TargetMode="External"/><Relationship Id="rId178" Type="http://schemas.openxmlformats.org/officeDocument/2006/relationships/hyperlink" Target="https://www.sec.gov/Archives/edgar/data/1838716/000149315221027683/ex10-11.htm" TargetMode="External"/><Relationship Id="rId179" Type="http://schemas.openxmlformats.org/officeDocument/2006/relationships/hyperlink" Target="https://www.sec.gov/Archives/edgar/data/1838716/000149315223003331/ex10-1.htm" TargetMode="External"/><Relationship Id="rId180" Type="http://schemas.openxmlformats.org/officeDocument/2006/relationships/hyperlink" Target="https://www.sec.gov/Archives/edgar/data/1838716/000149315224042886/ex10-1.htm" TargetMode="External"/><Relationship Id="rId181" Type="http://schemas.openxmlformats.org/officeDocument/2006/relationships/hyperlink" Target="https://www.sec.gov/Archives/edgar/data/1838716/000149315224042886/ex10-2.htm" TargetMode="External"/><Relationship Id="rId182" Type="http://schemas.openxmlformats.org/officeDocument/2006/relationships/hyperlink" Target="https://www.sec.gov/Archives/edgar/data/1838716/000149315224016787/ex1-1.htm" TargetMode="External"/><Relationship Id="rId183" Type="http://schemas.openxmlformats.org/officeDocument/2006/relationships/hyperlink" Target="https://www.sec.gov/Archives/edgar/data/1838716/000149315224051070/ex1-1.htm" TargetMode="External"/><Relationship Id="rId184" Type="http://schemas.openxmlformats.org/officeDocument/2006/relationships/hyperlink" Target="https://www.sec.gov/Archives/edgar/data/1838716/000149315224052474/ex10-1.htm" TargetMode="External"/><Relationship Id="rId185" Type="http://schemas.openxmlformats.org/officeDocument/2006/relationships/hyperlink" Target="https://www.sec.gov/Archives/edgar/data/1838716/000149315225010883/ex10-1.htm" TargetMode="External"/><Relationship Id="rId186" Type="http://schemas.openxmlformats.org/officeDocument/2006/relationships/hyperlink" Target="https://www.sec.gov/Archives/edgar/data/1838716/000149315225010883/ex10-2.htm" TargetMode="External"/><Relationship Id="rId187" Type="http://schemas.openxmlformats.org/officeDocument/2006/relationships/hyperlink" Target="https://www.sec.gov/Archives/edgar/data/1838716/000149315226003675/ex10-1.htm" TargetMode="External"/><Relationship Id="rId188" Type="http://schemas.openxmlformats.org/officeDocument/2006/relationships/hyperlink" Target="https://www.sec.gov/Archives/edgar/data/1838716/000149315226003675/ex10-2.htm" TargetMode="External"/><Relationship Id="rId189" Type="http://schemas.openxmlformats.org/officeDocument/2006/relationships/hyperlink" Target="https://www.sec.gov/Archives/edgar/data/1838716/000149315222011671/ex11-1.htm" TargetMode="External"/><Relationship Id="rId190" Type="http://schemas.openxmlformats.org/officeDocument/2006/relationships/hyperlink" Target="https://www.sec.gov/Archives/edgar/data/1838716/000164117225001207/ex11-2.htm" TargetMode="External"/><Relationship Id="rId191" Type="http://schemas.openxmlformats.org/officeDocument/2006/relationships/hyperlink" Target="https://www.sec.gov/Archives/edgar/data/1838716/000149315224011999/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2026-04-01T05:13:55Z</dcterms:created>
  <dcterms:modified xsi:type="dcterms:W3CDTF">2026-04-01T05:13:55Z</dcterms:modified>
</cp:coreProperties>
</file>