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Genenta Science S.p.A. Reports Financial Results for the Six Months Ended June 30,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Genenta Science S.p.A. (“Genenta”) is furnishing this report on Form 6-K to provide its unaudited consolidated financial statements as of June 30, 2025, and for the six months ended June 30, 2025, and to provide its Management’s Discussion and Analysis of Financial Condition and Results of Operations with respect to such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as of June 30, 2025, and for the six months ended June 30, 2025, are attached to this Form 6-K as Exhibit 99.1. Management’s Discussion and Analysis of Financial Condition and Results of Operations is attached to this Form 6-K as Exhibit 99.2.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Exhibit</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Unaudited Consolidated Financial Statements as of June 30, 2025, and for the six months ended June 30, 2025.</w:t>
      </w:r>
    </w:p>
    <w:p>
      <w:pPr>
        <w:spacing w:after="0" w:line="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Management’s Discussion and Analysis of Financial Condition and Results of Operations.</w:t>
      </w:r>
    </w:p>
    <w:p>
      <w:pPr>
        <w:spacing w:after="0" w:line="9" w:lineRule="exact"/>
        <w:rPr>
          <w:sz w:val="20"/>
          <w:szCs w:val="20"/>
          <w:color w:val="auto"/>
        </w:rPr>
      </w:pPr>
    </w:p>
    <w:p>
      <w:pPr>
        <w:jc w:val="both"/>
        <w:ind w:left="820" w:hanging="812"/>
        <w:spacing w:after="0" w:line="250"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Genenta’s Report on Form 6-K for the six months ended June 30, 2025, formatted in Inline XBRL (eXtensible Business Reporting Language): (i) the Consolidated Balance Sheets, (ii) the Consolidated Statements of Operations and Comprehensive Loss,</w:t>
      </w:r>
    </w:p>
    <w:p>
      <w:pPr>
        <w:ind w:left="820" w:hanging="2"/>
        <w:spacing w:after="0" w:line="260" w:lineRule="auto"/>
        <w:tabs>
          <w:tab w:leader="none" w:pos="115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Changes in Shareholders’ Equity, (iv) the Consolidated Statements of Cash Flows, and (v)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GENENTA SCIENCE S.P.A.</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10,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Richard B. Slansky</w:t>
            </w:r>
          </w:p>
        </w:tc>
      </w:tr>
      <w:tr>
        <w:trPr>
          <w:trHeight w:val="228"/>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B. Slansky, Chief Financial Officer</w:t>
            </w:r>
          </w:p>
        </w:tc>
      </w:tr>
      <w:tr>
        <w:trPr>
          <w:trHeight w:val="414"/>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0"/>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auto"/>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1,454,736</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2,040,390</w:t>
            </w:r>
          </w:p>
        </w:tc>
      </w:tr>
      <w:tr>
        <w:trPr>
          <w:trHeight w:val="23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1,928,357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2,477,978</w:t>
            </w:r>
          </w:p>
        </w:tc>
      </w:tr>
      <w:tr>
        <w:trPr>
          <w:trHeight w:val="209"/>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3,383,093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4,518,368</w:t>
            </w:r>
          </w:p>
        </w:tc>
        <w:tc>
          <w:tcPr>
            <w:tcW w:w="100" w:type="dxa"/>
            <w:vAlign w:val="bottom"/>
            <w:tcBorders>
              <w:bottom w:val="single" w:sz="8" w:color="CCEEFF"/>
            </w:tcBorders>
          </w:tcPr>
          <w:p>
            <w:pPr>
              <w:spacing w:after="0"/>
              <w:rPr>
                <w:sz w:val="18"/>
                <w:szCs w:val="18"/>
                <w:color w:val="auto"/>
              </w:rPr>
            </w:pPr>
          </w:p>
        </w:tc>
      </w:tr>
      <w:tr>
        <w:trPr>
          <w:trHeight w:val="209"/>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(3,383,093)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(4,518,368)</w:t>
            </w: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8,781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180,781</w:t>
            </w: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150,600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145,290</w:t>
            </w:r>
          </w:p>
        </w:tc>
      </w:tr>
      <w:tr>
        <w:trPr>
          <w:trHeight w:val="23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exchange rate gain (loss)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(602,873)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153,791</w:t>
            </w:r>
          </w:p>
        </w:tc>
      </w:tr>
      <w:tr>
        <w:trPr>
          <w:trHeight w:val="209"/>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(443,492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479,862</w:t>
            </w:r>
          </w:p>
        </w:tc>
        <w:tc>
          <w:tcPr>
            <w:tcW w:w="100" w:type="dxa"/>
            <w:vAlign w:val="bottom"/>
            <w:tcBorders>
              <w:bottom w:val="single" w:sz="8" w:color="CCEEFF"/>
            </w:tcBorders>
          </w:tcPr>
          <w:p>
            <w:pPr>
              <w:spacing w:after="0"/>
              <w:rPr>
                <w:sz w:val="18"/>
                <w:szCs w:val="18"/>
                <w:color w:val="auto"/>
              </w:rPr>
            </w:pPr>
          </w:p>
        </w:tc>
      </w:tr>
      <w:tr>
        <w:trPr>
          <w:trHeight w:val="209"/>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(3,826,585)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(4,038,506)</w:t>
            </w: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(3,826,585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(4,038,506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9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 basic</w:t>
            </w:r>
          </w:p>
        </w:tc>
        <w:tc>
          <w:tcPr>
            <w:tcW w:w="10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0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18,767,859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18,256,622</w:t>
            </w:r>
          </w:p>
        </w:tc>
        <w:tc>
          <w:tcPr>
            <w:tcW w:w="100" w:type="dxa"/>
            <w:vAlign w:val="bottom"/>
            <w:tcBorders>
              <w:bottom w:val="single" w:sz="8" w:color="CCEEFF"/>
            </w:tcBorders>
          </w:tcPr>
          <w:p>
            <w:pPr>
              <w:spacing w:after="0"/>
              <w:rPr>
                <w:sz w:val="22"/>
                <w:szCs w:val="22"/>
                <w:color w:val="auto"/>
              </w:rPr>
            </w:pPr>
          </w:p>
        </w:tc>
      </w:tr>
      <w:tr>
        <w:trPr>
          <w:trHeight w:val="197"/>
        </w:trPr>
        <w:tc>
          <w:tcPr>
            <w:tcW w:w="59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comprehensive income/(loss)</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of marketable debt securities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(26,065)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(64,288)</w:t>
            </w:r>
          </w:p>
        </w:tc>
      </w:tr>
      <w:tr>
        <w:trPr>
          <w:trHeight w:val="229"/>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69,663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(16,081)</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10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(80,369)</w:t>
            </w:r>
          </w:p>
        </w:tc>
        <w:tc>
          <w:tcPr>
            <w:tcW w:w="100" w:type="dxa"/>
            <w:vAlign w:val="bottom"/>
          </w:tcPr>
          <w:p>
            <w:pPr>
              <w:spacing w:after="0"/>
              <w:rPr>
                <w:sz w:val="18"/>
                <w:szCs w:val="18"/>
                <w:color w:val="auto"/>
              </w:rPr>
            </w:pPr>
          </w:p>
        </w:tc>
      </w:tr>
      <w:tr>
        <w:trPr>
          <w:trHeight w:val="24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(3,782,987)</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(4,118,875)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09"/>
        </w:trPr>
        <w:tc>
          <w:tcPr>
            <w:tcW w:w="6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5,176,632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4,581,749</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12,491,755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8,078,002</w:t>
            </w: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3,326,679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1,813,226</w:t>
            </w:r>
          </w:p>
        </w:tc>
      </w:tr>
      <w:tr>
        <w:trPr>
          <w:trHeight w:val="209"/>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current assets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20,995,066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14,472,977</w:t>
            </w:r>
          </w:p>
        </w:tc>
        <w:tc>
          <w:tcPr>
            <w:tcW w:w="100" w:type="dxa"/>
            <w:vAlign w:val="bottom"/>
            <w:tcBorders>
              <w:bottom w:val="single" w:sz="8" w:color="CCEEFF"/>
            </w:tcBorders>
          </w:tcPr>
          <w:p>
            <w:pPr>
              <w:spacing w:after="0"/>
              <w:rPr>
                <w:sz w:val="18"/>
                <w:szCs w:val="18"/>
                <w:color w:val="auto"/>
              </w:rPr>
            </w:pPr>
          </w:p>
        </w:tc>
      </w:tr>
      <w:tr>
        <w:trPr>
          <w:trHeight w:val="209"/>
        </w:trPr>
        <w:tc>
          <w:tcPr>
            <w:tcW w:w="6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 net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36,606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42,922</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518,834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304,744</w:t>
            </w:r>
          </w:p>
        </w:tc>
      </w:tr>
      <w:tr>
        <w:trPr>
          <w:trHeight w:val="229"/>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 - related party</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r>
      <w:tr>
        <w:trPr>
          <w:trHeight w:val="21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non-current assets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558,790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351,016</w:t>
            </w:r>
          </w:p>
        </w:tc>
        <w:tc>
          <w:tcPr>
            <w:tcW w:w="100" w:type="dxa"/>
            <w:vAlign w:val="bottom"/>
            <w:tcBorders>
              <w:bottom w:val="single" w:sz="8" w:color="CCEEFF"/>
            </w:tcBorders>
          </w:tcPr>
          <w:p>
            <w:pPr>
              <w:spacing w:after="0"/>
              <w:rPr>
                <w:sz w:val="18"/>
                <w:szCs w:val="18"/>
                <w:color w:val="auto"/>
              </w:rPr>
            </w:pPr>
          </w:p>
        </w:tc>
      </w:tr>
      <w:tr>
        <w:trPr>
          <w:trHeight w:val="223"/>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21,553,856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14,823,993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1,003,434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317,830</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180,116</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111,815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232,307</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1,031,345</w:t>
            </w: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337,764</w:t>
            </w:r>
          </w:p>
        </w:tc>
      </w:tr>
      <w:tr>
        <w:trPr>
          <w:trHeight w:val="21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1,591,067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2,099,362</w:t>
            </w:r>
          </w:p>
        </w:tc>
        <w:tc>
          <w:tcPr>
            <w:tcW w:w="100" w:type="dxa"/>
            <w:vAlign w:val="bottom"/>
            <w:tcBorders>
              <w:bottom w:val="single" w:sz="8" w:color="CCEEFF"/>
            </w:tcBorders>
          </w:tcPr>
          <w:p>
            <w:pPr>
              <w:spacing w:after="0"/>
              <w:rPr>
                <w:sz w:val="18"/>
                <w:szCs w:val="18"/>
                <w:color w:val="auto"/>
              </w:rPr>
            </w:pPr>
          </w:p>
        </w:tc>
      </w:tr>
      <w:tr>
        <w:trPr>
          <w:trHeight w:val="209"/>
        </w:trPr>
        <w:tc>
          <w:tcPr>
            <w:tcW w:w="6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convertible bond - at fair value</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7,555,000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227,767</w:t>
            </w:r>
          </w:p>
        </w:tc>
      </w:tr>
      <w:tr>
        <w:trPr>
          <w:trHeight w:val="21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long-term liabilities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7,848,649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228,925</w:t>
            </w:r>
          </w:p>
        </w:tc>
        <w:tc>
          <w:tcPr>
            <w:tcW w:w="100" w:type="dxa"/>
            <w:vAlign w:val="bottom"/>
            <w:tcBorders>
              <w:bottom w:val="single" w:sz="8" w:color="CCEEFF"/>
            </w:tcBorders>
          </w:tcPr>
          <w:p>
            <w:pPr>
              <w:spacing w:after="0"/>
              <w:rPr>
                <w:sz w:val="18"/>
                <w:szCs w:val="18"/>
                <w:color w:val="auto"/>
              </w:rPr>
            </w:pPr>
          </w:p>
        </w:tc>
      </w:tr>
      <w:tr>
        <w:trPr>
          <w:trHeight w:val="210"/>
        </w:trPr>
        <w:tc>
          <w:tcPr>
            <w:tcW w:w="6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no par value, 59,700,000 shares authorized and 19,146,468 and</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18,289,866 shares issued and outstanding, respectively</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71,863,701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68,462,280</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(59,882,105)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(56,055,520)</w:t>
            </w: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88,946</w:t>
            </w:r>
          </w:p>
        </w:tc>
      </w:tr>
      <w:tr>
        <w:trPr>
          <w:trHeight w:val="263"/>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12,114,140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12,495,706</w:t>
            </w:r>
          </w:p>
        </w:tc>
        <w:tc>
          <w:tcPr>
            <w:tcW w:w="100" w:type="dxa"/>
            <w:vAlign w:val="bottom"/>
            <w:tcBorders>
              <w:bottom w:val="single" w:sz="8" w:color="CCEEFF"/>
            </w:tcBorders>
          </w:tcPr>
          <w:p>
            <w:pPr>
              <w:spacing w:after="0"/>
              <w:rPr>
                <w:sz w:val="22"/>
                <w:szCs w:val="22"/>
                <w:color w:val="auto"/>
              </w:rPr>
            </w:pPr>
          </w:p>
        </w:tc>
      </w:tr>
      <w:tr>
        <w:trPr>
          <w:trHeight w:val="196"/>
        </w:trPr>
        <w:tc>
          <w:tcPr>
            <w:tcW w:w="64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21,553,856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14,823,993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Common</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shares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stock,</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w w:val="99"/>
              </w:rPr>
              <w:t>Accumulated</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no par value</w:t>
            </w:r>
          </w:p>
        </w:tc>
        <w:tc>
          <w:tcPr>
            <w:tcW w:w="13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deficit</w:t>
            </w:r>
          </w:p>
        </w:tc>
        <w:tc>
          <w:tcPr>
            <w:tcW w:w="18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18,216,958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67,344,140</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(47,143,025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20,432,257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232,768</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increase ATM program</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72,908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270,885</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270,885</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(80,369)</w:t>
            </w: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(4,038,506)</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(4,038,506)</w:t>
            </w:r>
          </w:p>
        </w:tc>
      </w:tr>
      <w:tr>
        <w:trPr>
          <w:trHeight w:val="209"/>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2024 (Unaudited)</w:t>
            </w:r>
          </w:p>
        </w:tc>
        <w:tc>
          <w:tcPr>
            <w:tcW w:w="10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18,289,866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67,847,793</w:t>
            </w:r>
          </w:p>
        </w:tc>
        <w:tc>
          <w:tcPr>
            <w:tcW w:w="3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(51,181,531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16,817,035</w:t>
            </w:r>
          </w:p>
        </w:tc>
        <w:tc>
          <w:tcPr>
            <w:tcW w:w="100" w:type="dxa"/>
            <w:vAlign w:val="bottom"/>
            <w:tcBorders>
              <w:bottom w:val="single" w:sz="8" w:color="CCEEFF"/>
            </w:tcBorders>
          </w:tcPr>
          <w:p>
            <w:pPr>
              <w:spacing w:after="0"/>
              <w:rPr>
                <w:sz w:val="18"/>
                <w:szCs w:val="18"/>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614,487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614,487</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(61,827)</w:t>
            </w: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(4,873,989)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(4,873,989)</w:t>
            </w:r>
          </w:p>
        </w:tc>
      </w:tr>
      <w:tr>
        <w:trPr>
          <w:trHeight w:val="209"/>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18,289,866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68,462,280</w:t>
            </w:r>
          </w:p>
        </w:tc>
        <w:tc>
          <w:tcPr>
            <w:tcW w:w="3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(56,055,520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12,495,706</w:t>
            </w:r>
          </w:p>
        </w:tc>
        <w:tc>
          <w:tcPr>
            <w:tcW w:w="100" w:type="dxa"/>
            <w:vAlign w:val="bottom"/>
            <w:tcBorders>
              <w:bottom w:val="single" w:sz="8" w:color="CCEEFF"/>
            </w:tcBorders>
          </w:tcPr>
          <w:p>
            <w:pPr>
              <w:spacing w:after="0"/>
              <w:rPr>
                <w:sz w:val="18"/>
                <w:szCs w:val="18"/>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424,360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424,360</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ATM program</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856,602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2,977,061</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2,977,061</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43,598</w:t>
            </w: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(3,826,585)</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(3,826,585)</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 (Unaudited)</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19,146,468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71,863,701</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(59,882,105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12,114,140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(in Euros)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(3,826,585)</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(4,038,506)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13,941</w:t>
            </w: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22,132</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65,882</w:t>
            </w:r>
          </w:p>
        </w:tc>
        <w:tc>
          <w:tcPr>
            <w:tcW w:w="5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31,713</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424,360</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232,768</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loss on convertible bond</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55,000</w:t>
            </w:r>
          </w:p>
        </w:tc>
        <w:tc>
          <w:tcPr>
            <w:tcW w:w="5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adjustments on available-for-sale financial instruments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(10,686)</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(1,513,453)</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817,258</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(214,090)</w:t>
            </w:r>
          </w:p>
        </w:tc>
        <w:tc>
          <w:tcPr>
            <w:tcW w:w="5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622,890</w:t>
            </w: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685,604</w:t>
            </w: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110,871</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(180,116)</w:t>
            </w:r>
          </w:p>
        </w:tc>
        <w:tc>
          <w:tcPr>
            <w:tcW w:w="5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18,874</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(105,422)</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106,915</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(815,703)</w:t>
            </w:r>
          </w:p>
        </w:tc>
        <w:tc>
          <w:tcPr>
            <w:tcW w:w="5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(162,710)</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(92,658)</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186,234</w:t>
            </w:r>
          </w:p>
        </w:tc>
        <w:tc>
          <w:tcPr>
            <w:tcW w:w="80" w:type="dxa"/>
            <w:vAlign w:val="bottom"/>
            <w:shd w:val="clear" w:color="auto" w:fill="CCEEFF"/>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(1,158)</w:t>
            </w:r>
          </w:p>
        </w:tc>
        <w:tc>
          <w:tcPr>
            <w:tcW w:w="50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(6,613)</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(5,515,084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(2,058,174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(12,422,023)</w:t>
            </w: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(8,998,556)</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7,992,891</w:t>
            </w:r>
          </w:p>
        </w:tc>
        <w:tc>
          <w:tcPr>
            <w:tcW w:w="5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13,300,341</w:t>
            </w:r>
          </w:p>
        </w:tc>
      </w:tr>
      <w:tr>
        <w:trPr>
          <w:trHeight w:val="22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(7,625)</w:t>
            </w:r>
          </w:p>
        </w:tc>
        <w:tc>
          <w:tcPr>
            <w:tcW w:w="5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(1,869)</w:t>
            </w:r>
          </w:p>
        </w:tc>
      </w:tr>
      <w:tr>
        <w:trPr>
          <w:trHeight w:val="21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(4,436,757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4,299,916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ATM program</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2,977,061</w:t>
            </w:r>
          </w:p>
        </w:tc>
        <w:tc>
          <w:tcPr>
            <w:tcW w:w="5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270,885</w:t>
            </w:r>
          </w:p>
        </w:tc>
        <w:tc>
          <w:tcPr>
            <w:tcW w:w="80" w:type="dxa"/>
            <w:vAlign w:val="bottom"/>
          </w:tcPr>
          <w:p>
            <w:pPr>
              <w:spacing w:after="0"/>
              <w:rPr>
                <w:sz w:val="18"/>
                <w:szCs w:val="18"/>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convertible bond</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7,500,000</w:t>
            </w:r>
          </w:p>
        </w:tc>
        <w:tc>
          <w:tcPr>
            <w:tcW w:w="5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10,477,061</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69,663</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00" w:type="dxa"/>
            <w:vAlign w:val="bottom"/>
            <w:gridSpan w:val="2"/>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594,883</w:t>
            </w:r>
          </w:p>
        </w:tc>
        <w:tc>
          <w:tcPr>
            <w:tcW w:w="5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2,496,546</w:t>
            </w: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4,581,749</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3,691,420</w:t>
            </w:r>
          </w:p>
        </w:tc>
        <w:tc>
          <w:tcPr>
            <w:tcW w:w="80" w:type="dxa"/>
            <w:vAlign w:val="bottom"/>
            <w:shd w:val="clear" w:color="auto" w:fill="CCEEFF"/>
          </w:tcPr>
          <w:p>
            <w:pPr>
              <w:spacing w:after="0"/>
              <w:rPr>
                <w:sz w:val="18"/>
                <w:szCs w:val="18"/>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5,176,632</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6,187,966</w:t>
            </w:r>
          </w:p>
        </w:tc>
        <w:tc>
          <w:tcPr>
            <w:tcW w:w="80" w:type="dxa"/>
            <w:vAlign w:val="bottom"/>
          </w:tcPr>
          <w:p>
            <w:pPr>
              <w:spacing w:after="0"/>
              <w:rPr>
                <w:sz w:val="21"/>
                <w:szCs w:val="21"/>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history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Genenta Science S.p.A. (the “Company” or “Genenta”) was founded in Milan, Italy by San Raffaele Hospital (“OSR”), Pierluigi Paracchi, Luigi Naldini, and Bernhard Gentner, and was incorporated in July 2014. The registered office (or headquarters) is located in Milan, Italy. The Company’s reporting currency is Euros (“EUR” or “€”). The Company formed a wholly owned, Delaware incorporated subsidiary, Genenta Science, Inc., intended for future operations in the U.S. (“U.S. Subsidiary”). The U.S. Subsidiary operates in U.S. Dollars (“USD” or “$”).</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American Depository Shares (“ADSs”) representing the Company’s ordinary shares have been publicly traded on the NASDAQ Capital Market since December 15, 2021.</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Genenta is an early-stage company developing first-in-class cell and gene therapies to address unmet medical needs in cancerous solid tumors. The Company is initially developing its clinical leading product, Temferon™, to treat glioblastoma multiforme (“GBM”), a solid tumor affecting the brain. The Company is conducting its clinical trials in Italy and may eventually begin a clinical trial in other parts of Europe and the U.S. to study Temferon™. In June 2023, the Company’s Board of Directors selected metastatic Renal Cell Cancer (“mRCC”) as the second solid tumor indication for Temferon. The Company is currently enrolling patients for a Phase 1 trial in mRCC. The Company has recently completed its Phase 1 trial in GBM, and its Phase 2a trial in GBM is ongoing.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before commercialization. These efforts require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the Company’s shareholders approved an amendment of article 9 of the Company’s Bylaws, increasing voting rights to certain stockholders by introducing a mechanism whereby each ordinary share owned by either an entity or an individual for a continuous period of not less than twenty-four months entitles the holder to a double vote and therefore to an increase from one to two votes per share. In addition, a further vote is attributed at the end of each twelve months following the first vesting period of twenty-four months, in which the ordinary share belonged to the same entity or individual, up to a total maximum of 10 votes per ordinary share. The amendment applies to only ordinary shares, not ADSs.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2025, the Company’s stockholders reduced the number of directors from five (5) to three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and At-the-Market Sales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2023, the Company filed with the Securities and Exchange Commission (the “SEC”) a shelf registration statement on Form F-3 (File No. 333-271901) (the “Shelf Registration Statement”) that was subsequently declared effective in May 2023. It permits the Company to sell from time to time ordinary shares, including ordinary shares represented by ADSs, or rights to subscribe for ordinary shares or ordinary shares represented by ADSs in one or more offerings in amounts, at prices, and on the terms that the Company will determine at the time of offering for aggregate gross sale proceeds of up to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2023, the Company entered into a Controlled Equity Offering Sales Agreement with Cantor Fitzgerald &amp; Co., as agent (the “Prior ATM”), for the offer and sale of up to $30.0 million ordinary shares represented by ADSs from time to time in accordance with the terms of the agreement and SEC rules and regulations. This Prior ATM was subsequently mutually terminated in March 2024.</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Company’s Shelf Registration Statement and that certain ATM Sales Agreement dated April 26, 2024, as amended on December 20, 2024 (as so amended, the “Sales Agreement”), with Virtu Americas LLC and Rodman &amp; Renshaw LLC (collectively, the “Sales Agents”), pursuant to which the Company may offer and sell ADSs with an aggregate offering price up to $29,696,999 from time to time through or to the Sales Agents, acting as sales agents or principals, subject to the terms and conditions described in the Sales Agreement and SEC rules and regulations (the “ATM”). For as long as the aggregate market value the Company’s outstanding ordinary shares held by non-affiliates remains below $75.0 million, the Company is subject to the offering limits in General Instruction I.B.5 of Form F-3 and in no event will the Company sell securities in public primary offerings on Form F-3, including through the ATM, with a value exceeding one-third of its outstanding ordinary shares held by non-affiliates in any 12 calendar month period.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20, 2024, 73,008 ADSs were sold through the Prior ATM for gross proceeds of €271,416 (or $303,001). In March 2025, the Company sold 856,602 ADSs through the ATM for gross proceeds of €2,977,061 (or $3,255,430). As of June 30, 2025, the dollar amount of ADSs available for sale was $26,441,569, subject to the offering limits described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of ADSs under the Sales Agreement may be made by any method that is deemed to be an “at the market offering” as defined in Rule 415(a)</w:t>
      </w:r>
    </w:p>
    <w:p>
      <w:pPr>
        <w:spacing w:after="0" w:line="27" w:lineRule="exact"/>
        <w:rPr>
          <w:sz w:val="20"/>
          <w:szCs w:val="20"/>
          <w:color w:val="auto"/>
        </w:rPr>
      </w:pPr>
    </w:p>
    <w:p>
      <w:pPr>
        <w:jc w:val="both"/>
        <w:ind w:firstLine="8"/>
        <w:spacing w:after="0" w:line="255"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of 1933, as amended (the “Securities Act”). The Sales Agents are not required to sell any specific number or dollar amount of ADSs but will act as our sales agents and use commercially reasonable efforts consistent with their normal trading and sales practices, on mutually agreed terms between the Sales Agents and the Company. There is no arrangement for funds to be received in any escrow, trust, or similar arrangement.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Sales Agents will receive from the Company a commission of up to 3.0% of the gross proceeds of any ADSs sold through them under the Sales Agreement. In connection with the sale of ADSs on behalf of the Company, each of the Sales Agents will be deemed to be an “underwriter” within the meaning of the Securities Act, and the compensation of the Sales Agents may be deemed to be underwriting commissions or discounts. The Company has also agreed to provide indemnification and contribution to the Sales Agents with respect to certain liabilities, including liabilities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risks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incurred losses since its inception, including a net loss of €3.8 million and €4.0 million for the six months ended June 30, 2025, and June 30, 2024, respectively. In addition, at June 30, 2025, the Company had an accumulated deficit of €59.9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primarily funded these losses through the proceeds from the sales of convertible debt and equity. The Company has incurred recurring losses and expects to continue to incur losses for the foreseeable future. In addition, the Company expects that its existing cash and cash equivalents and marketable securities on hand as of June 30, 2025, of €17.7 million, will be sufficient to fund current planned operations and capital expenditure requirements for at least the next twelve months. However, the future viability of the Company is dependent on its ability to raise additional capital to finance its operations. The Company’s inability to raise capital as and when needed could have a negative impact on its financial condition and ability to continue as a going concern, as well as the ability to pursue its business strategies. There can be no assurance that the current operating plan will be achieved or that additional funding will be available on terms acceptable to the Company, or at all.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business model, typical of biotechnology companies developing new therapeutic products that have not reached a balanced income and financial position, features negative cash flows. This is because, at this stage, costs must be borne in relation to services and personnel, directly connected to research and development activities, and the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require additional capital to meet its long-term operating requirements. It expects to raise additional capital through, among other things, the sale of equity, debt, or convertible securities through public offerings or private placements, including, but not limited to, sales of ADSs pursuant to the ATM.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and /or financial situation of the Company.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the potential worsening of global economic and political conditions, and volatility in the credit and financial markets in the U.S. and worldwide. This could be exacerbated by, among other factors, inflation, fluctuating interest rates, tariffs, and geopolitical conflicts. The Company’s failure to raise capital as and when needed, or on acceptable terms could have a negative impact on the Company’s financial condition, its ability to continue as a going concern, and its ability to pursue its business strategy, and the Company may have to delay, reduce the scope of, suspend or eliminate one or more of its research-stage programs, clinical trials, or future commercialization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are unaudited and have been prepared in accordance with generally accepted accounting principles in the United States of America (“U.S. GAAP”) for interim financial reporting and in accordance with Regulation S-X, Rule 10-01 promulgated by the Securities and Exchange Commission (“SEC”). Accordingly, the financial statements may not include all the information and footnotes required by U.S. GAAP for complete financial statements. Any reference in these notes to applicable guidance is meant to refer to the authoritative U.S. GAAP as found in the Accounting Standards Codification, or ASC, and Accounting Standards Update (“ASU”) of the Financial Accounting Standards Board (“FASB”).</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should be read in conjunction with the audited consolidated financial statements and accompanying notes included in the Company’s Annual Report on Form 20-F filed with the SEC on March 28, 2025 (the “Annual Report”). The Balance Sheet as of December 31, 2024 was derived from audited consolidated financial statements included in the Annual Report but does not include all disclosures required by U.S. GAAP.</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consisting only of normal recurring adjustments, which are, in the opinion of the Company’s management, necessary to fairly state the results of the interim period. The interim results are not necessarily indicative of results to be expected for the full year.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consolidated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and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whose amounts may at times exceed insured limits. The Company has not experienced any losses on such accounts and does not believe it is exposed to any significant credit risk. In the Consolidated Cash Flows statements, cash and cash equivalents include: cash on hand, deposits held with banks, and other short-term, highly liquid investments. In the Consolidated Balance Sheets, bank overdrafts, if any, are shown in current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Investments with an original maturity of more than (3) three months are classified as available-for-sale (“AFS”) marketable securities, with those having a remaining maturity of more than one year presented as non-current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AFS securities are measured at fair value, with unrealized gains and losses recorded in Other Comprehensive Income (Loss) until realized.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premiums are amortized to the earliest call date and discounts are accreted to maturity, with related amounts recorded in interest income,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and losses are determined using the specific identification method and reported in other income (expense), net.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evaluates AFS securities each reporting period under ASC 326 to identify any credit losses. Any credit loss is recognized in earnings, limited to the difference between fair value and amortized cost. Accrued interest receivable is reported within prepaids and other current assets and is excluded from impairment testing. Write-offs of accrued interest are recorded through reversal of interest income and/or credit loss expense. To date, no credit losses or write-offs have been recognized. Accrued interest receivable related to AFS debt securities is presented within prepaids and other current assets and is excluded from both fair value and amortized cost when assessing impairment. The Company writes off accrued interest only when it is deemed uncollectible, recording such write-offs through reversal of interest income, credit loss expense, or both. To date, no write-offs have been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convertible bond</w:t>
      </w:r>
    </w:p>
    <w:p>
      <w:pPr>
        <w:spacing w:after="0" w:line="229" w:lineRule="exact"/>
        <w:rPr>
          <w:sz w:val="20"/>
          <w:szCs w:val="20"/>
          <w:color w:val="auto"/>
        </w:rPr>
      </w:pPr>
    </w:p>
    <w:p>
      <w:pPr>
        <w:jc w:val="both"/>
        <w:ind w:firstLine="766"/>
        <w:spacing w:after="0" w:line="266" w:lineRule="auto"/>
        <w:rPr>
          <w:sz w:val="20"/>
          <w:szCs w:val="20"/>
          <w:color w:val="auto"/>
        </w:rPr>
      </w:pPr>
      <w:r>
        <w:rPr>
          <w:rFonts w:ascii="Times New Roman" w:cs="Times New Roman" w:eastAsia="Times New Roman" w:hAnsi="Times New Roman"/>
          <w:sz w:val="18"/>
          <w:szCs w:val="18"/>
          <w:color w:val="auto"/>
        </w:rPr>
        <w:t>The Company has issued a mandatory convertible bond (“MCB”), which does not meet the “fixed-for-fixed” equity classification test under ASC 480, as the number of shares to be delivered is variable while the monetary value of the obligation is predetermined by reference to the nominal amount and interest. Accordingly, under ASC 480-10-25-14, the MCB is classified as a liability and accounted for at fair value through profit or loss.</w:t>
      </w:r>
    </w:p>
    <w:p>
      <w:pPr>
        <w:spacing w:after="0" w:line="176"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The MCB contains embedded features, including conversion rights, ownership caps, and conversion price ceilings, which represent embedded derivatives requiring fair value measurement in accordance with ASC 815. However, the Company has elected to value the instrument in its entirety, including the embedded derivatives under ASC 825 - the Fair Value Option. As a result, the MCB is measured at fair value, with changes in fair value recognized in the Consolidated Statement of Operations and Comprehensive Loss within “Unrealized fair value gain/loss on MCB” in the period in which they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Consistent with ASC 825-10-25-3, the election of the fair value option requires that issuance costs, transaction fees, and any other directly attributable costs, including legal and due diligence expenses, be expensed immediately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comprehensive income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 circumstances from non-owner sources. ASC 220 Comprehensive Income requires that an entity record all components of comprehensive (loss) income, net of their related tax effects, in its financial statements in the period in which they are recognized.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net loss and the comprehensive loss were equal to €3.8 million. For the six months ended June 30, 2024, the net loss was equal to €4.0 million, and the comprehensive loss was equal to €4.1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per share (“EPS”) is computed in accordance with U.S. GAAP. Basic EPS is computed by dividing net loss by the weighted average number of ordinary shares outstanding during the period. Diluted EPS reflects potential dilution and is computed by dividing net loss by the weighted average number of ordinary shares outstanding during the period, increased by the number of additional ordinary shares that would have been outstanding if all potential ordinary shares had been issued and were dilutive.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18,289,866 ordinary shares issued and outstanding with 1.8 million ordinary shares reserved for the Company’s Equity Incentive Plan 2021–2025.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20, 2025, the Company issued 856,602 ADSs pursuant to the Sales Agreement, bringing the total number of ordinary shares outstanding to 19,146,468.</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June 30, 2025, and June 30, 2024, the Company had 1,465,815 and 280,033 outstanding options respectively, and 23,502 ordinary share equivalents in the form of underwriters’ ordinary share warrants.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Diluted EPS was not relevant at June 30, 2025, and June 30, 2024, as the effect of ordinary share equivalents, in the form of 1,465,815 and 280,033 stock options, respectively, and 23,502 underwriters’ ordinary share warrants, would have been anti-dilutive. (See Note 14. Shareholders’ equity and Note 15. Share-based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and Comprehensive Loss. For financial reporting purposes, the assets and liabilities of the U.S. Subsidiary are translated into EUR using exchange rates in effect at the balance sheet date. The net income/(loss) of the U.S. Subsidiary is translated into EUR using average exchange rates in effect during the reporting period. The resulting currency translation impact is recorded in Shareholders’ equity as a cumulative translation adjustment. At June 30, 2025, and June 30, 2024, the currency translation impact was not material.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unrealized foreign exchange net loss was €0.6 million. During the six months ended June 30, 2024, the unrealized foreign exchange net gain was €0.2 million. The change in the net foreign exchange rate effect was due to fluctuations in the USD exchange rate with the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U.S. Jumpstart Our Business Startups Act or U.S.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U.S. JOBS Act provides that an “emerging growth company” can take advantage of the extended transition period afforded by the U.S.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chief operating decision-maker (“CODM”) in making decisions regarding resource allocation and assessing performance. The Company and its chief operating decision-maker view the Company’s operations and the management of its business in one (1) operating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 on investments in research and development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line with the legislation in force at December 31, 2024, and for the fiscal year 2025, companies in Italy that invest in eligible research and development activities, regardless of the legal form and economic sector in which they operate, can benefit from a tax credit which can be used to reduce most taxes payable, including income tax or regional tax on productive activities, as well as social security contributions and payroll withholding taxes.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Starting with the fiscal year 2023 (“FY 2023”), for eligible R&amp;D activities, the tax credit was equal to 10% of the eligible costs incurred, with a maximum annual amount of €5.0 million. In addition, the law extended the measure up to the tax period ending December 31, 2031.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eligible activities consist of fundamental research, industrial research, and experimental development as defined in letters m), q), and j) of point 15, par. 1.3 of the Communication no. 198/2014 of the European Commission. To determine the cost basis of the benefit, the following expenses are eligible:</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charges, costs of the financial or simple lease, and other expenses related to movable tangible assets and software used in the research and development projects;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extra-Euro research contracts concerning the direct execution of eligible research and development activities by the provider;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consulting services and equivalent services related to eligible research and development activities;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materials, supplies, and other similar products used in research and development projects.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receivable is recognized when there is reasonable assurance that: (1) the recipient will comply with the relevant conditions; and (2) the grant will be received. The Company has elected to present research and development expenditure net of related tax credit benefit on the Consolidated Statements of Operations and Comprehensive Loss.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reward the efforts of employees, officers, directors, and certain consultants, and to promote the Company’s growth and development, the Board may approve, upon occasion, various share-based awards based on the Company’s stock option plan (the “Equity Incentive Plan 2021–2025” or the “Plan”, subsequently modified to extend the final deadline for the issuance of the common shares until December 31, 2035). The Plan was amended to ensure that all stock options granted during its term are exercisable for a period of 10 years from their respective grant dates. (Refer to Note 15 – Share-Based Compensation.)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the Company has authorized options on 1,914,646 common shares (i.e., 10% of the number of shares outstanding, which was 19,146,468 common shares outstanding at June 30, 2025); however, as provided by the Plan, the Company may increase the authorized shares under the Plan up to a maximum of 2,700,000 common shares without further shareholder approval. Therefore, as the Company raises additional capital, and the total number of outstanding shares increases, the Board has the authority to issue additional options up to 2,700,000 common shares limit, without the need to obtain further authorization from shareholders, unless the number of outstanding common exceeds 27,000,000.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its stock option awards granted to employees, officers, directors, and consultants under the Plan based on their fair value on the date of the grant and recognizes compensation expense for those awards over the requisite service period, which is normally the vesting period of the respective award. Forfeitures are accounted for as they occur. The measurement date for option awards is the date of the grant.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chose the Black-Scholes-Merton model because it is considered easier to apply, and it is a defined equation that incorporates only one set of inputs. As a result, it is the model most commonly in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closing of the Company’s IPO, the Company issued 23,502 warrants to the underwriters of the offering (“Warrants”). The Warrants are exercisable at a per share exercise price equal to $14.375. The Warrants are exercisable at any time and from time to time, in whole or in part, until December 13, 2026. The Warrants provide for adjustment in the number and price of the Warrants and the ADSs underlying such Warrants in the event of recapitalization, merger, stock split, or other structural transactions, or a future financing undertaken by the Company. The Warrants were evaluated under applicable guidance and accordingly classified as equity in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right-of-use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commencement of a contract containing a lease, the Company classifies leases other than short-term leases as either an operating lease or a finance lease according to the criteria prescribed by ASC 842. The Company recognizes both lease liabilities and right-of-use (“ROU”) assets on the balance sheet for all leases, except for short-term leases (those with a lease term of 12 months or less). Lease liabilities are initially measured at the present value of the future lease payments over the lease term, discounted at the rate implicit in the lease or, if that rate is not readily determinable, the Company’s incremental borrowing rate. The ROU assets represent the lessee’s right to use the underlying asset for the lease term and are initially measured at the same amount as the corresponding lease liability. For finance leases, the Company recognizes interest expense on the lease liability and amortization expense on the ROU asset. For operating leases, lease expense is recognized on a straight-line basis over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Fixed assets are stated at cost, including any accessory and direct costs that are necessary to make the assets fit for use, and adjusted by the corresponding accumulated depreciation. Depreciation is systematically recorded in the consolidated financial statements, taking into consideration the use, purpose, and financial-technical duration of the assets, based on their estimated useful economic lives. Leasehold improvements depreciation is recorded based on the shorter of the life of the leasehold improvement or the remaining term of the lease.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economic productivity of the Company, are attributed to the asset to which they refer and depreciated based on its estimated useful economic life. Amortization of leasehold improvements is computed using the straight-line method based on the terms of the applicable lease or estimated useful life of the improvements, whichever is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disposal. In circumstances where impairment is determined to exist, the Company will write down the asset to its fair value based on the present value of estimated cash flows. To date, no impairments have been identified for the six months ended June 30, 2025, and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Deferred offering costs, which primarily consist of direct, incremental legal and accounting fees relating to fundraising activities (e.g., an IPO or other fundraising activities), are capitalized within prepaid expenses and other current assets before the offering and netted or offset with the offering proceeds upon closing of the offering.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incurred approximately €12,918 of ATM offering costs in connection with its sales of ADSs pursuant to the Sales Agreement that were fully expensed as general and administrative costs in the Consolidated Statement of Operations and Comprehensive Loss.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 Company incurred approximately €0.2 million of ATM offering costs in connection with its sales of ADSs pursuant to the Sales Agreement that were fully expensed as general and administrative costs in the Consolidated Statement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which amends ASC 280 to improve the information that a public entity discloses about its reportable segments and to address investor requests for more information about reportable segment expenses by requiring incremental disclosures for segment reporting. The effective date for ASU 2023-07 is for fiscal years beginning after December 15, 2023, and interim periods with fiscal years beginning after December 15, 2024. The amendment requires companies to disclose more information about their reportable segments, including: (1) significant segment expenses, (2) ‘other’ segment items, (3) the title and position of the chief operating decision maker (“CODM”), (4) how the CODM uses the reported measure(s) of segment profit or loss and (5) annual disclosures about a reportable segment’s profit or loss and assets .The Company believes that this ASU does not have a material impact on its consolidated financial statements and related disclosures.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believes that this ASU does not have a material impact on its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Scope Application of Profits Interest and Similar Awards, which clarifies how an entity determines whether a profits interest or similar award (hereafter a “profits interest award”) is (1) within the scope of Accounting Standards Codification (ASC) 718, Compensation -Stock Compensation, or (2) not a share-based payment arrangement and therefore within the scope of other guidance. For public business entities, ASU 2024-01 is effective for annual periods beginning after December 15, 2024, and interim periods within those annual periods. For all other entities, the amendments are effective for annual periods beginning after December 15, 2025, and interim periods within those annual periods. The Company believes that this ASU does not have a material impact on its consolidated financial statements and related disclosures.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2024, FASB issued ASU 2024-03, Income Statement -Reporting Comprehensive Income - expense disaggregation disclosures (subtopic 220-40): disaggregation of income statement expenses, which requires public business entities to provide additional disclosures in the notes to the financial statements that disaggregate certain income statement expense captions into specified natural expense categories such as purchases of inventory, employee compensation, depreciation, and amortization. The amendments do not change recognition or measurement of expenses but require new tabular and qualitative disclosures. For public business entities, ASU 2024-03 is effective for annual reporting periods beginning after December 15, 2026, and interim reporting periods within those annual periods beginning after December 15, 2027. Early adoption is permitted. The Company is currently evaluating the impact of this standard and does not expect it to have a material effect on its results of operations nor financial position or disclosures.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2024, FASB issued ASU 2024-04, Debt – Debt with conversion and other options (subtopic 470-20): Induced conversions of convertible debt instruments which provides guidance on accounting for induced conversions of convertible debt instruments. For public business entities, ASU 2024-04 is effective for annual reporting periods beginning after December 15, 2025, and interim reporting periods within those annual periods. The Company currently does not expect this standard to have a material impact on its financial statements, as its outstanding convertible instruments are mandatory in nature and not subject to induced conversions. The Company will continue to monitor future developments for applicability.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Research and development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and external costs of outside vendors and consultants engaged to conduct clinical development activities and clinical trials, (e.g., contract research organizations or “CROs”), as well as costs to develop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annually incurs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4. General and administrative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taxation in Italy, and with the addition of the Company’s wholly owned subsidiary in the U.S., the Company is subject to taxation in the U.S. Taxation in Italy includes the standard corporate income tax (“IRES”) and a regional business tax (“IRAP”). Taxation in the U.S. includes federal corporate income tax (“IRS”), as well as state and local taxes. Taxes are recorded on an accrual basis. They therefore represent the allowances for taxes paid or to be paid for the year, calculated according to the current rates enacted and applicable laws. In the future, the Company may be taxed in various other countries where it may have permanent establishments, as applicable. Due to the tax loss position reported, no income taxes were accrued for the six months ending June 30, 2025, and June 30, 2024, in Italy or the U.S. The subsidiary in the U.S. had an immaterial amount of other state taxes for the six months ended June 30,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each reporting date, the Company considers existing evidence, both positive and negative, that could impact its view with regard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tax liabilities arising from an uncertain tax position if it is more likely than not that the tax position would not be upheld upon examination by the taxing authorities, based on the technical merits. There are no uncertain tax positions that have been recognized in the accompanying consolidated financial statements. For the Company, the prior five years of tax returns (2020-2024) are potentially subject to audit, and for the Company’s U.S. subsidiary Genenta Science, Inc., the open years for tax examination are 2022, 2023, and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2025, and June 30, 2024, the Company believes there were no significant differences regarding its deferred tax assets and its relevant components, compared to the computations of the preceding periods.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2011, the Italian tax authorities issued a set of rules that modified the previous treatment of tax loss carryforwards. According to the applicable law, all existing tax loss carry forwards will never expire, but they can offset only 80% of the taxable income of the year. The rules do not affect the tax loss carryforward that refers to the start-up period, defined as the first three years of operations starting from the inception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trials. Since the Company’s clinical trials are still in an early phase, the time frame and uncertainties regarding the outcome of the completion justify the full allowance of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6. Cash and cash equivalents</w:t>
      </w:r>
    </w:p>
    <w:p>
      <w:pPr>
        <w:spacing w:after="0" w:line="22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color w:val="auto"/>
        </w:rPr>
        <w:t>At June 30, 2025, cash and cash equivalents are detailed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short-term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in hand &amp; prepaid cards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and cash equivalents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Marketable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34"/>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4,961,495</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2,530,549</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211,155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2,047,200</w:t>
            </w: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5,176,632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4,581,749</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260" w:space="720"/>
            <w:col w:w="4260"/>
          </w:cols>
          <w:pgMar w:left="320" w:top="684" w:right="339" w:bottom="1440" w:gutter="0" w:footer="0" w:header="0"/>
        </w:sectPr>
      </w:pPr>
    </w:p>
    <w:p>
      <w:pPr>
        <w:spacing w:after="0" w:line="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invests available liquid assets, (i.e., not used or expected to be needed in short/very short-term operations), in marketable securities consisting of highly rated domestic and foreign government debt securities, specifically U.S. Treasury Bills and Notes, and Italian Government Bonds. Since the Company’s intent was not to sell the securities immediately, but the Company was uncertain if the securities would be held until maturity, it was determined that debt securities were to be classified as AFS.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unrealized gain recognized during the reporting period on marketable securities still held at the reporting date was approximately €70,169, while there was no unrealized loss recognized during the reporting period on marketable securities still held at the reporting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(“AFS”) debt securities are detailed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00" w:type="dxa"/>
            <w:vAlign w:val="bottom"/>
          </w:tcPr>
          <w:p>
            <w:pPr>
              <w:spacing w:after="0"/>
              <w:rPr>
                <w:sz w:val="16"/>
                <w:szCs w:val="16"/>
                <w:color w:val="auto"/>
              </w:rPr>
            </w:pPr>
          </w:p>
        </w:tc>
      </w:tr>
      <w:tr>
        <w:trPr>
          <w:trHeight w:val="238"/>
        </w:trPr>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 (loss)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10"/>
        </w:trPr>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(“AFS”)</w:t>
            </w:r>
          </w:p>
        </w:tc>
        <w:tc>
          <w:tcPr>
            <w:tcW w:w="12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12,422,023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12,491,755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70,169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12,422,023</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12,491,755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70,169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6"/>
        </w:trPr>
        <w:tc>
          <w:tcPr>
            <w:tcW w:w="3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00" w:type="dxa"/>
            <w:vAlign w:val="bottom"/>
          </w:tcPr>
          <w:p>
            <w:pPr>
              <w:spacing w:after="0"/>
              <w:rPr>
                <w:sz w:val="16"/>
                <w:szCs w:val="16"/>
                <w:color w:val="auto"/>
              </w:rPr>
            </w:pPr>
          </w:p>
        </w:tc>
      </w:tr>
      <w:tr>
        <w:trPr>
          <w:trHeight w:val="238"/>
        </w:trPr>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 (loss)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10"/>
        </w:trPr>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(“AFS”)</w:t>
            </w:r>
          </w:p>
        </w:tc>
        <w:tc>
          <w:tcPr>
            <w:tcW w:w="12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7,992,891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8,078,002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96,234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2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7,992,891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8,078,002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96,234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3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8.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in accordance with ASC 820. Fair value is defined as the price that would be received to sell an asset or paid to transfer a liability in an orderly transaction in the principal or most advantageous market at the measurement date. Valuation techniques are designed to maximize the use of observable inputs and minimize unobservable inputs.</w:t>
      </w:r>
    </w:p>
    <w:p>
      <w:pPr>
        <w:spacing w:after="0" w:line="176" w:lineRule="exact"/>
        <w:rPr>
          <w:sz w:val="20"/>
          <w:szCs w:val="20"/>
          <w:color w:val="auto"/>
        </w:rPr>
      </w:pPr>
    </w:p>
    <w:p>
      <w:pPr>
        <w:jc w:val="both"/>
        <w:ind w:right="20" w:firstLine="638"/>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assets classification is represented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5,176,632</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12,491,755</w:t>
            </w:r>
          </w:p>
        </w:tc>
        <w:tc>
          <w:tcPr>
            <w:tcW w:w="3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12,491,755</w:t>
            </w:r>
          </w:p>
        </w:tc>
        <w:tc>
          <w:tcPr>
            <w:tcW w:w="12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Total cash and cash equivalents, and marketable</w:t>
            </w: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940" w:type="dxa"/>
            <w:vAlign w:val="bottom"/>
            <w:vMerge w:val="continue"/>
            <w:shd w:val="clear" w:color="auto" w:fill="CCEEFF"/>
          </w:tcPr>
          <w:p>
            <w:pPr>
              <w:spacing w:after="0"/>
              <w:rPr>
                <w:sz w:val="15"/>
                <w:szCs w:val="15"/>
                <w:color w:val="auto"/>
              </w:rPr>
            </w:pPr>
          </w:p>
        </w:tc>
        <w:tc>
          <w:tcPr>
            <w:tcW w:w="340" w:type="dxa"/>
            <w:vAlign w:val="bottom"/>
            <w:vMerge w:val="restart"/>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17,668,388</w:t>
            </w:r>
          </w:p>
        </w:tc>
        <w:tc>
          <w:tcPr>
            <w:tcW w:w="340" w:type="dxa"/>
            <w:vAlign w:val="bottom"/>
            <w:vMerge w:val="restart"/>
            <w:shd w:val="clear" w:color="auto" w:fill="CCEEFF"/>
          </w:tcPr>
          <w:p>
            <w:pPr>
              <w:spacing w:after="0"/>
              <w:rPr>
                <w:sz w:val="15"/>
                <w:szCs w:val="15"/>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17,668,388</w:t>
            </w:r>
          </w:p>
        </w:tc>
        <w:tc>
          <w:tcPr>
            <w:tcW w:w="1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w:t>
            </w:r>
          </w:p>
        </w:tc>
        <w:tc>
          <w:tcPr>
            <w:tcW w:w="34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8,078,002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8,078,002</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39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Total cash and cash equivalents and marketable</w:t>
            </w: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12,659,751</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12,659,751</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liabilities classification is represented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bond</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7,555,000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convertible bond</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7,555,000</w:t>
            </w:r>
          </w:p>
        </w:tc>
        <w:tc>
          <w:tcPr>
            <w:tcW w:w="3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9" w:name="page20"/>
    <w:bookmarkEnd w:id="19"/>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instrument is classified as a Level 3 fair value liability under ASC 820, based on the use of significant unobservable inputs in its valuation (See Note 13. Mandatory convertible bond issuance for more details).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transfers between levels of fair value hierarchy occurred during the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assets or liabilities classified as Level 3 fair value at December 31, 2024.</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R&amp;D tax credits, VAT credits, accounts payable, accrued expenses, and other current liabilities were evaluated and determined to approximate their fair values due to the short-term nature of these assets and liabilities.</w:t>
      </w:r>
    </w:p>
    <w:p>
      <w:pPr>
        <w:sectPr>
          <w:pgSz w:w="11900" w:h="16838" w:orient="portrait"/>
          <w:cols w:equalWidth="0" w:num="1">
            <w:col w:w="11240"/>
          </w:cols>
          <w:pgMar w:left="320" w:top="688"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Prepaid expenses and other current assets</w:t>
      </w:r>
    </w:p>
    <w:p>
      <w:pPr>
        <w:spacing w:after="0" w:line="229"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Added Tax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tax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Advances payments to suppliers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prepaids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09"/>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1,534,555</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698,735</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749,676</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35,991</w:t>
            </w: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209,793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210,830</w:t>
            </w: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636,532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117,994</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3,326,679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1,813,226</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6260" w:space="720"/>
            <w:col w:w="4260"/>
          </w:cols>
          <w:pgMar w:left="320" w:top="688"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Value added tax (“VAT”) receivable is linked to purchases. Italian VAT </w:t>
      </w:r>
      <w:r>
        <w:rPr>
          <w:rFonts w:ascii="Times New Roman" w:cs="Times New Roman" w:eastAsia="Times New Roman" w:hAnsi="Times New Roman"/>
          <w:sz w:val="18"/>
          <w:szCs w:val="18"/>
          <w:i w:val="1"/>
          <w:iCs w:val="1"/>
          <w:color w:val="auto"/>
        </w:rPr>
        <w:t>(Imposta sul Valore Aggiunto)</w:t>
      </w:r>
      <w:r>
        <w:rPr>
          <w:rFonts w:ascii="Times New Roman" w:cs="Times New Roman" w:eastAsia="Times New Roman" w:hAnsi="Times New Roman"/>
          <w:sz w:val="18"/>
          <w:szCs w:val="18"/>
          <w:color w:val="auto"/>
        </w:rPr>
        <w:t xml:space="preserve"> applies to the supply of goods and services carried out in Italy by entrepreneurs, professionals, or artists, and on imports carried out by anyone. Intra-Community acquisitions are also subject to VAT under certain situations. The Italian standard VAT rate for 2025 and 2024 was 22%. Reduced rates are provided for specifically listed supplies of goods and services. The VAT receivable is carried forward indefinitely and does not expire.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reclassified to other non-current assets a portion of the receivable, which is expected to be realized beyond 12 months.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VAT balance is composed of two parts: the short-term VAT refund requested, amounting to approximately €868,000, which, as of June 30, 2025, has not yet been received and is reasonably expected to be received in the second half of the current year; and the VAT currently being accrued for 2025, which amounts to approximately €666,522.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received a VAT refund of approximately €1.7 million, of which approximately €1.3 million related to short-term VAT and approximately €0.4 million related to VAT that was classified as long-term at December 31, 2023. The amount of VAT as of June 30, 2024, is related to the VAT accrued in the same period.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€3.3 million as of June 30, 2025,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by the fourth quarter of 2026. This estimate is consistent with the Company’s most updated cash budget utilization projections approved by the Board in March 2025 and an internal revised cash forecast as of September 2025. According to the revised cash forecast, the Company’s available cash as of June 30, 2025, together with our investment in short-term marketable securities, is deemed more than sufficient to cover the operating activities through at least November 2026, without additional financing or other management plans.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June 30, 2024, the Company utilized approximately €0.7 and €0.4 million, respectively, to offset certain social contributions and taxes payable.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recorded benefit for the six months ended June 30, 2025, and June 30, 2024, was approximately €1.2 million and €0.1million, respectively, to offset research and development expenses. The amount of tax benefit to offset research and development expenses largely depends on the change in the overall valuation of the R&amp;D tax credit. The reason for the increase in the tax benefit recorded in 2025 is that the valuation of the R&amp;D tax credit as of June 30, 2024, was particularly conservative because the fundraising activities ongoing at that date had not yet materialized. Consequently, the going concern period based on the available financial resources was shorter.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advance payments to suppliers mainly refer to an advance payment to a supplier whose activities are still ongoing based on a service agreement that provides for a discount on this advance payment on the last invoice that will be issued at the end of the works.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other current assets were primarily composed of tax credits amounting to approximately €0.2 million and they mainly relate to €180,000 of tax credit related to Italian Additional Corporate Tax (the “ACE tax”) which, based on the latest updates received from the Italian Revenue Agency, we still expect to recover in the short term and other minor tax and withholding tax credit.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prepaids refer to accrual adjustments for services that have already been fully invoiced and paid, but whose economic usefulness is distributed over multiple periods beyond the current closing period. These costs mainly concern IT services, licenses, insurance, and manufacturing activities. The change in the prepaid balance is primarily influenced by the trend in manufacturing activities performed by the Company’s manufacturing vendor, AGC Biologics, and the amount of the premium for the directors’ and officers’ insurance policy. The change compared to the balance at the end of the previous period is primarily due to the increase in work-in-progress and prepaid manufacturing activities for AGC by approximately €460,000.</w:t>
      </w:r>
    </w:p>
    <w:p>
      <w:pPr>
        <w:sectPr>
          <w:pgSz w:w="11900" w:h="16838" w:orient="portrait"/>
          <w:cols w:equalWidth="0" w:num="1">
            <w:col w:w="11240"/>
          </w:cols>
          <w:pgMar w:left="320" w:top="688"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Fixed assets, net</w:t>
      </w:r>
    </w:p>
    <w:p>
      <w:pPr>
        <w:spacing w:after="0" w:line="229"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18"/>
          <w:szCs w:val="18"/>
          <w:color w:val="auto"/>
        </w:rPr>
        <w:t>Fixed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(ERP Implementation)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fixed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At June 30,</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2172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14605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20" w:hanging="1413"/>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87,800</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340"/>
        <w:spacing w:after="0"/>
        <w:rPr>
          <w:sz w:val="20"/>
          <w:szCs w:val="20"/>
          <w:color w:val="auto"/>
        </w:rPr>
      </w:pPr>
      <w:r>
        <w:rPr>
          <w:rFonts w:ascii="Times New Roman" w:cs="Times New Roman" w:eastAsia="Times New Roman" w:hAnsi="Times New Roman"/>
          <w:sz w:val="18"/>
          <w:szCs w:val="18"/>
          <w:color w:val="auto"/>
        </w:rPr>
        <w:t>148,869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14605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ind w:left="1420" w:hanging="1413"/>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12172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8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14" w:lineRule="exact"/>
        <w:rPr>
          <w:sz w:val="20"/>
          <w:szCs w:val="20"/>
          <w:color w:val="auto"/>
        </w:rPr>
      </w:pPr>
    </w:p>
    <w:p>
      <w:pPr>
        <w:ind w:left="1420" w:hanging="1412"/>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87,800</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53,445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141,245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(98,323)</w:t>
      </w:r>
    </w:p>
    <w:p>
      <w:pPr>
        <w:spacing w:after="0" w:line="31" w:lineRule="exact"/>
        <w:rPr>
          <w:sz w:val="20"/>
          <w:szCs w:val="20"/>
          <w:color w:val="auto"/>
        </w:rPr>
      </w:pPr>
    </w:p>
    <w:p>
      <w:pPr>
        <w:ind w:left="1420" w:hanging="1412"/>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60" w:space="720"/>
            <w:col w:w="1980" w:space="260"/>
            <w:col w:w="2020"/>
          </w:cols>
          <w:pgMar w:left="320" w:top="688" w:right="339" w:bottom="1440" w:gutter="0" w:footer="0" w:header="0"/>
          <w:type w:val="continuous"/>
        </w:sectPr>
      </w:pPr>
    </w:p>
    <w:p>
      <w:pPr>
        <w:spacing w:after="0" w:line="66"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Software included software customization and development costs related to information technology security infrastructure and the Company’s ERP system.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Equipment consists of computers, furniture, and fixtures in our office space in Milan,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There were no significant purchases, disposals, or impairments during the six months ended June 30, 2025.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has been calculated by taking into consideration the use, purpose, and financial-technical duration of the assets, based on their estimated economic lives.</w:t>
      </w:r>
    </w:p>
    <w:p>
      <w:pPr>
        <w:sectPr>
          <w:pgSz w:w="11900" w:h="16838" w:orient="portrait"/>
          <w:cols w:equalWidth="0" w:num="1">
            <w:col w:w="11240"/>
          </w:cols>
          <w:pgMar w:left="320" w:top="688"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non-current assets</w:t>
      </w:r>
    </w:p>
    <w:p>
      <w:pPr>
        <w:spacing w:after="0" w:line="229"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Added Tax (VAT)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tax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non-current asssets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38"/>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120,853</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290,150</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w:t>
            </w: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522,184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308,094</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-736600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688"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balance of long-term VAT credit is what remains outstanding after the refund of €0.4 million received during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R&amp;D tax credit long-term portion at June 30, 2025, was approximately €0.4 million. As of December 31, 2024, the long-term R&amp;D tax credit balance was zero due to the uncertainty regarding the outcome of the fundraising activities, which had not yet materialized but were successfully concluded in the first half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balance of other non-current assets includes the ROU of a finance lease for a company car:</w:t>
      </w:r>
    </w:p>
    <w:p>
      <w:pPr>
        <w:spacing w:after="0" w:line="22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Term: </w:t>
      </w:r>
      <w:r>
        <w:rPr>
          <w:rFonts w:ascii="Times New Roman" w:cs="Times New Roman" w:eastAsia="Times New Roman" w:hAnsi="Times New Roman"/>
          <w:sz w:val="18"/>
          <w:szCs w:val="18"/>
          <w:color w:val="auto"/>
        </w:rPr>
        <w:t>48 months, from February 2022 to January 2026</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Lease Payment</w:t>
      </w:r>
      <w:r>
        <w:rPr>
          <w:rFonts w:ascii="Times New Roman" w:cs="Times New Roman" w:eastAsia="Times New Roman" w:hAnsi="Times New Roman"/>
          <w:sz w:val="18"/>
          <w:szCs w:val="18"/>
          <w:color w:val="auto"/>
        </w:rPr>
        <w:t>: €13,967 (monthly €1,164), fixed for the term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 Type</w:t>
      </w:r>
      <w:r>
        <w:rPr>
          <w:rFonts w:ascii="Times New Roman" w:cs="Times New Roman" w:eastAsia="Times New Roman" w:hAnsi="Times New Roman"/>
          <w:sz w:val="18"/>
          <w:szCs w:val="18"/>
          <w:color w:val="auto"/>
        </w:rPr>
        <w:t>: Finance lease (Right-of-Use asset recognized)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Recognition</w:t>
      </w:r>
      <w:r>
        <w:rPr>
          <w:rFonts w:ascii="Times New Roman" w:cs="Times New Roman" w:eastAsia="Times New Roman" w:hAnsi="Times New Roman"/>
          <w:sz w:val="18"/>
          <w:szCs w:val="18"/>
          <w:color w:val="auto"/>
        </w:rPr>
        <w:t>: Discounted at 6.25%, resulting in ROU asset and liability of approx. €49,320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 Costs</w:t>
      </w:r>
      <w:r>
        <w:rPr>
          <w:rFonts w:ascii="Times New Roman" w:cs="Times New Roman" w:eastAsia="Times New Roman" w:hAnsi="Times New Roman"/>
          <w:sz w:val="18"/>
          <w:szCs w:val="18"/>
          <w:color w:val="auto"/>
        </w:rPr>
        <w:t>: Accounted for separately (non-lease component)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30 June 2025:</w:t>
      </w:r>
    </w:p>
    <w:p>
      <w:pPr>
        <w:spacing w:after="0" w:line="234"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 asset and current lease liability net value: €7,981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 direct costs were deemed immaterial at inception. Remaining lease obligations extend through January 2026.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Other non-current assets related party consists of a security deposit of €3,350 paid to OSR - San Raffaele Hospital as a security guarantee for the office lease contract. (See Note 18.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benefit obligation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Employees in Italy are entitled to Trattamento di Fine Rapporto (“TFR”), commonly referred to as an employee leaving indemnity, which represents deferred compensation for employees in the private sector. Under Italian law, an entity is obligated to accrue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Compensation – Retirement Benefits.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the obligation at June 30, 2025, and December 31, 2024, was €293,649 and €227,767, respectively. The increase was due to the increase in personnel costs and as a result of new hires in the previous period and the payment of performance bonuses in May 2025, on which a portion of the TFR accrues.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13. Mandatory convertible bond issuance</w:t>
      </w:r>
    </w:p>
    <w:p>
      <w:pPr>
        <w:spacing w:after="0" w:line="227"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color w:val="auto"/>
        </w:rPr>
        <w:t xml:space="preserve">On March 19, 2025, the Company issued the first tranche of a mandatory convertible bond (the “MCB” or the “POC” – </w:t>
      </w:r>
      <w:r>
        <w:rPr>
          <w:rFonts w:ascii="Times New Roman" w:cs="Times New Roman" w:eastAsia="Times New Roman" w:hAnsi="Times New Roman"/>
          <w:sz w:val="18"/>
          <w:szCs w:val="18"/>
          <w:i w:val="1"/>
          <w:iCs w:val="1"/>
          <w:color w:val="auto"/>
        </w:rPr>
        <w:t>Prestito Obbligazionario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Convertibile</w:t>
      </w:r>
      <w:r>
        <w:rPr>
          <w:rFonts w:ascii="Times New Roman" w:cs="Times New Roman" w:eastAsia="Times New Roman" w:hAnsi="Times New Roman"/>
          <w:sz w:val="18"/>
          <w:szCs w:val="18"/>
          <w:color w:val="auto"/>
        </w:rPr>
        <w:t>) for a nominal amount of €7,500,000, as part of a broader issuance totaling €20,000,000, pursuant to the agreement with Fondazione Enea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 e Biomedical (the “Investor”) signed on March 12, 2025.</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instrument denominated “Genenta 2025–2028,” is structured as a three-year mandatory convertible bond, with no cash redemption at maturity. A second tranche of €12,500,000 may be issued contingent on the achievement of clinical, regulatory, and financial milestones, or as otherwise agreed between the parties.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including conversion terms of the instrument are summarized as follows:</w:t>
      </w:r>
    </w:p>
    <w:p>
      <w:pPr>
        <w:spacing w:after="0" w:line="223" w:lineRule="exact"/>
        <w:rPr>
          <w:sz w:val="20"/>
          <w:szCs w:val="20"/>
          <w:color w:val="auto"/>
        </w:rPr>
      </w:pPr>
    </w:p>
    <w:p>
      <w:pPr>
        <w:ind w:left="340"/>
        <w:spacing w:after="0"/>
        <w:tabs>
          <w:tab w:leader="none" w:pos="640" w:val="left"/>
          <w:tab w:leader="none" w:pos="2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Total nominal value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€20,000,000 (two tranches)</w:t>
      </w:r>
    </w:p>
    <w:p>
      <w:pPr>
        <w:spacing w:after="0" w:line="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Tranche 1 issued</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€7,500,000 on March 19,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Tranche 2 (conditional)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€12,500,000, contingent on R&amp;D and financial milestones</w:t>
      </w:r>
    </w:p>
    <w:p>
      <w:pPr>
        <w:spacing w:after="0" w:line="20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conversion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i w:val="1"/>
          <w:iCs w:val="1"/>
          <w:color w:val="auto"/>
        </w:rPr>
        <w:t xml:space="preserve">mandatory and automatic </w:t>
      </w:r>
      <w:r>
        <w:rPr>
          <w:rFonts w:ascii="Times New Roman" w:cs="Times New Roman" w:eastAsia="Times New Roman" w:hAnsi="Times New Roman"/>
          <w:sz w:val="17"/>
          <w:szCs w:val="17"/>
          <w:color w:val="auto"/>
        </w:rPr>
        <w:t>at maturity, or earlier based on specific conditions</w:t>
      </w:r>
    </w:p>
    <w:p>
      <w:pPr>
        <w:spacing w:after="0" w:line="29" w:lineRule="exact"/>
        <w:rPr>
          <w:rFonts w:ascii="Times New Roman" w:cs="Times New Roman" w:eastAsia="Times New Roman" w:hAnsi="Times New Roman"/>
          <w:sz w:val="18"/>
          <w:szCs w:val="18"/>
          <w:color w:val="auto"/>
        </w:rPr>
      </w:pPr>
    </w:p>
    <w:p>
      <w:pPr>
        <w:ind w:left="2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 Change of Control or Investment Round)</w:t>
      </w:r>
    </w:p>
    <w:p>
      <w:pPr>
        <w:spacing w:after="0" w:line="9" w:lineRule="exact"/>
        <w:rPr>
          <w:rFonts w:ascii="Times New Roman" w:cs="Times New Roman" w:eastAsia="Times New Roman" w:hAnsi="Times New Roman"/>
          <w:sz w:val="18"/>
          <w:szCs w:val="18"/>
          <w:color w:val="auto"/>
        </w:rPr>
      </w:pPr>
    </w:p>
    <w:p>
      <w:pPr>
        <w:ind w:left="2760" w:right="3200" w:hanging="2428"/>
        <w:spacing w:after="0" w:line="250"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formula</w:t>
      </w:r>
      <w:r>
        <w:rPr>
          <w:rFonts w:ascii="Times New Roman" w:cs="Times New Roman" w:eastAsia="Times New Roman" w:hAnsi="Times New Roman"/>
          <w:sz w:val="18"/>
          <w:szCs w:val="18"/>
          <w:color w:val="auto"/>
        </w:rPr>
        <w:t>:55% based on the 90-day VWAP of ADS + 45% based on the fair market value determined by a third party</w:t>
      </w:r>
    </w:p>
    <w:p>
      <w:pPr>
        <w:sectPr>
          <w:pgSz w:w="11900" w:h="16838" w:orient="portrait"/>
          <w:cols w:equalWidth="0" w:num="1">
            <w:col w:w="11240"/>
          </w:cols>
          <w:pgMar w:left="320" w:top="684" w:right="339" w:bottom="1440" w:gutter="0" w:footer="0" w:header="0"/>
        </w:sectPr>
      </w:pPr>
    </w:p>
    <w:p>
      <w:pPr>
        <w:spacing w:after="0" w:line="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i w:val="1"/>
          <w:iCs w:val="1"/>
          <w:color w:val="auto"/>
        </w:rPr>
        <w:t>Conversion price cap</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Equity cap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 17.64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limited to a maximum of 29% of share capital</w:t>
      </w:r>
    </w:p>
    <w:p>
      <w:pPr>
        <w:spacing w:after="0" w:line="20" w:lineRule="exact"/>
        <w:rPr>
          <w:sz w:val="20"/>
          <w:szCs w:val="20"/>
          <w:color w:val="auto"/>
        </w:rPr>
      </w:pPr>
    </w:p>
    <w:p>
      <w:pPr>
        <w:sectPr>
          <w:pgSz w:w="11900" w:h="16838" w:orient="portrait"/>
          <w:cols w:equalWidth="0" w:num="2">
            <w:col w:w="2260" w:space="500"/>
            <w:col w:w="8480"/>
          </w:cols>
          <w:pgMar w:left="320" w:top="684" w:right="339" w:bottom="1440" w:gutter="0" w:footer="0" w:header="0"/>
          <w:type w:val="continuous"/>
        </w:sect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Discount (if applicable)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6% or 3% depending on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720" w:hanging="323"/>
        <w:spacing w:after="0"/>
        <w:tabs>
          <w:tab w:leader="none" w:pos="27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per annum if paid in ordinary shares (“equity-settled”)</w:t>
      </w:r>
    </w:p>
    <w:p>
      <w:pPr>
        <w:spacing w:after="0" w:line="9" w:lineRule="exact"/>
        <w:rPr>
          <w:rFonts w:ascii="Times New Roman" w:cs="Times New Roman" w:eastAsia="Times New Roman" w:hAnsi="Times New Roman"/>
          <w:sz w:val="18"/>
          <w:szCs w:val="18"/>
          <w:color w:val="auto"/>
        </w:rPr>
      </w:pPr>
    </w:p>
    <w:p>
      <w:pPr>
        <w:ind w:left="2720" w:hanging="323"/>
        <w:spacing w:after="0"/>
        <w:tabs>
          <w:tab w:leader="none" w:pos="27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per annum if paid in cash</w:t>
      </w:r>
    </w:p>
    <w:p>
      <w:pPr>
        <w:spacing w:after="0" w:line="9" w:lineRule="exact"/>
        <w:rPr>
          <w:rFonts w:ascii="Times New Roman" w:cs="Times New Roman" w:eastAsia="Times New Roman" w:hAnsi="Times New Roman"/>
          <w:sz w:val="18"/>
          <w:szCs w:val="18"/>
          <w:color w:val="auto"/>
        </w:rPr>
      </w:pPr>
    </w:p>
    <w:p>
      <w:pPr>
        <w:ind w:left="2720" w:hanging="323"/>
        <w:spacing w:after="0"/>
        <w:tabs>
          <w:tab w:leader="none" w:pos="27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accrued annually and payable in full upon conversion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No right of early redemption by the bondholder, except in the case of default or material breach</w:t>
      </w:r>
    </w:p>
    <w:p>
      <w:pPr>
        <w:spacing w:after="0" w:line="9" w:lineRule="exact"/>
        <w:rPr>
          <w:rFonts w:ascii="Times New Roman" w:cs="Times New Roman" w:eastAsia="Times New Roman" w:hAnsi="Times New Roman"/>
          <w:sz w:val="18"/>
          <w:szCs w:val="18"/>
          <w:color w:val="auto"/>
        </w:rPr>
      </w:pPr>
    </w:p>
    <w:p>
      <w:pPr>
        <w:ind w:left="2760" w:hanging="2428"/>
        <w:spacing w:after="0" w:line="25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Price of conversion</w:t>
      </w:r>
      <w:r>
        <w:rPr>
          <w:rFonts w:ascii="Times New Roman" w:cs="Times New Roman" w:eastAsia="Times New Roman" w:hAnsi="Times New Roman"/>
          <w:sz w:val="18"/>
          <w:szCs w:val="18"/>
          <w:color w:val="auto"/>
        </w:rPr>
        <w:t>:Weighted average of 55% market ADS price and 45% fair value (as determined by an independent advisor), with caps and anti-dilution adjustments (see Conversion Formula above)</w:t>
      </w:r>
    </w:p>
    <w:p>
      <w:pPr>
        <w:spacing w:after="0" w:line="1" w:lineRule="exact"/>
        <w:rPr>
          <w:sz w:val="20"/>
          <w:szCs w:val="20"/>
          <w:color w:val="auto"/>
        </w:rPr>
      </w:pPr>
    </w:p>
    <w:p>
      <w:pPr>
        <w:ind w:left="340"/>
        <w:spacing w:after="0"/>
        <w:tabs>
          <w:tab w:leader="none" w:pos="640" w:val="left"/>
          <w:tab w:leader="none" w:pos="2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Converted shares are subject to lock-up (2 years, or 1 year if converted early)</w:t>
      </w:r>
    </w:p>
    <w:p>
      <w:pPr>
        <w:spacing w:after="0" w:line="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:No embedded derivative requiring bifurcation, no cash settlement feature</w:t>
      </w:r>
    </w:p>
    <w:p>
      <w:pPr>
        <w:spacing w:after="0" w:line="207" w:lineRule="exact"/>
        <w:rPr>
          <w:sz w:val="20"/>
          <w:szCs w:val="20"/>
          <w:color w:val="auto"/>
        </w:rPr>
      </w:pPr>
    </w:p>
    <w:p>
      <w:pPr>
        <w:jc w:val="both"/>
        <w:ind w:right="20" w:firstLine="638"/>
        <w:spacing w:after="0" w:line="282" w:lineRule="auto"/>
        <w:rPr>
          <w:sz w:val="20"/>
          <w:szCs w:val="20"/>
          <w:color w:val="auto"/>
        </w:rPr>
      </w:pPr>
      <w:r>
        <w:rPr>
          <w:rFonts w:ascii="Times New Roman" w:cs="Times New Roman" w:eastAsia="Times New Roman" w:hAnsi="Times New Roman"/>
          <w:sz w:val="18"/>
          <w:szCs w:val="18"/>
          <w:color w:val="auto"/>
        </w:rPr>
        <w:t>The Company’s Board has formally resolved at its meeting on June 4, 2025, to pay interest in shares at the annual rate of 6%, not in cash, subject to any extraordinary activity of the Company requiring cash payment, such as a merger, acquisition, or other change in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is accrued annually at a rate of 6% and fully payable in ordinary shares (“equity-settled”) upon conversion of the MCB. Since the instrument is measured at fair value, interest is not accrued separately; instead, it is embedded in the liability’s fair value. Consequently, the total fair value of the liability (including the implicit interest) is remeasured at each reporting date, and any change in fair value is a gain (loss) of the reporting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due diligence costs related to the agreement with the Investor and the issuance of the MCB, recognized in the Consolidated Statements of Operations and Comprehensive Loss as financial expenses as of June 30, 2025, is approximately €391,000.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valuation at initial recognition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conversion terms are contingent upon specific corporate scenarios such as an investment round, a change of control, maturity, and dissolution, with scenario-based probabilities assigned to each. Given the presence of non-linear payoffs, optionality features, and market-linked triggers, a Monte Carlo simulation model was employed to value the instrument at initial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t>The valuation was made using a risk-neutral Monte Carlo simulation model consisting of 20,000 paths, projecting the issuer’s stock price via Geometric Brownian Motion with volatility calibrated over a three (3) year forward-looking horizon.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Key inputs included: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Parameter</w:t>
            </w:r>
          </w:p>
        </w:tc>
        <w:tc>
          <w:tcPr>
            <w:tcW w:w="60" w:type="dxa"/>
            <w:vAlign w:val="bottom"/>
          </w:tcPr>
          <w:p>
            <w:pPr>
              <w:spacing w:after="0"/>
              <w:rPr>
                <w:sz w:val="24"/>
                <w:szCs w:val="24"/>
                <w:color w:val="auto"/>
              </w:rPr>
            </w:pP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Value / Source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19, 2025</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Maturity</w:t>
            </w:r>
          </w:p>
        </w:tc>
        <w:tc>
          <w:tcPr>
            <w:tcW w:w="60" w:type="dxa"/>
            <w:vAlign w:val="bottom"/>
          </w:tcPr>
          <w:p>
            <w:pPr>
              <w:spacing w:after="0"/>
              <w:rPr>
                <w:sz w:val="18"/>
                <w:szCs w:val="18"/>
                <w:color w:val="auto"/>
              </w:rPr>
            </w:pP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March 19, 2028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Nominal value</w:t>
            </w:r>
          </w:p>
        </w:tc>
        <w:tc>
          <w:tcPr>
            <w:tcW w:w="60" w:type="dxa"/>
            <w:vAlign w:val="bottom"/>
            <w:shd w:val="clear" w:color="auto" w:fill="CCEEFF"/>
          </w:tcPr>
          <w:p>
            <w:pPr>
              <w:spacing w:after="0"/>
              <w:rPr>
                <w:sz w:val="18"/>
                <w:szCs w:val="18"/>
                <w:color w:val="auto"/>
              </w:rPr>
            </w:pPr>
          </w:p>
        </w:tc>
        <w:tc>
          <w:tcPr>
            <w:tcW w:w="5820" w:type="dxa"/>
            <w:vAlign w:val="bottom"/>
            <w:gridSpan w:val="1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$8.165 million (converted from €7.5 million FX as of 3/19/2025)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Risk-free rate</w:t>
            </w:r>
          </w:p>
        </w:tc>
        <w:tc>
          <w:tcPr>
            <w:tcW w:w="60" w:type="dxa"/>
            <w:vAlign w:val="bottom"/>
          </w:tcPr>
          <w:p>
            <w:pPr>
              <w:spacing w:after="0"/>
              <w:rPr>
                <w:sz w:val="18"/>
                <w:szCs w:val="18"/>
                <w:color w:val="auto"/>
              </w:rPr>
            </w:pPr>
          </w:p>
        </w:tc>
        <w:tc>
          <w:tcPr>
            <w:tcW w:w="358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4.00% (U.S. Treasury, 3.0-year term)</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volatility (annualized)</w:t>
            </w:r>
          </w:p>
        </w:tc>
        <w:tc>
          <w:tcPr>
            <w:tcW w:w="60" w:type="dxa"/>
            <w:vAlign w:val="bottom"/>
            <w:shd w:val="clear" w:color="auto" w:fill="CCEEFF"/>
          </w:tcPr>
          <w:p>
            <w:pPr>
              <w:spacing w:after="0"/>
              <w:rPr>
                <w:sz w:val="18"/>
                <w:szCs w:val="18"/>
                <w:color w:val="auto"/>
              </w:rPr>
            </w:pPr>
          </w:p>
        </w:tc>
        <w:tc>
          <w:tcPr>
            <w:tcW w:w="358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83.0% (Historical, 3.0-year horizon)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price on valuation date</w:t>
            </w:r>
          </w:p>
        </w:tc>
        <w:tc>
          <w:tcPr>
            <w:tcW w:w="60" w:type="dxa"/>
            <w:vAlign w:val="bottom"/>
          </w:tcPr>
          <w:p>
            <w:pPr>
              <w:spacing w:after="0"/>
              <w:rPr>
                <w:sz w:val="18"/>
                <w:szCs w:val="18"/>
                <w:color w:val="auto"/>
              </w:rPr>
            </w:pPr>
          </w:p>
        </w:tc>
        <w:tc>
          <w:tcPr>
            <w:tcW w:w="358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$3.82 (Nasdaq CM: GNTA – S&amp;P Capital IQ)</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Simulated term</w:t>
            </w:r>
          </w:p>
        </w:tc>
        <w:tc>
          <w:tcPr>
            <w:tcW w:w="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years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simulations</w:t>
            </w:r>
          </w:p>
        </w:tc>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Scenarios modeled: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bond</w:t>
            </w: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payoff</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PV</w:t>
            </w:r>
          </w:p>
        </w:tc>
      </w:tr>
      <w:tr>
        <w:trPr>
          <w:trHeight w:val="216"/>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Event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Probability</w:t>
            </w:r>
          </w:p>
        </w:tc>
        <w:tc>
          <w:tcPr>
            <w:tcW w:w="3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3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3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PV factor</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00" w:type="dxa"/>
            <w:vAlign w:val="bottom"/>
            <w:tcBorders>
              <w:bottom w:val="single" w:sz="8" w:color="CCEEFF"/>
            </w:tcBorders>
          </w:tcPr>
          <w:p>
            <w:pPr>
              <w:spacing w:after="0"/>
              <w:rPr>
                <w:sz w:val="20"/>
                <w:szCs w:val="20"/>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round</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w:t>
            </w:r>
          </w:p>
        </w:tc>
        <w:tc>
          <w:tcPr>
            <w:tcW w:w="1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12/31/2027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9,776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0.8221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5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3/19/2028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10,317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0.8098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Dissolution</w:t>
            </w:r>
          </w:p>
        </w:tc>
        <w:tc>
          <w:tcPr>
            <w:tcW w:w="1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9/30/2026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0.8977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8,165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Fair value in euros (at spot FX rate): </w:t>
      </w:r>
      <w:r>
        <w:rPr>
          <w:rFonts w:ascii="Times New Roman" w:cs="Times New Roman" w:eastAsia="Times New Roman" w:hAnsi="Times New Roman"/>
          <w:sz w:val="18"/>
          <w:szCs w:val="18"/>
          <w:b w:val="1"/>
          <w:bCs w:val="1"/>
          <w:color w:val="auto"/>
        </w:rPr>
        <w:t>€7,500,000.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subsequent measurement at June 30, 2025</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was updated as of June 30, 2025, using a Monte Carlo simulation with 20,000 price paths, calibrated using a Geometric Brownian Motion model to simulate GNTA share prices and scenario-specific conversion payoffs.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Key valuation inputs:</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Pr>
          <w:p>
            <w:pPr>
              <w:spacing w:after="0"/>
              <w:rPr>
                <w:sz w:val="24"/>
                <w:szCs w:val="24"/>
                <w:color w:val="auto"/>
              </w:rPr>
            </w:pPr>
          </w:p>
        </w:tc>
        <w:tc>
          <w:tcPr>
            <w:tcW w:w="18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w:t>
            </w:r>
          </w:p>
        </w:tc>
        <w:tc>
          <w:tcPr>
            <w:tcW w:w="220" w:type="dxa"/>
            <w:vAlign w:val="bottom"/>
          </w:tcPr>
          <w:p>
            <w:pPr>
              <w:spacing w:after="0"/>
              <w:rPr>
                <w:sz w:val="20"/>
                <w:szCs w:val="20"/>
                <w:color w:val="auto"/>
              </w:rPr>
            </w:pPr>
          </w:p>
        </w:tc>
        <w:tc>
          <w:tcPr>
            <w:tcW w:w="20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19, 2025</w:t>
            </w:r>
          </w:p>
        </w:tc>
        <w:tc>
          <w:tcPr>
            <w:tcW w:w="260" w:type="dxa"/>
            <w:vAlign w:val="bottom"/>
          </w:tcPr>
          <w:p>
            <w:pPr>
              <w:spacing w:after="0"/>
              <w:rPr>
                <w:sz w:val="20"/>
                <w:szCs w:val="20"/>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GNTA share price</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volatility (3.0-year horizon)</w:t>
            </w:r>
          </w:p>
        </w:tc>
        <w:tc>
          <w:tcPr>
            <w:tcW w:w="22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(3.0 years)</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Implied yield (adjusted yield for June 30, 2025)</w:t>
            </w:r>
          </w:p>
        </w:tc>
        <w:tc>
          <w:tcPr>
            <w:tcW w:w="22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 years</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 years</w:t>
            </w:r>
          </w:p>
        </w:tc>
      </w:tr>
      <w:tr>
        <w:trPr>
          <w:trHeight w:val="432"/>
        </w:trPr>
        <w:tc>
          <w:tcPr>
            <w:tcW w:w="6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Scenarios modeled:</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bond</w:t>
            </w:r>
          </w:p>
        </w:tc>
        <w:tc>
          <w:tcPr>
            <w:tcW w:w="1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payoff</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PV</w:t>
            </w:r>
          </w:p>
        </w:tc>
      </w:tr>
      <w:tr>
        <w:trPr>
          <w:trHeight w:val="23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Probability</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Event date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(USD 000s)</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 000s)</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PV factor</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 000s)</w:t>
            </w:r>
          </w:p>
        </w:tc>
        <w:tc>
          <w:tcPr>
            <w:tcW w:w="100" w:type="dxa"/>
            <w:vAlign w:val="bottom"/>
            <w:tcBorders>
              <w:bottom w:val="single" w:sz="8" w:color="CCEEFF"/>
            </w:tcBorders>
          </w:tcPr>
          <w:p>
            <w:pPr>
              <w:spacing w:after="0"/>
              <w:rPr>
                <w:sz w:val="20"/>
                <w:szCs w:val="20"/>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round</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of control</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12/31/2027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0.8472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3/19/2028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10,863</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0.8352</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8,166</w:t>
            </w:r>
          </w:p>
        </w:tc>
      </w:tr>
      <w:tr>
        <w:trPr>
          <w:trHeight w:val="21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Dissolution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12/31/2026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0.9052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Fair value in euros (at spot FX rate): </w:t>
      </w:r>
      <w:r>
        <w:rPr>
          <w:rFonts w:ascii="Times New Roman" w:cs="Times New Roman" w:eastAsia="Times New Roman" w:hAnsi="Times New Roman"/>
          <w:sz w:val="18"/>
          <w:szCs w:val="18"/>
          <w:b w:val="1"/>
          <w:bCs w:val="1"/>
          <w:color w:val="auto"/>
        </w:rPr>
        <w:t>€7,555,000.</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increase primarily reflects currency translation movement, the lower market yield, time decay, accumulation of accrued PIK interest, and minor equity path shifts despite a lower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Shareholders’ equity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18,216,958 ordinary shares issued and outstanding with approximately 1.8 million ordinary shares reserved for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2024, 72,908 new ADSs were sold and issued pursuant to the Prior ATM, and the Company recorded an increase in ordinary shares, no par value of €270,885.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six-months ended June 30, 2024, the Company accrued €232,768 as the fair value of stock options granted as per the Plan. (See Note 15. Share-based compensation for more details.)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2024, the Company had 18,289,866 common shares issued and outstanding, with approximately 1.8 million ordinary shares reserved for the Plan.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18,289,866 common shares issued and outstanding with approximately 0.9 million ordinary shares reserved for the Plan.</w:t>
      </w:r>
    </w:p>
    <w:p>
      <w:pPr>
        <w:spacing w:after="0" w:line="37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March 2025, 856,602 new ADSs were issued pursuant to the ATM, and the Company recorded an increase in ordinary shares, no par value of €2,977,061.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2025, the Company had 19,146,468 ordinary shares issued and outstanding, with approximately 0.4 million common shares reserved for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accrued €424,360 as the fair value of stock options granted as per the Plan. (See Note 15. Share-based compensation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mentioned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to reward the efforts of employees, officers, directors, and certain consultants, and to promote the Company’s growth and development, the Board may approve, upon occasion, various share-based awards.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table that summarizes the key information regarding the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34"/>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20"/>
                <w:szCs w:val="20"/>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term (Years)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intrinsic value</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587,650</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(204,265)</w:t>
            </w:r>
          </w:p>
        </w:tc>
        <w:tc>
          <w:tcPr>
            <w:tcW w:w="10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970,308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514,210</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199,667</w:t>
            </w:r>
          </w:p>
        </w:tc>
        <w:tc>
          <w:tcPr>
            <w:tcW w:w="100" w:type="dxa"/>
            <w:vAlign w:val="bottom"/>
            <w:tcBorders>
              <w:bottom w:val="single" w:sz="8" w:color="CCEEFF"/>
            </w:tcBorders>
          </w:tcPr>
          <w:p>
            <w:pPr>
              <w:spacing w:after="0"/>
              <w:rPr>
                <w:sz w:val="18"/>
                <w:szCs w:val="18"/>
                <w:color w:val="auto"/>
              </w:rPr>
            </w:pPr>
          </w:p>
        </w:tc>
      </w:tr>
      <w:tr>
        <w:trPr>
          <w:trHeight w:val="174"/>
        </w:trPr>
        <w:tc>
          <w:tcPr>
            <w:tcW w:w="42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Outstanding, expected to vest as of December 31,</w:t>
            </w:r>
          </w:p>
        </w:tc>
        <w:tc>
          <w:tcPr>
            <w:tcW w:w="1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5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456,098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9.33</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506,699</w:t>
            </w:r>
          </w:p>
        </w:tc>
      </w:tr>
      <w:tr>
        <w:trPr>
          <w:trHeight w:val="209"/>
        </w:trPr>
        <w:tc>
          <w:tcPr>
            <w:tcW w:w="4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970,308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3.65</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706,366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495,507</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1,465,815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Exercisable as of June 30,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662,291</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270,230</w:t>
            </w:r>
          </w:p>
        </w:tc>
        <w:tc>
          <w:tcPr>
            <w:tcW w:w="100" w:type="dxa"/>
            <w:vAlign w:val="bottom"/>
            <w:tcBorders>
              <w:bottom w:val="single" w:sz="8" w:color="CCEEFF"/>
            </w:tcBorders>
          </w:tcPr>
          <w:p>
            <w:pPr>
              <w:spacing w:after="0"/>
              <w:rPr>
                <w:sz w:val="18"/>
                <w:szCs w:val="18"/>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expected to vest as of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803,524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3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363,835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January 1, 2024, there were 586,923 granted stock options and 1,234,772 stock options remaining available for grant.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April 2024, non-qualified stock options (“NSOs”) on 147,783 shares expired unexercised. These options had a two (2) year term and were awarded to the Company’s former Chairman in April 2022, according to the terms of a sub-plan called the “2021-2025 Chairman Sub-Plan” (or the “Sub-Plan”) attached to the original Equity Incentive Plan 2021–2025.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2024, the Board, as the administrator of the Equity Incentive Plan 2021-2025, awarded NSOs on 587,650 shares to the Company’s directors, officers, and employees. The directors’ NSOs vest immediately with a 10-year term. The officer and employee NSOs have a 10-year term and vest monthly over a three (3) year period, except that employees with less than one year of service have a one-year cliff vesting from the date of hire, and then monthly vesting thereafter. All options have an exercise price utilizing the stock price at the date of grant of $3.083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second half of 2024, two employees and a consultant left the Company. As per the applicable rules, the options already granted to employees and consultants, but not yet vested as of the termination date of their respective employment or consultancy contracts, have been returned to the stock option pool for a total of 56,482. Combined with those already returned to the pool in April 2024, a total of 204,265 options were returned to the pool in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there were 970,308 granted stock options and 858,678 stock options remaining available for grant.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2025, the Board, as the administrator of the Equity Incentive Plan 2021–2025, awarded NSOs on 495,507 shares to the Company’s directors, officers, and employees. For the Chairman and CEO, the NSOs vest monthly over three (3) years and have a 10-year term. For the other two directors of the Company, the NSOs vest monthly over one (1) year, also with a 10-year term. The NSOs granted to officers and employees also have a 10-year term and vest monthly over three (3) years, except for employees with less than one (1) year of service, whose options include a one-year cliff vesting from the date of hire, followed by monthly vesting thereafter.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2025, the CFO was awarded 23,007 NSOs instead of a portion of his 2023 and 2024 performance cash bonus. These options vested immediately and have a 10-year term.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there were 1,670,080 granted stock options and 448,831 stock options remaining available for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options were granted with an exercise price of $4.36 per share, reflecting the stock price on the date of grant.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stock option awards granted to employees and non-employees using the Black-Scholes option-pricing method. The Company chose this method because it is considered easier to apply, and it is a defined equation that incorporates only one set of inputs. As a result, it is the model most commonly in use.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determined that other methods were more reasonable, or other methods for calculating these assumptions were prescribed by regulators, the fair value calculated for the Company’s stock options could change significantly. Higher volatility and longer expected lives would result in an increase in the share-based compensation expense to non-employees determined at the date of grant. Share-based compensation expense to non-employees affects the Company’s general and administrative expenses and research and development expenses, depending on the non-employee’s function.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calculated the stock-based compensation expense for the granted options using the Black-Scholes method, applying the following inputs for each stock grant:</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exercise price.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expected term.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current price.</w:t>
      </w:r>
    </w:p>
    <w:p>
      <w:pPr>
        <w:spacing w:after="0" w:line="9" w:lineRule="exact"/>
        <w:rPr>
          <w:rFonts w:ascii="Times New Roman" w:cs="Times New Roman" w:eastAsia="Times New Roman" w:hAnsi="Times New Roman"/>
          <w:sz w:val="18"/>
          <w:szCs w:val="18"/>
          <w:color w:val="auto"/>
        </w:rPr>
      </w:pPr>
    </w:p>
    <w:p>
      <w:pPr>
        <w:ind w:left="980" w:right="42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expected price volatility during the option’s expected (or in certain cases, contractual) term, or in cases where the calculated value is used, the historical volatility of an appropriate industry sector index.</w:t>
      </w:r>
    </w:p>
    <w:p>
      <w:pPr>
        <w:ind w:left="980" w:right="1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expected dividends during the option’s expected (or in certain cases, contractual) term, except in cases such as when dividend protection is provided; and</w:t>
      </w: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during the option’s expected (or in certain cases, contractual)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The Company’s share-based compensation expense for the period ended June 30, 2025, and June 30, 2024, is represented by the following table:</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Euros)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&amp; development expense</w:t>
      </w:r>
    </w:p>
    <w:p>
      <w:pPr>
        <w:spacing w:after="0" w:line="23" w:lineRule="exact"/>
        <w:rPr>
          <w:sz w:val="20"/>
          <w:szCs w:val="20"/>
          <w:color w:val="auto"/>
        </w:rPr>
      </w:pPr>
    </w:p>
    <w:p>
      <w:pPr>
        <w:ind w:right="2760"/>
        <w:spacing w:after="0" w:line="250" w:lineRule="auto"/>
        <w:rPr>
          <w:sz w:val="20"/>
          <w:szCs w:val="20"/>
          <w:color w:val="auto"/>
        </w:rPr>
      </w:pPr>
      <w:r>
        <w:rPr>
          <w:rFonts w:ascii="Times New Roman" w:cs="Times New Roman" w:eastAsia="Times New Roman" w:hAnsi="Times New Roman"/>
          <w:sz w:val="18"/>
          <w:szCs w:val="18"/>
          <w:color w:val="auto"/>
        </w:rPr>
        <w:t>Research &amp; development expense - related party General &amp; administrative expense</w:t>
      </w:r>
    </w:p>
    <w:p>
      <w:pPr>
        <w:spacing w:after="0" w:line="1" w:lineRule="exact"/>
        <w:rPr>
          <w:sz w:val="20"/>
          <w:szCs w:val="20"/>
          <w:color w:val="auto"/>
        </w:rPr>
      </w:pPr>
    </w:p>
    <w:p>
      <w:pPr>
        <w:ind w:right="2740"/>
        <w:spacing w:after="0" w:line="276" w:lineRule="auto"/>
        <w:rPr>
          <w:sz w:val="20"/>
          <w:szCs w:val="20"/>
          <w:color w:val="auto"/>
        </w:rPr>
      </w:pPr>
      <w:r>
        <w:rPr>
          <w:rFonts w:ascii="Times New Roman" w:cs="Times New Roman" w:eastAsia="Times New Roman" w:hAnsi="Times New Roman"/>
          <w:sz w:val="18"/>
          <w:szCs w:val="18"/>
          <w:color w:val="auto"/>
        </w:rPr>
        <w:t>General &amp; administrative expense - related party Total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expense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Year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34"/>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82,369</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68,449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161,740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2,652,303</w:t>
            </w:r>
          </w:p>
        </w:tc>
        <w:tc>
          <w:tcPr>
            <w:tcW w:w="3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-610870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-328295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-894080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6260" w:space="720"/>
            <w:col w:w="4260"/>
          </w:cols>
          <w:pgMar w:left="320" w:top="688" w:right="339" w:bottom="1440" w:gutter="0" w:footer="0" w:header="0"/>
          <w:type w:val="continuous"/>
        </w:sectPr>
      </w:pPr>
    </w:p>
    <w:p>
      <w:pPr>
        <w:jc w:val="both"/>
        <w:ind w:firstLine="76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June 30, 2024, the Company recorded €352,364 and €232,768, respectively, as the fair value of the stock options granted. The amount of unrecognized expense at June 30, 2025, and June 30, 2024, was €2,652,303 and €747,043, respectively.</w:t>
      </w:r>
    </w:p>
    <w:p>
      <w:pPr>
        <w:spacing w:after="0" w:line="162" w:lineRule="exact"/>
        <w:rPr>
          <w:sz w:val="20"/>
          <w:szCs w:val="20"/>
          <w:color w:val="auto"/>
        </w:rPr>
      </w:pPr>
    </w:p>
    <w:p>
      <w:pPr>
        <w:jc w:val="both"/>
        <w:ind w:firstLine="766"/>
        <w:spacing w:after="0" w:line="266" w:lineRule="auto"/>
        <w:rPr>
          <w:sz w:val="20"/>
          <w:szCs w:val="20"/>
          <w:color w:val="auto"/>
        </w:rPr>
      </w:pPr>
      <w:r>
        <w:rPr>
          <w:rFonts w:ascii="Times New Roman" w:cs="Times New Roman" w:eastAsia="Times New Roman" w:hAnsi="Times New Roman"/>
          <w:sz w:val="18"/>
          <w:szCs w:val="18"/>
          <w:color w:val="auto"/>
        </w:rPr>
        <w:t>The amount of stock option expenses recognized in the Consolidated Statements of Operations and Comprehensive Loss, totaling €352,364, differs from the €424,360 reported in the Consolidated Statements of Changes in Shareholders’ Equity. The difference of €71,995 is explained by the partial offset of provisions previously accrued in the Consolidated Balance Sheets for 2023 and 2024 performance bonuses.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grant date fair value of the options granted during the six months ended June 30, 2025, was €3.83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options granted during the six months ended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Weighted average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number of shares outstanding is calculated by weighting the shares outstanding during the period for the length of time they were outstanding. For the six months ended June 30, 2025, and June 30, 2024, the Company had weighted average ordinary shares outstanding of 18,767,859 and 18,256,622, respectively. The Company’s ordinary shares have no par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relates to marketable securities fair value measurement reserve and cumulative translation adjustment reserve as reported in the following table:</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 for net (gain) loss on marketable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marketable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Changes in Accumulated Other Comprehensive Income</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For the Period Ending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347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Unrealized gains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and losses on</w:t>
            </w:r>
          </w:p>
        </w:tc>
        <w:tc>
          <w:tcPr>
            <w:tcW w:w="1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available-for-sale</w:t>
            </w:r>
          </w:p>
        </w:tc>
        <w:tc>
          <w:tcPr>
            <w:tcW w:w="1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translation</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debt securities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adjustments</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gridSpan w:val="2"/>
          </w:tcPr>
          <w:p>
            <w:pPr>
              <w:spacing w:after="0"/>
              <w:rPr>
                <w:sz w:val="20"/>
                <w:szCs w:val="20"/>
                <w:color w:val="auto"/>
              </w:rPr>
            </w:pPr>
          </w:p>
        </w:tc>
      </w:tr>
      <w:tr>
        <w:trPr>
          <w:trHeight w:val="40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96,234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(7,288)</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88,946</w:t>
            </w:r>
          </w:p>
        </w:tc>
      </w:tr>
      <w:tr>
        <w:trPr>
          <w:trHeight w:val="216"/>
        </w:trPr>
        <w:tc>
          <w:tcPr>
            <w:tcW w:w="160" w:type="dxa"/>
            <w:vAlign w:val="bottom"/>
          </w:tcPr>
          <w:p>
            <w:pPr>
              <w:spacing w:after="0"/>
              <w:rPr>
                <w:sz w:val="18"/>
                <w:szCs w:val="18"/>
                <w:color w:val="auto"/>
              </w:rPr>
            </w:pP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(96,234)</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(96,234)</w:t>
            </w:r>
          </w:p>
        </w:tc>
      </w:tr>
      <w:tr>
        <w:trPr>
          <w:trHeight w:val="230"/>
        </w:trPr>
        <w:tc>
          <w:tcPr>
            <w:tcW w:w="160" w:type="dxa"/>
            <w:vAlign w:val="bottom"/>
          </w:tcPr>
          <w:p>
            <w:pPr>
              <w:spacing w:after="0"/>
              <w:rPr>
                <w:sz w:val="19"/>
                <w:szCs w:val="19"/>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70,169</w:t>
            </w:r>
          </w:p>
        </w:tc>
        <w:tc>
          <w:tcPr>
            <w:tcW w:w="16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70,169</w:t>
            </w:r>
          </w:p>
        </w:tc>
      </w:tr>
      <w:tr>
        <w:trPr>
          <w:trHeight w:val="234"/>
        </w:trPr>
        <w:tc>
          <w:tcPr>
            <w:tcW w:w="160" w:type="dxa"/>
            <w:vAlign w:val="bottom"/>
          </w:tcPr>
          <w:p>
            <w:pPr>
              <w:spacing w:after="0"/>
              <w:rPr>
                <w:sz w:val="20"/>
                <w:szCs w:val="20"/>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69,663</w:t>
            </w:r>
          </w:p>
        </w:tc>
        <w:tc>
          <w:tcPr>
            <w:tcW w:w="36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69,663</w:t>
            </w:r>
          </w:p>
        </w:tc>
      </w:tr>
      <w:tr>
        <w:trPr>
          <w:trHeight w:val="223"/>
        </w:trPr>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70,169</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62,375</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132,544</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-736600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-462280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274320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840"/>
          </w:cols>
          <w:pgMar w:left="320" w:top="688" w:right="339" w:bottom="1440" w:gutter="0" w:footer="0" w:header="0"/>
          <w:type w:val="continuous"/>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The unrealized net gain on marketable securities not matured at June 30, 2025, was approximately €26,000.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Translation adjustments on investment transactions expressed in U.S. dollars were not material.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cumulative translation adjustments reserve mainly includes the effect of the translation of U.S. dollars held by the U.S. Subsidiary into Euros as the consolidated financial statements’ currency.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R&amp;D expenses are a combination of third-party expenses, and related party expenses, as detailed below:</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&amp; other third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&amp; supplies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(including share-based)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&amp; entertainment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113,224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77,500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190,724</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890,580</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890,580</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344,999</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8,399</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353,398</w:t>
            </w:r>
          </w:p>
        </w:tc>
      </w:tr>
      <w:tr>
        <w:trPr>
          <w:trHeight w:val="230"/>
        </w:trPr>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14,935</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r>
      <w:tr>
        <w:trPr>
          <w:trHeight w:val="234"/>
        </w:trPr>
        <w:tc>
          <w:tcPr>
            <w:tcW w:w="2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5,098</w:t>
            </w:r>
          </w:p>
        </w:tc>
        <w:tc>
          <w:tcPr>
            <w:tcW w:w="18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23"/>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1,368,836</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1,454,736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-873760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-599440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-325120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&amp; other third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&amp; supplies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(including share-based)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&amp; entertainment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113,498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303,298</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416,796</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911,246</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911,246</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349,839</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329,227</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679,066</w:t>
            </w:r>
          </w:p>
        </w:tc>
      </w:tr>
      <w:tr>
        <w:trPr>
          <w:trHeight w:val="230"/>
        </w:trPr>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17,589</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r>
      <w:tr>
        <w:trPr>
          <w:trHeight w:val="234"/>
        </w:trPr>
        <w:tc>
          <w:tcPr>
            <w:tcW w:w="2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15,693</w:t>
            </w:r>
          </w:p>
        </w:tc>
        <w:tc>
          <w:tcPr>
            <w:tcW w:w="18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w:t>
            </w:r>
          </w:p>
        </w:tc>
      </w:tr>
      <w:tr>
        <w:trPr>
          <w:trHeight w:val="223"/>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1,407,865</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632,525</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2,040,390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-873760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-599440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-325120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80" w:space="720"/>
            <w:col w:w="5840"/>
          </w:cols>
          <w:pgMar w:left="320" w:top="688"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Related party R&amp;D expenses for consultants &amp; other third parties refer mainly to the costs of preclinical and clinical activities charged by OSR. The decrease compared to the previous period is mainly due to the greater offsetting effect of these costs with the tax benefit resulting from the revaluation of the R&amp;D tax credit as of June 30,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costs for materials &amp; supplies relate mainly to manufacturing costs charged by the Company’s main manufacturing vendor, AGC Biologics.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differences with respect to the previous period.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costs relate to R&amp;D personnel wages, salaries, and share-based compensation, including social contributions, and other related personnel costs. The significant reduction in these costs compared to the same period of the previous year is due to the offsetting effect of the reversal of the 2023 and 2024 bonus provision for unpaid and cancelled bonuses.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Travel &amp; entertainment expenses relate mainly to business trips and scientific conferences. Other R&amp;D expenses relate to minor general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R&amp;D costs relate to expenses of various nature that are normally variable and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9" w:name="page30"/>
    <w:bookmarkEnd w:id="29"/>
    <w:p>
      <w:pPr>
        <w:ind w:left="600"/>
        <w:spacing w:after="0"/>
        <w:rPr>
          <w:sz w:val="20"/>
          <w:szCs w:val="20"/>
          <w:color w:val="auto"/>
        </w:rPr>
      </w:pPr>
      <w:r>
        <w:rPr>
          <w:rFonts w:ascii="Times New Roman" w:cs="Times New Roman" w:eastAsia="Times New Roman" w:hAnsi="Times New Roman"/>
          <w:sz w:val="18"/>
          <w:szCs w:val="18"/>
          <w:color w:val="auto"/>
        </w:rPr>
        <w:t>The Company’s general and administrative expenses are also a combination of third-party and related-party expenses, as detailed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6"/>
          </w:tcPr>
          <w:p>
            <w:pPr>
              <w:ind w:left="140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337,613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594,625</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932,238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legal &amp; other professional</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363,921</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10,070</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373,991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 &amp; IT - related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83,167</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83,167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Facility &amp; insurance - related</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8,689</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 &amp; others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195,124</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7,800</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202,924</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323,110</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1,981</w:t>
            </w:r>
          </w:p>
        </w:tc>
        <w:tc>
          <w:tcPr>
            <w:tcW w:w="3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325,091</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1,305,192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623,165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6"/>
          </w:tcPr>
          <w:p>
            <w:pPr>
              <w:ind w:left="1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451,903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698,620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1,150,523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legal &amp; other professional</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557,049</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557,049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 &amp; IT-related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85,277</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85,277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Facility &amp; insurance-related</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984</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8,120</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 &amp; others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324,306</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324,306</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350,752</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967</w:t>
            </w:r>
          </w:p>
        </w:tc>
        <w:tc>
          <w:tcPr>
            <w:tcW w:w="3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351,719</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1,770,271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707,707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compensation expenses compared to the same period of the prior year was mainly due to a former employee’s contractual relationship with the Company ending in the second half of 2024. Furthermore, a portion of the performance bonuses previously accrued in 2023 and 2024 were reversed, generating an offsetting effect on period costs accounted for as a change in accounting estimate.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reduction in accounting, legal &amp; other professional fees was mainly the result of a review of certain agreements with external professionals, which generated savings.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Facility &amp; insurance-related costs include expenses for the Company’s office space and parking, which are charged by OSR.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Consultants &amp; other third-party costs decreased compared to the same period of the prior year, both due to savings generated from a review of ongoing agreements with external professionals, and a Company advisor’s contractual relationship was terminated.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Consultants &amp; others expenses, presented under the related parties column, pertain to additional compensation for the CEO in his new role as the Company’s Chairman, for the months of May and June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costs relate to a variety of administrative and general expenses for approximately €51,000, depreciation expenses for approximately €14,000, insurance for approximately €93,000 (specifically the limited liability Director and Officers, or “D&amp;O,” policy), registration fees (Nasdaq, SEC, etc.) for approximately €30,000, membership fees for approximately €12,000, patent maintenance for approximately €131,000 and other various minor expenses as institutional website maintenance, data protection compliance, car leasing and car maintenance, conventions and meetings,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Others related parties expenses primarily pertain to a new insurance policy for the CEO in his position as executive employee (General Manager) of the Company.</w:t>
      </w:r>
    </w:p>
    <w:p>
      <w:pPr>
        <w:sectPr>
          <w:pgSz w:w="11900" w:h="16838" w:orient="portrait"/>
          <w:cols w:equalWidth="0" w:num="1">
            <w:col w:w="11240"/>
          </w:cols>
          <w:pgMar w:left="320" w:top="688" w:right="33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payable to related parties comprise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Raffaele Hospital (OSR)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88"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The Company’s accrued expenses to related parties comprise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Raffaele Hospital (OSR)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Richard Slansky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Studio Legale Lexia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Bernhard Gentner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38"/>
        </w:trPr>
        <w:tc>
          <w:tcPr>
            <w:tcW w:w="16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20" w:type="dxa"/>
            <w:vAlign w:val="bottom"/>
          </w:tcPr>
          <w:p>
            <w:pPr>
              <w:spacing w:after="0"/>
              <w:rPr>
                <w:sz w:val="17"/>
                <w:szCs w:val="17"/>
                <w:color w:val="auto"/>
              </w:rPr>
            </w:pPr>
          </w:p>
        </w:tc>
        <w:tc>
          <w:tcPr>
            <w:tcW w:w="1640" w:type="dxa"/>
            <w:vAlign w:val="bottom"/>
            <w:tcBorders>
              <w:top w:val="single" w:sz="8" w:color="auto"/>
            </w:tcBorders>
          </w:tcPr>
          <w:p>
            <w:pPr>
              <w:ind w:left="580"/>
              <w:spacing w:after="0" w:line="205" w:lineRule="exact"/>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180,116</w:t>
            </w: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180,116</w:t>
            </w: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38"/>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198,163</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128,188</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336,000</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243,101</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324,055</w:t>
            </w: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230,712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1,031,345</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260" w:space="720"/>
            <w:col w:w="4260"/>
          </w:cols>
          <w:pgMar w:left="320" w:top="688" w:right="339" w:bottom="1440" w:gutter="0" w:footer="0" w:header="0"/>
          <w:type w:val="continuous"/>
        </w:sect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accrued expenses to related parties compared to the prior period is attributable to the reversal of performance bonus accruals related to 2023 and 2024 for partial payment or cancellation.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identified the following related parties: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Pierluigi Paracchi</w:t>
      </w:r>
      <w:r>
        <w:rPr>
          <w:rFonts w:ascii="Times New Roman" w:cs="Times New Roman" w:eastAsia="Times New Roman" w:hAnsi="Times New Roman"/>
          <w:sz w:val="18"/>
          <w:szCs w:val="18"/>
          <w:color w:val="auto"/>
        </w:rPr>
        <w:t xml:space="preserve"> (director, CEO, and co-founder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Luigi Naldini</w:t>
      </w:r>
      <w:r>
        <w:rPr>
          <w:rFonts w:ascii="Times New Roman" w:cs="Times New Roman" w:eastAsia="Times New Roman" w:hAnsi="Times New Roman"/>
          <w:sz w:val="18"/>
          <w:szCs w:val="18"/>
          <w:color w:val="auto"/>
        </w:rPr>
        <w:t xml:space="preserve"> (co-founder of the Company and chair of the Scientific Advisory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Bernard Rudolph Gentner</w:t>
      </w:r>
      <w:r>
        <w:rPr>
          <w:rFonts w:ascii="Times New Roman" w:cs="Times New Roman" w:eastAsia="Times New Roman" w:hAnsi="Times New Roman"/>
          <w:sz w:val="18"/>
          <w:szCs w:val="18"/>
          <w:color w:val="auto"/>
        </w:rPr>
        <w:t xml:space="preserve"> (co-founder of the Company and member of the Scientific Advisory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Carlo Russo</w:t>
      </w:r>
      <w:r>
        <w:rPr>
          <w:rFonts w:ascii="Times New Roman" w:cs="Times New Roman" w:eastAsia="Times New Roman" w:hAnsi="Times New Roman"/>
          <w:sz w:val="18"/>
          <w:szCs w:val="18"/>
          <w:color w:val="auto"/>
        </w:rPr>
        <w:t xml:space="preserve"> (Chief Medical Officer and Head of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Richard Slansky</w:t>
      </w:r>
      <w:r>
        <w:rPr>
          <w:rFonts w:ascii="Times New Roman" w:cs="Times New Roman" w:eastAsia="Times New Roman" w:hAnsi="Times New Roman"/>
          <w:sz w:val="18"/>
          <w:szCs w:val="18"/>
          <w:color w:val="auto"/>
        </w:rPr>
        <w:t xml:space="preserve">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Ospedale San Raffaele</w:t>
      </w:r>
      <w:r>
        <w:rPr>
          <w:rFonts w:ascii="Times New Roman" w:cs="Times New Roman" w:eastAsia="Times New Roman" w:hAnsi="Times New Roman"/>
          <w:sz w:val="18"/>
          <w:szCs w:val="18"/>
          <w:color w:val="auto"/>
        </w:rPr>
        <w:t xml:space="preserve"> (co-founder of the Company, shareholder, main service provider for clinical activity, and licensor of brands of any product that can be obtained through research).</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Studio Legale Lexia</w:t>
      </w:r>
      <w:r>
        <w:rPr>
          <w:rFonts w:ascii="Times New Roman" w:cs="Times New Roman" w:eastAsia="Times New Roman" w:hAnsi="Times New Roman"/>
          <w:sz w:val="18"/>
          <w:szCs w:val="18"/>
          <w:color w:val="auto"/>
        </w:rPr>
        <w:t xml:space="preserve"> (appointed June 2025 as legal services provider to the Company). Giacomoantonio Paracchi , brother of the Company CEO, is a partner of Lexia.</w:t>
      </w:r>
    </w:p>
    <w:p>
      <w:pPr>
        <w:spacing w:after="0" w:line="3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parties could exercise significant influence on the Company’s strategic decisions, behavior, and future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Pierluigi Paracchi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Pierluigi Paracchi is the Company’s Chief Executive Officer, Chairman, and co-founder. His new executive employment agreement with the Company, effective April 1, 2025, provides an annual gross salary of €451,560 plus a 40% annual bonus subject to Board approval. Mr. Paracchi also has use of a Company car, for which the Company entered an operating lease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from May 2025, Mr. Paracchi also receives an annual compensation of €45,000 for his role as the Company’s Chairman of the Board of Directors.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2025, previously accrued performance bonuses for the years 2023 (€168,000) and 2024 (€168,000) were paid, for a total gross amount of €336,000. No bonuses were accrued for the six months ended June 30,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2025, Mr. Paracchi received NSOs on 80,000 of the Company’s ADSs, compared to July 2024, when he received options on 120,000 of the Company’s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June 30, 2024, the Company expensed approximately €307,000 (€364,000 including social contribution and TFR) and €300,000 (€357,000 including social contribution and TFR), respectively, related to compensation for Mr. Paracchi.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Luigi Naldini/Bernard Rudolph Gentner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Drs. Luigi Naldini and Bernhard Gentner are co-founders of Genenta and part of the SAB - Scientific Advisory Board, with Dr. Naldini as Chairman, and Dr. Gentner as a member. The Company has consulting agreements with each of Drs. Naldini and Gentner.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Naldini has an advisory agreement approved by the Board of Directors whereby he and his staff perform pre-clinical studies for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latest consulting agreement with Dr. Naldini was signed on June 20, 2022, which included an annual fee of €100,000 starting July 1, 2022.</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12, 2025, the consulting agreement dated June 20, 2022, was amended to extend its validity for an additional 12 months, from July 1, 2025, to June 30, 2026. The contract will not be automatically renewed beyond this period. Additionally, the annual fee for the extended term was reduced to €50,000.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and June 30, 2024, Dr. Naldini billed €50,000, and all the issued invoices were paid before June 30, 2024.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Dr. Gentner, like Dr. Naldini, oversees pre-clinical research related to the Company’s platform technology. In addition, he analyzes clinical biological data. The consulting agreement with Dr. Gentner started on July 1, 2022, and provides fees in the amount of €22,500 per year.</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8, 2025, the consulting agreement originally dated April 1, 2016, and subsequently amended on July 1, 2022, was further amended to reduce the annual compensation for Dr. Gentner from €45,000 to €22,500, effective July 1, 2025. The agreement will remain in effect for a fixed term of one (1) year, from July 1, 2025, through June 30, 2026.</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and June 30, 2024, Dr. Gentner billed €22,500, and all the issued invoices were paid.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2024, Dr. Gentner entered into an addendum to the consulting agreement in which the Company agreed to pay a total one-time fee of up to €15,000 to conduct research and write and submit a scientific research paper. The agreement stipulated the fees that were to be billed progressively, if and when the expected research steps were met.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2024, only the first step was achieved, billed, and paid in the amount of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At June 30, 2025, the second step was achieved, with an accrued (not yet paid) amount of €5,000.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Carlo Russo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Carlo Russo serves the Company as Chief Medical Officer and Head of Development, and is responsible for the clinical development of Temferon™, the Company’s gene therapy platform. His current employment arrangement is in place with the U.S. Subsidiary, and it provides for an annual gross salary of $500,000, plus a 30% bonus, subject to Board approval.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June 2025, previously accrued performance bonuses for the years 2023 and 2024 were reversed for a total amount of approximately €260,000.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bonuses were accrued for the six months ended June 30, 2025.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2025, Mr. Russo received NSOs on 65,000 of the Company’s ADSs, compared to July 2024 when he received NSOs on 100,000 of the Company’s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June 30, 2024, the Company expensed approximately €226,379, gross of the impact of the bonus reversal, and €329,000, respectively, related to compensation for Dr. Russo.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Slansky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Richard Slansky is the Chief Financial Officer of the Company. His current employment arrangement is in place with the U.S. Subsidiary, and it provides an annual gross compensation of $375,000 plus a 30% bonus subject to Board approval.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2025, Mr. Slansky was awarded a bonus of approximately €98,832 (gross amount), related to the activity performed in 2023, and €49,416 (gross amount), related to the activity performed in 2024, and accrued in the respective periods.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2023 bonus was allocated as follows:</w:t>
      </w:r>
    </w:p>
    <w:p>
      <w:pPr>
        <w:spacing w:after="0" w:line="225"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15,338 fully vested NSOs based on the Black-Scholes pricing model in place of €47,997 cash as a portion of the 2023 bonus;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€45,902 paid in cash to Mr. Slansky;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€2,196 and €1,318, respectively, allocated from Mr. Slansky’s bonus to two (2) finance employees and paid in cash.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original 2024 bonus amount accrued was approximately €108,000; however, this was reduced by 50% and allocated as follows:</w:t>
      </w:r>
    </w:p>
    <w:p>
      <w:pPr>
        <w:spacing w:after="0" w:line="225"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7,669 fully vested NSOs based on the Black-Scholes pricing model in place of €23,998 cash as a portion of the 2024 bonus;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€18,531 paid in cash to Mr. Slansky;</w:t>
      </w:r>
    </w:p>
    <w:p>
      <w:pPr>
        <w:spacing w:after="0" w:line="225" w:lineRule="exact"/>
        <w:rPr>
          <w:rFonts w:ascii="Times New Roman" w:cs="Times New Roman" w:eastAsia="Times New Roman" w:hAnsi="Times New Roman"/>
          <w:sz w:val="18"/>
          <w:szCs w:val="18"/>
          <w:color w:val="auto"/>
        </w:rPr>
      </w:pPr>
    </w:p>
    <w:p>
      <w:pPr>
        <w:ind w:left="660" w:right="880" w:firstLine="320"/>
        <w:spacing w:after="0" w:line="500" w:lineRule="auto"/>
        <w:tabs>
          <w:tab w:leader="none" w:pos="13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€3,089, €1,853, and €1,235, respectively, allocated from Mr. Slansky’s bonus to three (3) finance employees and paid in cash. No bonuses were accrued for the six months ended June 30, 2025.</w:t>
      </w:r>
    </w:p>
    <w:p>
      <w:pPr>
        <w:spacing w:after="0" w:line="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June 30, 2024, the Company expensed approximately €399,673 gross of the impact of the bonus reversal and €243,000, respectively, related to compensation for Mr.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OSR – San Raffaele Hospital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San Raffaele Hospital (“OSR”) is a co-founder of the Company,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located in an OSR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OSR License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an Amended and Restated License Agreement (the “ARLA”) with OSR in March 2023, replacing its prior license arrangement. The ARLA became effective following the required authorization under Italy’s Golden Power regulations (Law Decree No. 21/2012), which was granted by the competent Italian authority on April 20, 2023.</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the ARLA, OSR has granted the Company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any solid cancer indication (including glioblastoma and solid liver cancer) and/or any lympho-hematopoietic indication for which the Company exercises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the Company granted OSR a perpetual, worldwide, royalty-free, non-exclusive license to any improvement generated by the Company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the Company regarding the Lentigen know-how are non-exclusive and cannot be sublicensed due to a pre-existing nonexclusive sublicense to these rights between OSR and GlaxoSmithKline Intellectual Property Development Limited.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ARLA, the Company has an exclusive option exercisable until April 20, 2026, to any OSR product improvements at no additional cost, which could be useful for the development and/or commercialization of licensed products in the field of use. The Company also has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spacing w:after="0" w:line="180"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for the first lympho-hematopoietic indication;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for the second lympho-hematopoietic indication;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for the third lympho-hematopoietic indication.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option fee is due for the fourth lympho-hematopoietic indication and any subsequent lympho-hematopoietic indications.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the right to extend the LHI Option Period twice for an additional 12-month period, subject to the payment of specified extension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effective date of the ARLA, the Company paid OSR an upfront fee in an amount equal to €250,000 pursuant to the Original OSR License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ARLA, as consideration, the Company agreed to pay OSR additional license fees equal to up to €875,000 in total, which were payable on April 20, 2023, December 31, 2023, and upon the Company entering into a sublicense agreement with a third party sublicensee (pursuant to which the Company is entitled to receive an upfront payment in an amount exceeding a specified threshold from such sublicensee) during the period between September 30, 2022 and April 20, 2028 (with most of these additional license fees being triggered upon the Company entering into such a sublicense agreement). In addition, the Company has agreed to pay OSR royalties on a single-digit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our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ARLA, the Company has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The Company is also obligated to carry out its development activities using qualified and experienced professionals and a sufficient level of resources. In particular, consistent with the terms of the Original OSR License Agreement, the ARLA continues to require the Company to invest (a) at least €5,425,000 with respect to the development of the licensed products, and (b) at least €2,420,000 with respect to the manufacturing of such licensed products (subject to certain adjustments). (See Note 18. Commitments and contingencies.)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OSR maintains control of the preparation, prosecution, and maintenance of the patents licensed. The Company is obligated to pay those costs unless additional licensees benefit from these rights, in which case the cost will be shared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OSR controls the enforcement of the patents and know-how rights, at its own expense. If OSR fails to file suit to enforce such rights after notice from the Company, the Company has the right to enforce the licensed technology within the field of use. Both the Company and OSR must consent to settlement of any such litigation, and all monies recovered will be shared, after reimbursement for costs, in relation to the damages suffered by each party, or failing a bona fide agreement between the Company and OSR, on a 50% - 50% basis.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if the Company fails to pay any of the upfront payments, additional license fees, sublicensing income, or milestone payments within 30 days of due dates for each. In addition, OSR may terminate (with a 60-business-day prior written notice) the Company’s rights as to certain fields of use for the Company’s failure to achieve certain development milestones for specified licensed products within certain time periods, which may be subject to extension. In addition, OSR may terminate the agreement if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i w:val="1"/>
          <w:iCs w:val="1"/>
          <w:color w:val="auto"/>
        </w:rPr>
        <w:t>Amendment to OSR Amended and Restated License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28, 2023, the Company and OSR entered into an amendment to the ARLA, whereby the Company and OSR agreed that the Company had fulfilled the obligations as outlined in the ARLA specific to Candidate Products 1 pursuant to the CP1 SRA. Furthermore, the amendment provides that the Company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sponsored research agreement with regards to Candidate Products 2, OSR granted the Company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the Company’s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the Company.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2025, the cumulative total amount of expenses for the OSR clinical trial activity from inception amounted to approximately €11.8 million and includes the cost for the exercise of the first and the second solid cancer indication option fee of €1.0 million as well as the cost for ARLA fees of €0.4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2025, there were no pending activities with OSR related to any agreement in place prior to the ARLA effective date, except for the project called “TEM-MM unspent budget reallocated to the TEM-GBM study,” for which the last tranche of activities corresponding to the 20% of the total project approximately amounting to €0.2 million, as a whole, is still to be completed.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OSR Sponsor Research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 2023, the Company entered into a Sponsored Research Agreement (“CP1 SRA”), which was contemplated under the ARLA, pursuant to which the Company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the Company and provide an estimate for completing the research.</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period from the date of execution of the CP1 SRA until six months from the last report delivered to the Company under the CP1 SRA (the “CP1 Option Period”), the Company has the exclusive option to include certain intellectual property related to Candidate Products 1 and Candidate Products 1 as part of the licensed patents and licensed products under the ARLA. To exercise this option, the Company must pay an option exercise fee. The Company also has the right to extend the CP1 Option Period twice for an additional 24-month period. The extension requires payment of an extension fee for each 24-month extension.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the Company recorded and paid approximately €0.5 million for the CP1 SRA studies.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entered into a non-cancelable lease agreement for office space in December 2020. (See Note 18.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b w:val="1"/>
          <w:bCs w:val="1"/>
          <w:color w:val="auto"/>
        </w:rPr>
        <w:t>Studio Legale Lexia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4, 2025, the Company entered into an agreement for the provision of legal services with Studio Legale Lexia (“Lexia”). As of June 30, 2025, accrued expenses – related party included €10,070 for legal services provided by Lexia.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in quantifying the possible range of the final settlement. Provisions are recorded for liabilities when losses are considered probable and can be reasonably estimated. Due to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future commitments by contractual maturity on June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Payments by Period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Less than 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More than</w:t>
            </w:r>
          </w:p>
        </w:tc>
        <w:tc>
          <w:tcPr>
            <w:tcW w:w="100" w:type="dxa"/>
            <w:vAlign w:val="bottom"/>
            <w:gridSpan w:val="2"/>
          </w:tcPr>
          <w:p>
            <w:pPr>
              <w:spacing w:after="0"/>
              <w:rPr>
                <w:sz w:val="18"/>
                <w:szCs w:val="18"/>
                <w:color w:val="auto"/>
              </w:rPr>
            </w:pPr>
          </w:p>
        </w:tc>
      </w:tr>
      <w:tr>
        <w:trPr>
          <w:trHeight w:val="23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 to 3 years</w:t>
            </w:r>
          </w:p>
        </w:tc>
        <w:tc>
          <w:tcPr>
            <w:tcW w:w="20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 to 5 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OSR office rent</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AGC manufacturing</w:t>
            </w:r>
          </w:p>
        </w:tc>
        <w:tc>
          <w:tcPr>
            <w:tcW w:w="3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3,085,053</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2,853,386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231,667</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policies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4,664</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3,105,858</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2,874,191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231,667</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commitments with OSR relate to the office rent agreement, while the commitments with AGC Biologics (“AGC”) relate to product manufacturing and services.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Insurance on operating leases is related to the non-lease insurance component of the Company’s auto lease agreement, which was entered into in February 2022 and has a term of four (4) years.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not included future milestones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CMO and CRO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OSR - San Raffaele Hospital</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ARLA, the Company is obligated to carry out development activities using qualified and experienced professionals and a sufficient level of resources. In particular, consistent with the terms of the Original OSR License Agreement, the ARLA continues to require the Company to invest</w:t>
      </w:r>
    </w:p>
    <w:p>
      <w:pPr>
        <w:ind w:right="20" w:firstLine="8"/>
        <w:spacing w:after="0" w:line="260" w:lineRule="auto"/>
        <w:tabs>
          <w:tab w:leader="none" w:pos="2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€5,425,000 with respect to the development of the licensed products, and (b) at least €2,420,000 with respect to the manufacturing of such licensed products (subject to certain adjustments).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€1.4 million and €0.9 million of manufacturing expenses during the first six months ended June 30, 2025, and June 30, 2024, respectively. The cumulative expense to date is €12.3 million, and there is no residual commitment for the Company at June 30,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agreed to pay OSR royalties for four percent (4%)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the Company’s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U.S. and certain E.U. countries, and achievement of certain net sales levels.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events have occurred or have been achieved (and none are considered probable) to trigger any contingent payments under the ARLA during the six months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AGC Biologics S.p.A.</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long-term manufacturing and development partnership with AGC Biologics under a non-cancellable Master Service Agreement (“MSA”), renewable and terminable only under specific circumstances such as material breach or insolvency. The agreement covers development activities, technology transfer, and manufacturing services, including royalty and milestone-based compensation linked to clinical and regulatory progress.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and AGC have executed multiple side letters, work statements, amendments, and purchase orders to support the transfer and implementation of manufacturing processes at AGC’s facility in Bresso, Italy, and the production of GMP-grade Lentiviral Vectors for ex-vivo applications.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September 2024, the MSA was amended with an effective date of March 2024 and extended until June 30,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original MSA dated 2019, in December 2024, the parties signed a new MSA. The new agreement provides a framework for AGC to reserve production slots and perform services under discrete work statements, with payment obligations structured on a pro-rata basis and cancellation fees applicable under certain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Intellectual property rights owned or controlled by either party prior to or independently of the services remain with the respective party.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new MSA is an open-ended agreement with no specific expiration date, as its term is tied to the completion of any service phase, or work statement (“WS”), starting with WS01.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AGC provides manufacturing, testing, and release services for the Cell Therapy Drug Product using an Exclusive GMP Suite (“EGS”) supported by a dedicated team (“EGS Team”). The service is compensated through monthly fees, primarily covering the suite and team costs, along with additional charges for materials and accessories where applicable. AGC retains full responsibility for the logistical, organizational, and operational management of the service, including personnel recruitment, training, and coordination, as well as all related compensation and social security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WS01 includes two main phases:</w:t>
      </w:r>
    </w:p>
    <w:p>
      <w:pPr>
        <w:spacing w:after="0" w:line="225"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Ramp-Up Phase with an estimated duration of six (6) months, which started on February 1, 2025 (start of activities) and ended on August 1, 2025.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Routine Phase, which is scheduled to begin on the first day of the subsequent month after the completion of the Ramp-Up Phase (specifically, after the receipt of authorization from the Regulatory Agency (“AIFA”) to use the Exclusive Suite and the successful completion of the training of personnel assigned to the dedicated team).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terminate this schedule or work statement by providing twelve (12) months’ prior written notice to AGC. However, such notice cannot be issued before the sixth (6th) month anniversary of the Ramp-Up Phase commencement date; for clarity, the notice must not be sent before August 1, 2025. (Please refer to Note 20- Subsequent Events).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contractual provisions, the Company had a binding commitment of approximately €3.5 million as of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agreement was signed in December 2024, it became effective starting February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the Company had a remainder commitment of approximately €2.8 million in relation to Work Statement No. 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 office rent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 2019, the Company began a six-year non-cancelable (and renewable for a further six (6) years until December 1, 2026) lease agreement for office space with OSR. Withdrawal is allowed from the fourth year with a notice of 12 months. After the initial expiration date, the contract is automatically renewed for an additional six (6) years. As of December 31, 2024, neither party has communicated any termination of the lease agreement, which is therefore considered renewed until December 2031, subject to any potential earlier 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the minimum commitment for the following 12 months is approximately €16,141 through to June 30,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party to any material legal proceedings, the outcome of which the Company believes, if determined adversely to the Company, would individually or in the aggregate have a material adverse effect on the Company’s business, operating results, or financial condition. At each reporting date, the Company evaluates whether a potential loss amount, or a potential range of loss, is probable and reasonably estimable under the provisions of ASC 450,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AGC Biologics S.p.A.</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 2025, AGC and the Company signed the Second Amendment to their original MSA dated 2019, effective on June 30, 2025, to further extend the term of the original MSA, until September 30, 2025, including the possibility of further extension upon mutual written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 2025, the Company issued a formal written notice of termination of Work Statement No. 01 dated December 24, 2024, pursuant to Section 4.1 of the MSA dated December 2024. This notice commences the twelve-month prior notice period ending on July 31, 2026 (the “Termination Date”), during which AGC will continue to issue quarterly invoices in accordance with the MSA, and the Company will remain responsible for all payment obligations relating to the Exclusive GMP Suite (EGS) and the EGS Team, as specified in Section 3 of Schedule 1A of the Second Amendment to the MSA, until the Termination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27, 2025, the Company received formal notification from AGC, referencing Work Statement 1 dated December 24, 2024, confirming that the Ramp-up phase—which began on February 1, 2025—has been successfully completed. AGC stated that both contractual conditions have been met: the Authorization from AIFA to use the Exclusive Suite was received on July 3, 2025, and the training of the personnel assigned to the Dedicated Team has been finalized. Consequently, the Routine Phase is set to commence on September 1,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24, 2025, the Company filed a civil action before the Court of Milan against AGC Biologics S.p.A., seeking a declaratory judgment of nullity and/or termination, with retroactive effect, of the Master Service Agreement and related amendments executed on December 24, 2024. The claim is based on the failure of an essential underlying assumption—the availability of a minimum number of patients required to initiate and sustain clinical production activities. As a result, the Company believes that the manufacturing agreement with AGC is no longer operative; however, the Company has proposed to continue working with AGC based on the availability of production slots, as in the previous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Governance Changes and Extraordinary Shareholders’ Meeting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Extraordinary Shareholders’ Meeting has been called for October 29, 2025, to approve the following two key changes: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the Board: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of directors from 3 to 5 to enhance strategic oversight and support broader operational execution.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Corporate Purpose:</w:t>
      </w:r>
    </w:p>
    <w:p>
      <w:pPr>
        <w:spacing w:after="0" w:line="9" w:lineRule="exact"/>
        <w:rPr>
          <w:rFonts w:ascii="Times New Roman" w:cs="Times New Roman" w:eastAsia="Times New Roman" w:hAnsi="Times New Roman"/>
          <w:sz w:val="18"/>
          <w:szCs w:val="18"/>
          <w:color w:val="auto"/>
        </w:rPr>
      </w:pPr>
    </w:p>
    <w:p>
      <w:pPr>
        <w:ind w:left="66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Article 4 of the Company’s by-laws to expand its corporate purpose beyond biotechnology and pharmaceuticals, encompassing all sectors recognized as strategic under the Italian Golden Power Law, including but not limited to:</w:t>
      </w: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defense and security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and critical infrastructure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strategic technologies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amendment is designed to:</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diversification of operations and risk,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potential business combinations or equity investments in strategic Italian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Company’s attractiveness to industrial and financial partners, leveraging its status as the only Italian company listed on Nasdaq.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Change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30, 2025, Dr. Carlo Russo resigned from his role as Chief Medical Officer and Head of Development for personal reasons, effective immediately. His resignation did not result from any disagreement with the Company. On the same date, the Board appointed Dr. Francesco Galimi, a current director of the Company, as acting Chief Medical Officer,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related notes included in Exhibit 99.1 to the report on Form 6-K (the “Form 6-K”) to which this Exhibit 99.2 relates. This discussion and other parts of this Exhibit 99.2 and the Form 6-K may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our annual report on Form 20-F for the year ended December 31, 2024, filed with the Securities and Exchange Commission (the “SEC”) on March 28, 2025 (the “Annual Report”). References to “we,” “Genenta,” “us,” “our,” “the Company,” or “our company” herein are to Genenta Science S.p.A., including its subsidiary.</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reporting currency and functional currency is the Euro. Unless otherwise explicitly stated or the context otherwise requires, references in this Exhibit 99.2 to “dollars,” “USD,” or “$” are to U.S. dollars, and references to “euros,” “EUR,” “Euros,” or “€” are to European Union euros.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or “TEMs”). Our technology is designed to turn TEMs, which normally have an affinity for and travel to tumors, into a “Trojan Horse” to counteract cancer progression and prevent tumor relapse. Because our technology is not target-dependent, we believe it can be used for treatment across a broad variety of cancers.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June 30, 2025, aggregated gross cash proceeds of approximately €70.1 million.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2025, and June 30, 2024, were approximately €3.8 million and approximately €4.0 million, respectively. As of June 30, 2025, and December 31, 2024, we had an accumulated deficit of approximately €59.9 million and €56.1 million, respectively.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debt and convertible securities in public offerings and private placements, including the net proceeds from our initial public offering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we had cash and cash equivalents of approximately €5.2 million and marketable securities of approximately €12.5 million. We believe that our existing cash and cash equivalents and marketable securities, as of June 30, 2025,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may need to raise additional capital, which cannot be assured.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our patients, business partners, employees, and other stakeholders. As a result, cybersecurity risk management is an integral part of our overall risk management and compliance program, and our current cybersecurity risk management processes are modeled after industry best practices, such as the National Institute of Standards and Technology Cybersecurity Framework, for handling cybersecurity threats and incidents, including threats and incidents associated with the use of applications developed by third-party service providers, and facilitate coordination across different departments of our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cybersecurity risk management; however, it delegates cybersecurity risk management oversight to our management and Board of Statutory Auditors. Our management and Board of Statutory Auditors are responsible for ensuring that we have processes in place designed to identify and evaluate cybersecurity risks to which we are exposed and implement processes and programs to manage cybersecurity risks and mitigate cybersecurity incidents.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processes include steps for assessing the severity of a cybersecurity threat, identifying the source of the threat, including whether the cybersecurity threat is associated with a third-party service provider, implementing cybersecurity countermeasures and mitigation strategies, and informing management and our Board of Directors of material cybersecurity threats and incidents. Our information technology consultant is responsible for assessing our cybersecurity risk management program, and we currently do not engage other third parties for such an assessment.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cybersecurity program is under the direction of our Chief Financial Officer and Finance Director, who receive reports from our information technology consultant and monitor the prevention, detection, mitigation, and remediation of cybersecurity incidents. Our Chief Financial Officer and Finance Director together have over 50 years of information technology experience in various roles of increasing importance. Their experience includes overseeing and supervising information technology risk management processes. Among their other duties as Chief Financial Officer and Finance Director, respectively, they manage our cybersecurity consultant, who is a certified and experienced information security professional, and who implements and monitors our various cybersecurity systems and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including:</w:t>
      </w:r>
    </w:p>
    <w:p>
      <w:pPr>
        <w:spacing w:after="0" w:line="176" w:lineRule="exact"/>
        <w:rPr>
          <w:sz w:val="20"/>
          <w:szCs w:val="20"/>
          <w:color w:val="auto"/>
        </w:rPr>
      </w:pPr>
    </w:p>
    <w:p>
      <w:pPr>
        <w:jc w:val="both"/>
        <w:ind w:left="1300" w:hanging="320"/>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promptly;</w:t>
      </w:r>
    </w:p>
    <w:p>
      <w:pPr>
        <w:spacing w:after="0" w:line="17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comprehensive incident response and recovery plans that fully address our response to a cybersecurity incident, and such plans are tested and evaluated regularly;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mandatory training for personnel regarding cybersecurity threats as a means to equip our personnel with effective tools to address cybersecurity threats, and to communicate our evolving information security policies, standards, processes, and practices.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including our Chief Financial Officer and Finance Director, regularly updates our Board of Statutory Auditors on our cybersecurity processes, material cybersecurity risks, and mitigation strategies. Our Board of Statutory Auditors, in coordination with our management, reports all material cybersecurity risks to our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strengthened our cybersecurity program by evolving it into a comprehensive cybersecurity risk management framework, with a forward-looking roadmap focused on increasing risk awareness among employees and collaborators, reinforcing defenses, enhancing threat detection capabilities, and safeguarding the confidentiality, integrity, and availability of our critical systems and data.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we are subject to ongoing and evolving cybersecurity threats, we are not aware of any material risks from cybersecurity threats that have materially affected or are reasonably likely to materially affect us, including our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since inception and do not expect to generate any revenue from the sale of products until we obtain regulatory approval for, and commercialize,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operating expenses consist of two components – research and development expenses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consist of costs incurred in connection with the development of our product candidates, including:</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incurred in connection with our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contract manufacturing organizations (“CMOs”), as well as investigative sites and consultants that conduct our clinical trials, preclinical studies, and other scientific development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costs, depreciation, and other expenses, which include rent and utilities.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to manage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in the Consolidated Statements of Operations and Comprehensive Loss. However, some of our research and development expenses are allocated by program: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0" w:type="dxa"/>
            <w:vAlign w:val="bottom"/>
            <w:tcBorders>
              <w:bottom w:val="single" w:sz="8" w:color="auto"/>
            </w:tcBorders>
            <w:gridSpan w:val="5"/>
          </w:tcPr>
          <w:p>
            <w:pPr>
              <w:jc w:val="center"/>
              <w:ind w:left="6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TEM-GBM Phase 1</w:t>
            </w:r>
          </w:p>
        </w:tc>
        <w:tc>
          <w:tcPr>
            <w:tcW w:w="26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97,091</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643,460</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TEM-GBM Phase 2</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TEM-LT</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TEM-GU Phase 1</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380,905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282,250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costs:</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 (including share-based compensation)</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354,453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679,066</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Consultants and other third party</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190,105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190,998</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 &amp; supplies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407,889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209,025</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Travel &amp; entertainment</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14,935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17,592</w:t>
            </w:r>
          </w:p>
        </w:tc>
      </w:tr>
      <w:tr>
        <w:trPr>
          <w:trHeight w:val="23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15,499</w:t>
            </w:r>
          </w:p>
        </w:tc>
      </w:t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1,454,736</w:t>
            </w:r>
          </w:p>
        </w:tc>
        <w:tc>
          <w:tcPr>
            <w:tcW w:w="1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2,040,391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5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efforts may result in significant expenses over time, including costs associated with personnel, clinical activities, contractors, and facilities. We could also incur additional obligations, such as milestone or royalty payments, under existing or future license agreements related to our product candidates. 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9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design, initiation, and completion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clinical and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and maintaining, adequate coverage and reimbursement by the government and other payors for any product candidate for which we obtain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European Medicines Agency (“EMA”), United States (“U.S.”) Food and Drug Administration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consulting fees, related benefits, travel, and stock-based compensation expenses for individuals on our Board of Directors and personnel in executive, finance, and administrative functions. General and administrative expenses also include professional fees for legal, consulting, accounting, and 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may increase in the future as we increase our headcount to support our continued research activities and the development of our product candidates. We also anticipate that we may continue to incur additional accounting, audit, legal, regulatory, compliance, directors’ and officers’ insurance costs, as well as investor and public relations expenses associated with being a public company. Additionally, if regulatory approval of a product candidate appears likely, we may incur further expenses in preparation for potential commercialization, including those related to sales and marketing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(expense), foreign exchange income (loss), and gain (loss) from the sale or maturity of available-for-sale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taxation in Italy and the U.S. Taxes are recorded on an accrual basis. Taxes, therefore, represent the allowances for taxes paid or to be paid for the year, calculated according to the current enacted rates and applicable laws. Due to the tax loss position reported, no income taxes were due for the six months ended June 30, 2025, and June 30,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each reporting date, we consider existing evidence, both positive and negative, that could impact our view regarding the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2025.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Consolidated Statements of Operations and Comprehensive Loss.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open statutes of limitations for Italian tax authorities to audit our tax returns. There have been no material income tax-related interests or penalties assessed or recorded.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liability related to uncertain tax positions reported in our financial statements.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line with the legislation in force, as updated by the Italian Budget Law 2022, companies in Italy that invested in eligible research and development activities, regardless of the legal form and economic sector in which they operate, can benefit from a tax credit up to 10% of the increase of annual research and development expenses incurred, up to a maximum of €5.0 million, which can be used as compensation to reduce most taxes payable, including income tax or regional tax on productive activities, as well as social security contributions. In addition, the tax credit due can only be used as compensation in three equal annual installments. The measure is provided up to the tax period ending December 31, 2031.</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Italian Budget Law 2023 established that the actual support of eligible expenses and their correspondence with the accounting documents must result from a specific certification issued by the person responsible for the legal audit, and, in addition to the audit report, a technical report is also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to the Six Months Ended June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09"/>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auto"/>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1,454,736</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2,040,390</w:t>
            </w:r>
          </w:p>
        </w:tc>
      </w:tr>
      <w:tr>
        <w:trPr>
          <w:trHeight w:val="229"/>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1,928,357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2,477,978</w:t>
            </w:r>
          </w:p>
        </w:tc>
      </w:tr>
      <w:tr>
        <w:trPr>
          <w:trHeight w:val="209"/>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3,383,093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4,518,368</w:t>
            </w:r>
          </w:p>
        </w:tc>
        <w:tc>
          <w:tcPr>
            <w:tcW w:w="100" w:type="dxa"/>
            <w:vAlign w:val="bottom"/>
            <w:tcBorders>
              <w:bottom w:val="single" w:sz="8" w:color="CCEEFF"/>
            </w:tcBorders>
          </w:tcPr>
          <w:p>
            <w:pPr>
              <w:spacing w:after="0"/>
              <w:rPr>
                <w:sz w:val="18"/>
                <w:szCs w:val="18"/>
                <w:color w:val="auto"/>
              </w:rPr>
            </w:pPr>
          </w:p>
        </w:tc>
      </w:tr>
      <w:tr>
        <w:trPr>
          <w:trHeight w:val="210"/>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(3,383,093)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(4,518,368)</w:t>
            </w: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8,781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180,781</w:t>
            </w: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150,600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145,290</w:t>
            </w:r>
          </w:p>
        </w:tc>
      </w:tr>
      <w:tr>
        <w:trPr>
          <w:trHeight w:val="229"/>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exchange rate gain (loss)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(602,873)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153,791</w:t>
            </w:r>
          </w:p>
        </w:tc>
      </w:tr>
      <w:tr>
        <w:trPr>
          <w:trHeight w:val="210"/>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(443,492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479,862</w:t>
            </w:r>
          </w:p>
        </w:tc>
        <w:tc>
          <w:tcPr>
            <w:tcW w:w="100" w:type="dxa"/>
            <w:vAlign w:val="bottom"/>
            <w:tcBorders>
              <w:bottom w:val="single" w:sz="8" w:color="CCEEFF"/>
            </w:tcBorders>
          </w:tcPr>
          <w:p>
            <w:pPr>
              <w:spacing w:after="0"/>
              <w:rPr>
                <w:sz w:val="18"/>
                <w:szCs w:val="18"/>
                <w:color w:val="auto"/>
              </w:rPr>
            </w:pPr>
          </w:p>
        </w:tc>
      </w:tr>
      <w:tr>
        <w:trPr>
          <w:trHeight w:val="209"/>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(3,826,585)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(4,038,506)</w:t>
            </w: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(3,826,585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(4,038,506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9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 basic</w:t>
            </w:r>
          </w:p>
        </w:tc>
        <w:tc>
          <w:tcPr>
            <w:tcW w:w="10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0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18,767,859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18,256,622</w:t>
            </w:r>
          </w:p>
        </w:tc>
        <w:tc>
          <w:tcPr>
            <w:tcW w:w="100" w:type="dxa"/>
            <w:vAlign w:val="bottom"/>
            <w:tcBorders>
              <w:bottom w:val="single" w:sz="8" w:color="CCEEFF"/>
            </w:tcBorders>
          </w:tcPr>
          <w:p>
            <w:pPr>
              <w:spacing w:after="0"/>
              <w:rPr>
                <w:sz w:val="22"/>
                <w:szCs w:val="22"/>
                <w:color w:val="auto"/>
              </w:rPr>
            </w:pPr>
          </w:p>
        </w:tc>
      </w:tr>
      <w:tr>
        <w:trPr>
          <w:trHeight w:val="196"/>
        </w:trPr>
        <w:tc>
          <w:tcPr>
            <w:tcW w:w="59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comprehensive income/(loss)</w:t>
            </w: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of marketable debt securities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(26,065)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(64,288)</w:t>
            </w:r>
          </w:p>
        </w:tc>
      </w:tr>
      <w:tr>
        <w:trPr>
          <w:trHeight w:val="229"/>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69,663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(16,081)</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10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(80,369)</w:t>
            </w:r>
          </w:p>
        </w:tc>
        <w:tc>
          <w:tcPr>
            <w:tcW w:w="100" w:type="dxa"/>
            <w:vAlign w:val="bottom"/>
          </w:tcPr>
          <w:p>
            <w:pPr>
              <w:spacing w:after="0"/>
              <w:rPr>
                <w:sz w:val="18"/>
                <w:szCs w:val="18"/>
                <w:color w:val="auto"/>
              </w:rPr>
            </w:pPr>
          </w:p>
        </w:tc>
      </w:tr>
      <w:tr>
        <w:trPr>
          <w:trHeight w:val="24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(3,782,987)</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(4,118,875)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approximately €1.5 million for the six months ended June 30, 2025, as compared to approximately €2.0 million for the six months ended June 30, 2024. The decrease of approximately €0.5 million was primarily driven by: (1) lower clinical costs related to the TEM-GBM Phase 1 program, which incurred approximately €0.5 million less in 2025 compared to 2024 as patient enrollment and related activities decreased, and the TEM-GBM Phase 1 program was concluded; and (2) a reduction in personnel expenses of approximately €0.3 million, mainly due to a reversal of bonus accruals recorded in prior periods (2023 and 2024) that were not awarded nor paid. These decreases were partially offset by higher expenses for materials and supplies of approximately €0.2 million, mainly supporting the TEM-GU Phase 1 program. Other cost variations, including lower travel, entertainment, and other unallocated costs, as well as the start of TEM-LT activities, were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approximately €1.9 million for the six months ended June 30, 2025, as compared to approximately €2.5 million for the six months ended June 30, 2024. The decrease of approximately €0.6 million was primarily due to: (1) lower compensation expenses, including share-based compensation, of approximately €0.2 million, mainly reflecting a lower accrual for variable remuneration; (2) reduced accounting, legal and professional fees of approximately €0.2 million, mainly driven by ongoing contract review activities with certain advisors aimed at cost savings; and (3) lower consultants and other third-party expenses of approximately €0.1 million, also reflecting cost optimization initiatives. Other cost categories, including communication &amp; IT, facility &amp; insurance, and miscellaneous items, remained broadly in line with the prior year and did not have a material impact on the overall variance.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(Expenses) and Finance Income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net income and net finance income amounted to a net expense of approximately €0.4 million for the six months ended June 30, 2025, as compared to a net income of approximately €0.5 million for the six months ended June 30, 2024. The 2025 result reflected financial income of approximately €0.6 million, mainly consisting of a reimbursement from BNY Mellon (approximately €0.4 million), returns from short-term investments (approximately €0.2 million), and interest income. These were offset by financial expenses of approximately €0.5 million, primarily due to due diligence costs related to the ENEA mandatory convertible bond (“MCB”) transaction (approximately €0.4 million), the fair value adjustment of the MCB (approximately €0.1 million), and other investment and banking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we recorded a net foreign exchange loss of approximately €0.6 million, compared to a net foreign exchange gain of approximately €0.2 million for the six months ended June 30, 2024. This unfavorable change was primarily attributable to unrealized foreign exchange losses, reflecting the weakening of the U.S. dollar against the euro during the 2025 period, as illustrated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Forex gain realized</w:t>
            </w:r>
          </w:p>
        </w:tc>
        <w:tc>
          <w:tcPr>
            <w:tcW w:w="428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Forex gain unrealized</w:t>
            </w:r>
          </w:p>
        </w:tc>
        <w:tc>
          <w:tcPr>
            <w:tcW w:w="428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Forex loss realized</w:t>
            </w:r>
          </w:p>
        </w:tc>
        <w:tc>
          <w:tcPr>
            <w:tcW w:w="428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Forex gain (loss) unrealized</w:t>
            </w:r>
          </w:p>
        </w:tc>
        <w:tc>
          <w:tcPr>
            <w:tcW w:w="428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(614,517)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loss was approximately €3.8 million for the six months ended June 30, 2025, as compared to approximately €4.0 million for the six months ended June 30, 2024. The improvement of approximately €0.2 million was primarily due to lower operating expenses, reflecting a reduction in research and development costs of approximately €0.6 million and a decrease in general and administrative expenses of approximately €0.5 million, offset by a swing of €0.9 million from other income of €0.5 million in 2024 to other expense of €0.4 million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inception, we have not generated any revenue and have incurred significant operating losses and negative cash flows from our operations. We have funded our operations to date primarily with proceeds from the sales of quotas, in prior years as an S.r.l., and through our shares, in our IPO and follow on offerings as an S.p.A. We received gross cash proceeds of approximately €33.6 million from sales of quotas prior to our IPO, approximately €32.7 million of gross proceeds from the IPO and approximately €3.3 million from our at-the-market (“ATM”) offerings. As of June 30, 2025, we had approximately €5.2 million in cash and cash equivalents and €12.5 million in marketable securities maturing short-term.</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1"/>
        </w:trPr>
        <w:tc>
          <w:tcPr>
            <w:tcW w:w="69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3"/>
          </w:tcPr>
          <w:p>
            <w:pPr>
              <w:jc w:val="center"/>
              <w:ind w:left="870"/>
              <w:spacing w:after="0" w:line="201" w:lineRule="exact"/>
              <w:rPr>
                <w:sz w:val="20"/>
                <w:szCs w:val="20"/>
                <w:color w:val="auto"/>
              </w:rPr>
            </w:pPr>
            <w:r>
              <w:rPr>
                <w:rFonts w:ascii="Times New Roman" w:cs="Times New Roman" w:eastAsia="Times New Roman" w:hAnsi="Times New Roman"/>
                <w:sz w:val="18"/>
                <w:szCs w:val="18"/>
                <w:color w:val="auto"/>
              </w:rPr>
              <w:t>(Unaudited)</w:t>
            </w: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9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(5,587,079)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(2,058,174)</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in)/produced by investing activities</w:t>
            </w: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(4,436,757)</w:t>
            </w:r>
          </w:p>
        </w:tc>
        <w:tc>
          <w:tcPr>
            <w:tcW w:w="5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4,299,916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10,477,061</w:t>
            </w: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270,885</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69,663</w:t>
            </w:r>
          </w:p>
        </w:tc>
        <w:tc>
          <w:tcPr>
            <w:tcW w:w="5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(16,081)</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522,888</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2,496,546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4,581,749</w:t>
            </w:r>
          </w:p>
        </w:tc>
        <w:tc>
          <w:tcPr>
            <w:tcW w:w="5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3,691,420</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5,104,637</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6,187,966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€5.6 million for the six months ended June 30, 2025, compared to €2.1 million for the same period in 2024. The higher outflow in 2025 primarily reflected the absorption of working capital, including an increase in prepaid expenses and other current assets of approximately €1.5 million and lower accrued expenses (including related party) of approximately €0.9 million, compared to positive effects recorded in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Non-cash adjustments in 2025 included share-based compensation of approximately €0.4 million, retirement benefit accruals of approximately €0.1 million, and a €0.1 million fair value loss on financial instruments, partially offsetting the negative working capital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approximately €4.4 million for the six months ended June 30, 2025, compared to net cash provided of €4.3 million in the same period of 2024. The 2025 outflow reflected net purchases of marketable securities (purchases of €12.4 million offset by maturities of €8.0 million), whereas in 2024 maturities of €13.3 million had exceeded purchases of €9.0 million, generating a net inflow.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€10.5 million for the six months ended June 30, 2025, compared to €0.3 million for the same period in 2024. The increase was mainly due to proceeds of €7.5 million from the issuance of a convertible bond in 2025, together with €3.0 million raised through our ATM program, compared to €0.3 million raised in 2024 exclusively through the ATM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date, we have not generated revenue and do not expect to generate significant revenue from the sale of any product candidate in the near future.</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our cash and cash equivalents, and marketable securities were approximately €17.7 million. Our primary cash obligations relate to payments to personnel, OSR for clinical trial costs, AGC for manufacturing activities, and other providers for other clinical trial-related and manufacturing services.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estimates, operating and financial plans, and our existing cash, we estimate that our funds will be sufficient to fund our operations and capital expenditure requirements for more than the next twelve months. We have based this estimate on assumptions that may prove to be wrong, and we could use our available capital resources sooner than we currently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our preclinical studies,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clinical trials and other research and development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that we may incur under in- and out-licensing arrangements relating to our product candidate that we may enter into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and timing for, amending current manufacturing agreements for production of sufficient clinical and commercial quantities of our product candidates, or entering into new agreements with existing or new contract manufacturing organizations;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contracting with third parties to provide marketing and distribution services for us or for building such capacities internally;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we can generate significant revenues, if ever, we expect to satisfy our future cash needs through our existing cash, cash equivalents, short-term deposits, and short-term marketable securities, as well as through additional financings, which we may seek through a combination of private and public equity offerings, debt financings and collaborations, in-licensing arrangements, joint ventures, strategic alliances or partnerships.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expected use of cash and cash equivalents represents our intentions based on our current plans and business conditions, which could change in the future as our plans and business conditions evolve. We may also use a portion of the available cash and cash equivalents to in-license, acquire, or invest in additional businesses, technologies, products, or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to understand the judgements and estimates used in the financial statements and to fully understand and evaluate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89" w:lineRule="exact"/>
        <w:rPr>
          <w:sz w:val="20"/>
          <w:szCs w:val="20"/>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central laboratories, in connection with preclinical development activities, especially, OSR, a co-founding shareholder, significant related party vendor, and a leading center for ex-vivo gene therapy for inherited diseases;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and clinical studies;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way as the award recipient’s payroll costs are classified or in which the award recipient’s service payments are classified.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adoption of Accounting Standards Update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Credit Receivables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research and development tax credit receivable in accordance with IAS 20 </w:t>
      </w:r>
      <w:r>
        <w:rPr>
          <w:rFonts w:ascii="Times New Roman" w:cs="Times New Roman" w:eastAsia="Times New Roman" w:hAnsi="Times New Roman"/>
          <w:sz w:val="18"/>
          <w:szCs w:val="18"/>
          <w:i w:val="1"/>
          <w:iCs w:val="1"/>
          <w:color w:val="auto"/>
        </w:rPr>
        <w:t>Accounting for Government Grants and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 Assistance</w:t>
      </w:r>
      <w:r>
        <w:rPr>
          <w:rFonts w:ascii="Times New Roman" w:cs="Times New Roman" w:eastAsia="Times New Roman" w:hAnsi="Times New Roman"/>
          <w:sz w:val="18"/>
          <w:szCs w:val="18"/>
          <w:color w:val="auto"/>
        </w:rPr>
        <w:t>. The receivable is recognized when there is reasonable assurance that: (1) the recipient will comply with the relevant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 the grant will be received. We elected to present the credit net of the related expenditure on the statements of operations and comprehensive loss. While these tax credits can be carried forward indefinitely, we recognize an amount that reflects management’s best estimate of the amount reasonably assured to be realized or utilized in the foreseeable future based on historical benefits realized, adjusted for expected changes, as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Under the U.S. Jumpstart Our Business Startups Act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engaged in any off-balance sheet arrangements, such as the use of unconsolidated subsidiaries, structured finance, special purpose entities, or variable interest entities.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The Company maintains bank accounts with reputable banks and financial institutions and invests available cash in Italian and U.S. government bonds and treasury notes with short-term maturities and a minimum credit rating of “BBB.” A minority of the Company’s cash and cash equivalents and marketable securities are held in deposits that bear a small amount of interest. The Company’s market risk exposure is primarily a result of foreign currency exchange rates, which is discussed in detail in the following section.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early-stage cell and gene therapy company commercializing technology licensed from OSR. The Company intends to continue to conduct its operations so that neither it nor its subsidiary is required to register as an investment company under the Investment Company Act of 1940, as amended, and the rules and regulations promulgated thereunder (the “‘40 Act”). To ensure that the Company does not become subject to regulation under the ‘40 Act, the Company may be limited in the type of assets that it may own or acquire. If the Company were to become inadvertently subject to the ‘40 Act, any violation of the ‘40 Act could subject the Company to material adverse consequences.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results of operations and cash flow may be subject to fluctuations due to changes in foreign currency exchange rates. The Company’s liquid assets and expenses are denominated in EUR and USD.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June 30, 2025, the Company maintained €5.2 million in cash and cash equivalents and €12.5 million in marketable securities. Changes in the USD/EUR exchange rate could increase/decrease the Company’s operating expenses, especially as more costs are incurred in the U.S.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Currently, the Company has recorded an unrealized net loss from exchange rate of approximately €0.6 million. The Company does not currently hedge its foreign currency exchange risk. In the future, the Company may enter into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impact of up to a 10% increase in the exchange rate between the Euro and the U.S. dollar. A weakening of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relative to the average exchange rate of 1.0935 for the six-month period ended June 30, 2025, could impact expenses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74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At June 30, 2025</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Sensitivity</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00" w:type="dxa"/>
            <w:vAlign w:val="bottom"/>
          </w:tcPr>
          <w:p>
            <w:pPr>
              <w:spacing w:after="0"/>
              <w:rPr>
                <w:sz w:val="19"/>
                <w:szCs w:val="19"/>
                <w:color w:val="auto"/>
              </w:rPr>
            </w:pPr>
          </w:p>
        </w:tc>
        <w:tc>
          <w:tcPr>
            <w:tcW w:w="150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USD</w:t>
            </w:r>
          </w:p>
        </w:tc>
        <w:tc>
          <w:tcPr>
            <w:tcW w:w="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r>
      <w:tr>
        <w:trPr>
          <w:trHeight w:val="209"/>
        </w:trPr>
        <w:tc>
          <w:tcPr>
            <w:tcW w:w="29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expenses</w:t>
            </w:r>
          </w:p>
        </w:tc>
        <w:tc>
          <w:tcPr>
            <w:tcW w:w="1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850,660   €</w:t>
            </w:r>
          </w:p>
        </w:tc>
        <w:tc>
          <w:tcPr>
            <w:tcW w:w="1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777,922   €</w:t>
            </w:r>
          </w:p>
        </w:tc>
        <w:tc>
          <w:tcPr>
            <w:tcW w:w="1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(7,702)  €</w:t>
            </w:r>
          </w:p>
        </w:tc>
        <w:tc>
          <w:tcPr>
            <w:tcW w:w="1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(37,044)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Supplementary Risk Factor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risks that are discussed in our Annual Report in Item 3.D “Key Information—Risk Factors,” the following risks could materially impact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become involved in litigation that may materially adversely affect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For instance, in September 2025, the Company filed a civil action before the Court of Milan against AGC Biologics S.p.A., seeking a declaratory judgment of nullity and/or termination, with retroactive effect, of the Master Service Agreement and related amendments. Legal proceedings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 Adverse outcomes in such proceedings or claims could result in significant liabilities, monetary damages, fines, or injunctive relief, which may materially impact our financial condition, results of operations, or cash flows. Additionally, the uncertainty surrounding litigation and the potential for adverse publicity related to such matters could harm our reputation, affecting customer confidence and investor perception.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We may engage, in strategic acquisitions or transactions, which could have a material adverse effect on our business, results of operations, financial condition and cash flows.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enter into transactions to acquire other businesses, products or technologies, and our ability to do so successfully cannot be ensured. While historically we have not completed any acquisitions, if our proposal to amend our by-laws to expand our corporate purpose is approved by shareholders, we may engage in strategic transactions, including acquisitions of or equity investments in strategic Italian companies.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Acquisitions involve a number of risks, including diversion of management’s attention, ability to finance the acquisition on attractive terms, failure to retain key personnel or valuable customers, legal liabilities, the need to amortize acquired intangible assets, and intellectual property ownership and infringement risks, any of which could have a material adverse effect on our business, results of operations, financial condition and cash flows. Any additional future acquisitions may also result in the incurrence of indebtedness or the issuance of additional equity securities.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governmental approval, execution, integration or underperformance relative to prior expectations. Acquisitions may not result in long-term benefits to us, and we cannot guarantee that we will be able to fully recover the costs of such acquisitions or that we will be successful in further developing the acquired business in the manner we anticipated.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experience unanticipated difficulties identifying suitable or attractive acquisition candidates that are available for purchase at reasonable prices and that meet our objectives. The identification of suitable acquisition candidates can be difficult, time-consuming, and costly, and we may not consummate acquisitions successfully that we target in the future. Even if we are able to identify such candidates, we may be unable to consummate an acquisition on suitable terms or in the face of competition from other bidders. We also cannot predict the number, timing, or size of any future acquisitions or the effect that any such transactions might have on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01"/>
    </w:lvl>
    <w:lvl w:ilvl="1">
      <w:lvlJc w:val="left"/>
      <w:lvlText w:val="(%2)"/>
      <w:numFmt w:val="lowerRoman"/>
      <w:start w:val="3"/>
    </w:lvl>
  </w:abstractNum>
  <w:abstractNum w:abstractNumId="1">
    <w:nsid w:val="41A7C4C9"/>
    <w:multiLevelType w:val="hybridMultilevel"/>
    <w:lvl w:ilvl="0">
      <w:lvlJc w:val="left"/>
      <w:lvlText w:val="(%1)"/>
      <w:numFmt w:val="decimal"/>
      <w:start w:val="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lvl w:ilvl="1">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2025-10-10T15:16:19Z</dcterms:created>
  <dcterms:modified xsi:type="dcterms:W3CDTF">2025-10-10T15:16:19Z</dcterms:modified>
</cp:coreProperties>
</file>