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33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30, 2024, the Company and AGC Biologics S.p.A. (“AGC”) entered into the Second Amendment to the Development and Master Services Agreement, effective as of March 6, 2019, and as amended as of March 5, 2024. In conjunction with entry into the Second Amendment, the Company also entered into Work Statement No. 1 for AGC to manufacture, test, and release certain of the Company’s cell therapy products and provide for a dedicated GMP suite. On August 1, 2025, the Company notified AGC of its intent to terminate Work Statement No. 01, pursuant to Section 4.1 of the Second Amendment to the Development and Master Services Agreement, which would eliminate the Company’s commitment to a dedicated suite effective August 1, 2026, but will allow AGC to continue to manufacture certain drug products for the Company in shared suites.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2025-08-01T15:19:03Z</dcterms:created>
  <dcterms:modified xsi:type="dcterms:W3CDTF">2025-08-01T15:19:03Z</dcterms:modified>
</cp:coreProperties>
</file>