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December 10,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Jeffrey Gabor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Genenta Science S.p.A.</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No. 333-260923</w:t>
      </w:r>
    </w:p>
    <w:p>
      <w:pPr>
        <w:spacing w:after="0" w:line="20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Acceleration Request</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Requested Date: December 14, 2021</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Requested Time: 5:00 PM, Eastern Daylight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Gabor:</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461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Roth Capital Partners, LLC, as representative of the several underwriters, hereby joins Genenta Science S.p.A. in requesting that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take appropriate action to cause the Registration Statement on Form F-1 (File No. 333-260923)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become effective on December 14, 2021, at 5:00 PM, Eastern Daylight Time, or as soon as practicable thereafter.</w:t>
      </w:r>
    </w:p>
    <w:p>
      <w:pPr>
        <w:spacing w:after="0" w:line="187"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Rule 460 under the Act, please be advised that we will take reasonable steps to secure adequate distribution of the preliminary prospectus, to underwriters, dealers, institutions and others, prior to the requested effective time of the Registration Statement.</w:t>
      </w:r>
    </w:p>
    <w:p>
      <w:pPr>
        <w:spacing w:after="0" w:line="170"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been informed by the participating underwriters that they will comply with the requirements of Rule 15c2-8 under the Securities Exchange Act of 1934, as amended, to the extent applicable.</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ind w:left="5632"/>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Roth Capital Partners, LLC</w:t>
      </w:r>
    </w:p>
    <w:p>
      <w:pPr>
        <w:spacing w:after="0" w:line="225" w:lineRule="exact"/>
        <w:rPr>
          <w:sz w:val="20"/>
          <w:szCs w:val="20"/>
          <w:color w:val="auto"/>
        </w:rPr>
      </w:pPr>
    </w:p>
    <w:p>
      <w:pPr>
        <w:ind w:left="5632"/>
        <w:spacing w:after="0"/>
        <w:tabs>
          <w:tab w:leader="none" w:pos="617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Aaron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2061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Name: Aaron Gurewitz</w:t>
      </w:r>
    </w:p>
    <w:p>
      <w:pPr>
        <w:spacing w:after="0" w:line="36" w:lineRule="exact"/>
        <w:rPr>
          <w:sz w:val="20"/>
          <w:szCs w:val="20"/>
          <w:color w:val="auto"/>
        </w:rPr>
      </w:pPr>
    </w:p>
    <w:p>
      <w:pPr>
        <w:jc w:val="both"/>
        <w:ind w:left="5632"/>
        <w:spacing w:after="0"/>
        <w:tabs>
          <w:tab w:leader="none" w:pos="6172" w:val="left"/>
        </w:tabs>
        <w:rPr>
          <w:sz w:val="20"/>
          <w:szCs w:val="20"/>
          <w:color w:val="auto"/>
        </w:rPr>
      </w:pPr>
      <w:r>
        <w:rPr>
          <w:rFonts w:ascii="Arial" w:cs="Arial" w:eastAsia="Arial" w:hAnsi="Arial"/>
          <w:sz w:val="18"/>
          <w:szCs w:val="18"/>
          <w:color w:val="auto"/>
        </w:rPr>
        <w:t>Title:</w:t>
        <w:tab/>
        <w:t>Head of Capital Markets</w:t>
      </w:r>
    </w:p>
    <w:p>
      <w:pPr>
        <w:spacing w:after="0" w:line="211" w:lineRule="exact"/>
        <w:rPr>
          <w:sz w:val="20"/>
          <w:szCs w:val="20"/>
          <w:color w:val="auto"/>
        </w:rPr>
      </w:pPr>
    </w:p>
    <w:p>
      <w:pPr>
        <w:ind w:left="652" w:right="6399" w:hanging="652"/>
        <w:spacing w:after="0" w:line="301" w:lineRule="auto"/>
        <w:tabs>
          <w:tab w:leader="none" w:pos="652" w:val="left"/>
        </w:tabs>
        <w:numPr>
          <w:ilvl w:val="0"/>
          <w:numId w:val="1"/>
        </w:numPr>
        <w:rPr>
          <w:rFonts w:ascii="Arial" w:cs="Arial" w:eastAsia="Arial" w:hAnsi="Arial"/>
          <w:sz w:val="16"/>
          <w:szCs w:val="16"/>
          <w:color w:val="auto"/>
        </w:rPr>
      </w:pPr>
      <w:r>
        <w:rPr>
          <w:rFonts w:ascii="Arial" w:cs="Arial" w:eastAsia="Arial" w:hAnsi="Arial"/>
          <w:sz w:val="16"/>
          <w:szCs w:val="16"/>
          <w:color w:val="auto"/>
        </w:rPr>
        <w:t>Pierluigi Paracchi, Genenta Science S.p.A. Ettore Santucci, Goodwin Procter LLP Thomas Levato, Goodwin Procter LLP Norwood Beveridge, Loeb &amp; Loeb LLP</w:t>
      </w:r>
    </w:p>
    <w:p>
      <w:pPr>
        <w:spacing w:after="0" w:line="157" w:lineRule="exact"/>
        <w:rPr>
          <w:sz w:val="20"/>
          <w:szCs w:val="20"/>
          <w:color w:val="auto"/>
        </w:rPr>
      </w:pPr>
    </w:p>
    <w:p>
      <w:pPr>
        <w:ind w:left="4112"/>
        <w:spacing w:after="0"/>
        <w:rPr>
          <w:sz w:val="20"/>
          <w:szCs w:val="20"/>
          <w:color w:val="auto"/>
        </w:rPr>
      </w:pPr>
      <w:r>
        <w:rPr>
          <w:rFonts w:ascii="Arial" w:cs="Arial" w:eastAsia="Arial" w:hAnsi="Arial"/>
          <w:sz w:val="18"/>
          <w:szCs w:val="18"/>
          <w:i w:val="1"/>
          <w:iCs w:val="1"/>
          <w:color w:val="auto"/>
        </w:rPr>
        <w:t>[Signature Page to Acceleration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1"/>
      </w:cols>
      <w:pgMar w:left="328" w:top="6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2022-03-08T21:26:31Z</dcterms:created>
  <dcterms:modified xsi:type="dcterms:W3CDTF">2022-03-08T21:26:31Z</dcterms:modified>
</cp:coreProperties>
</file>