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April 2024</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4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right="599"/>
        <w:spacing w:after="0" w:line="353"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This report on Form 6-K is incorporated by reference into the registrant’s registration statement on Form F-3 (File No. 333-271901).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489585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26, 2024, Genenta S.p.A. (the “Company”) entered into an ATM Sales Agreement (the “Sales Agreement”) with Capital One Securities, Inc. and Virtu Americas LLC (the “Sales Agents”), pursuant to which the Company may offer and sell American Depositary Shares (“ADSs”), each representing one ordinary share with no par value per share of the Company, for an aggregate offering price of up to $16,362,816 from time to time through or to the Sales Agents, acting as sales agents or principals. The offer and sale of the ADSs will be made pursuant to the Company’s registration statement on Form F-3 and the related prospectus (File No. 333-271901) filed with the Securities and Exchange Commission (the “SEC”) on May 12, 2023 and declared effective by the SEC on May 22, 2023, as supplemented by a prospectus supplement dated April 26, 2024 and filed with the SEC pursuant to Rule 424(b) under the Securities Act of 1933, as amended (the “Securities Act”).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Sales Agents will receive from the Company a commission of up to 3.0% of the gross proceeds from any sale of ADSs pursuant to the Sales Agreement. The Sales Agreement contains customary representations, warranties and agreements by the Company, indemnification obligations of the Company and the Sales Agents, including for liabilities under the Securities Act, and termination provisions.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above description of the Sales Agreement is qualified in its entirety by reference to the Sales Agreement, a copy of which is filed as Exhibit 1.1 hereto and is incorporated herein by reference.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copy of the opinion of Giovannelli and Associates, relating to the validity of the ordinary shares represented by the ADSs to be issued pursuant to the Sales Agreement, is filed with this Report on Form 6-K as Exhibit 5.1.</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Report on Form 6-K shall not constitute an offer to sell or the solicitation of an offer to buy the Company’s securities, nor shall there be any offer, solicitation, or sale of the Company’s securities in any state in which such offer, solicitation or sale would be unlawful prior to registration or qualification under the securities laws of any such state.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439"/>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10140" w:type="dxa"/>
            <w:vAlign w:val="bottom"/>
            <w:tcBorders>
              <w:bottom w:val="single" w:sz="8" w:color="auto"/>
            </w:tcBorders>
            <w:gridSpan w:val="3"/>
          </w:tcPr>
          <w:p>
            <w:pPr>
              <w:ind w:left="4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ATM Sales Agreement, dated April 26, 2024, among the Company and the Sales Agents</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4"/>
                <w:szCs w:val="24"/>
                <w:color w:val="auto"/>
              </w:rPr>
            </w:pPr>
          </w:p>
        </w:tc>
        <w:tc>
          <w:tcPr>
            <w:tcW w:w="63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Opinion of Giovannelli and Associates, Italian counsel to the Company</w:t>
            </w:r>
          </w:p>
        </w:tc>
        <w:tc>
          <w:tcPr>
            <w:tcW w:w="3780" w:type="dxa"/>
            <w:vAlign w:val="bottom"/>
          </w:tcPr>
          <w:p>
            <w:pPr>
              <w:spacing w:after="0"/>
              <w:rPr>
                <w:sz w:val="24"/>
                <w:szCs w:val="24"/>
                <w:color w:val="auto"/>
              </w:rPr>
            </w:pPr>
          </w:p>
        </w:tc>
      </w:tr>
      <w:tr>
        <w:trPr>
          <w:trHeight w:val="460"/>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140" w:type="dxa"/>
            <w:vAlign w:val="bottom"/>
            <w:tcBorders>
              <w:top w:val="single" w:sz="8" w:color="0000EE"/>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Richard B. Slansky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B. Slansky</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each representing one ordinary share, no par value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ATM Sales Agreement</w:t>
      </w:r>
    </w:p>
    <w:p>
      <w:pPr>
        <w:spacing w:after="0" w:line="229"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8"/>
          <w:szCs w:val="18"/>
          <w:color w:val="auto"/>
        </w:rPr>
        <w:t>April 26,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Virtu Americas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1633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One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St. Charles Ave, Suite 1830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Orleans, LA 70170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Genenta Science S.p.A., a Republic of Italy joint stock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with Virtu Americas LLC and Capital One Securities, Inc. (each individually an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u w:val="single" w:color="auto"/>
          <w:color w:val="auto"/>
        </w:rPr>
        <w:t>Agents</w:t>
      </w:r>
      <w:r>
        <w:rPr>
          <w:rFonts w:ascii="Times New Roman" w:cs="Times New Roman" w:eastAsia="Times New Roman" w:hAnsi="Times New Roman"/>
          <w:sz w:val="18"/>
          <w:szCs w:val="18"/>
          <w:color w:val="auto"/>
        </w:rPr>
        <w:t>”), as follows:</w:t>
      </w:r>
    </w:p>
    <w:p>
      <w:pPr>
        <w:spacing w:after="0" w:line="159" w:lineRule="exact"/>
        <w:rPr>
          <w:sz w:val="20"/>
          <w:szCs w:val="20"/>
          <w:color w:val="auto"/>
        </w:rPr>
      </w:pPr>
    </w:p>
    <w:p>
      <w:pPr>
        <w:jc w:val="both"/>
        <w:ind w:firstLine="656"/>
        <w:spacing w:after="0" w:line="252" w:lineRule="auto"/>
        <w:tabs>
          <w:tab w:leader="none" w:pos="8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sell to or through the Agents, as sales agent or principal, American depositary shares (“</w:t>
      </w:r>
      <w:r>
        <w:rPr>
          <w:rFonts w:ascii="Times New Roman" w:cs="Times New Roman" w:eastAsia="Times New Roman" w:hAnsi="Times New Roman"/>
          <w:sz w:val="18"/>
          <w:szCs w:val="18"/>
          <w:b w:val="1"/>
          <w:bCs w:val="1"/>
          <w:u w:val="single" w:color="auto"/>
          <w:color w:val="auto"/>
        </w:rPr>
        <w:t>ADSs</w:t>
      </w:r>
      <w:r>
        <w:rPr>
          <w:rFonts w:ascii="Times New Roman" w:cs="Times New Roman" w:eastAsia="Times New Roman" w:hAnsi="Times New Roman"/>
          <w:sz w:val="18"/>
          <w:szCs w:val="18"/>
          <w:color w:val="auto"/>
        </w:rPr>
        <w:t>”), each representing one (1) ordinary share with no par value in the capital of the Company (the “</w:t>
      </w:r>
      <w:r>
        <w:rPr>
          <w:rFonts w:ascii="Times New Roman" w:cs="Times New Roman" w:eastAsia="Times New Roman" w:hAnsi="Times New Roman"/>
          <w:sz w:val="18"/>
          <w:szCs w:val="18"/>
          <w:b w:val="1"/>
          <w:bCs w:val="1"/>
          <w:u w:val="single" w:color="auto"/>
          <w:color w:val="auto"/>
        </w:rPr>
        <w:t>Ordinary Shares</w:t>
      </w:r>
      <w:r>
        <w:rPr>
          <w:rFonts w:ascii="Times New Roman" w:cs="Times New Roman" w:eastAsia="Times New Roman" w:hAnsi="Times New Roman"/>
          <w:sz w:val="18"/>
          <w:szCs w:val="18"/>
          <w:color w:val="auto"/>
        </w:rPr>
        <w:t>”), and such ADSs to be offered hereby, the “</w:t>
      </w:r>
      <w:r>
        <w:rPr>
          <w:rFonts w:ascii="Times New Roman" w:cs="Times New Roman" w:eastAsia="Times New Roman" w:hAnsi="Times New Roman"/>
          <w:sz w:val="18"/>
          <w:szCs w:val="18"/>
          <w:b w:val="1"/>
          <w:bCs w:val="1"/>
          <w:u w:val="single" w:color="auto"/>
          <w:color w:val="auto"/>
        </w:rPr>
        <w:t>Placement ADSs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the Company sell through the Agents such number or dollar amount of Placement ADSs that would (a) exceed the number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dollar amount of Ordinary Shares represented by ADSs registered on the effective Registration Statement (defined below) pursuant to which the offering is being made, (b) exceed the number of authorized but unissued Ordinary Shares (less Ordinary Shares issuable upon exercise, conversion or exchange of any outstanding securities of the Company or otherwise reserved from the Company’s authorized share capital), (c) exceed the number or dollar amount of ADSs permitted to be sold under Form F-3 (including General Instruction I.B.5 thereof, if applicable) or (d) exceed the number or dollar amount of ADSs for which the Company has filed a Prospectus (defined below) (the lesser of (a), (b), (c) and (d), the “</w:t>
      </w:r>
      <w:r>
        <w:rPr>
          <w:rFonts w:ascii="Times New Roman" w:cs="Times New Roman" w:eastAsia="Times New Roman" w:hAnsi="Times New Roman"/>
          <w:sz w:val="18"/>
          <w:szCs w:val="18"/>
          <w:b w:val="1"/>
          <w:bCs w:val="1"/>
          <w:u w:val="single" w:color="auto"/>
          <w:color w:val="auto"/>
        </w:rPr>
        <w:t>Maximum Amount</w:t>
      </w:r>
      <w:r>
        <w:rPr>
          <w:rFonts w:ascii="Times New Roman" w:cs="Times New Roman" w:eastAsia="Times New Roman" w:hAnsi="Times New Roman"/>
          <w:sz w:val="18"/>
          <w:szCs w:val="18"/>
          <w:color w:val="auto"/>
        </w:rPr>
        <w:t xml:space="preserve">”). Notwithstanding anything to the contrary contained herein, the parties hereto agree that compliance with the limitations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on the amount of Placement ADSs issued and sold under this Agreement shall be the sole responsibility of the Company and that the Agents shall have no obligation in connection with such compliance. The offer and sale of Placement ADSs through the Agents will be effected pursuant to the Registration Statement (as defined below) filed by the Company and which has been declared effective by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SEC</w:t>
      </w:r>
      <w:r>
        <w:rPr>
          <w:rFonts w:ascii="Times New Roman" w:cs="Times New Roman" w:eastAsia="Times New Roman" w:hAnsi="Times New Roman"/>
          <w:sz w:val="18"/>
          <w:szCs w:val="18"/>
          <w:color w:val="auto"/>
        </w:rPr>
        <w:t>”), although nothing in this Agreement shall be construed as requiring the Company to use the Registration Statement to issue ADSs. The Company will deposit pursuant to the Deposit Agreement dated as of December 17, 2021, as amended, among the Company, The Bank of New York Mellon, as depositary (the “</w:t>
      </w:r>
      <w:r>
        <w:rPr>
          <w:rFonts w:ascii="Times New Roman" w:cs="Times New Roman" w:eastAsia="Times New Roman" w:hAnsi="Times New Roman"/>
          <w:sz w:val="18"/>
          <w:szCs w:val="18"/>
          <w:b w:val="1"/>
          <w:bCs w:val="1"/>
          <w:u w:val="single" w:color="auto"/>
          <w:color w:val="auto"/>
        </w:rPr>
        <w:t>Depositary</w:t>
      </w:r>
      <w:r>
        <w:rPr>
          <w:rFonts w:ascii="Times New Roman" w:cs="Times New Roman" w:eastAsia="Times New Roman" w:hAnsi="Times New Roman"/>
          <w:sz w:val="18"/>
          <w:szCs w:val="18"/>
          <w:color w:val="auto"/>
        </w:rPr>
        <w:t>”), and owners and holders of the ADSs issued thereunder (the “</w:t>
      </w:r>
      <w:r>
        <w:rPr>
          <w:rFonts w:ascii="Times New Roman" w:cs="Times New Roman" w:eastAsia="Times New Roman" w:hAnsi="Times New Roman"/>
          <w:sz w:val="18"/>
          <w:szCs w:val="18"/>
          <w:b w:val="1"/>
          <w:bCs w:val="1"/>
          <w:u w:val="single" w:color="auto"/>
          <w:color w:val="auto"/>
        </w:rPr>
        <w:t>Deposit Agreement</w:t>
      </w:r>
      <w:r>
        <w:rPr>
          <w:rFonts w:ascii="Times New Roman" w:cs="Times New Roman" w:eastAsia="Times New Roman" w:hAnsi="Times New Roman"/>
          <w:sz w:val="18"/>
          <w:szCs w:val="18"/>
          <w:color w:val="auto"/>
        </w:rPr>
        <w:t>”), a number of Ordinary Shares equal to the Placement ADSs. Upon deposit of such Ordinary Shares, the Depositary will issue ADSs representing the Ordinary Shares so deposited.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has filed, in accordance with the provisions of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and the rules and regulations thereunder (the “</w:t>
      </w:r>
      <w:r>
        <w:rPr>
          <w:rFonts w:ascii="Times New Roman" w:cs="Times New Roman" w:eastAsia="Times New Roman" w:hAnsi="Times New Roman"/>
          <w:sz w:val="18"/>
          <w:szCs w:val="18"/>
          <w:b w:val="1"/>
          <w:bCs w:val="1"/>
          <w:u w:val="single" w:color="auto"/>
          <w:color w:val="auto"/>
        </w:rPr>
        <w:t>Securities Act Regulations</w:t>
      </w:r>
      <w:r>
        <w:rPr>
          <w:rFonts w:ascii="Times New Roman" w:cs="Times New Roman" w:eastAsia="Times New Roman" w:hAnsi="Times New Roman"/>
          <w:sz w:val="18"/>
          <w:szCs w:val="18"/>
          <w:color w:val="auto"/>
        </w:rPr>
        <w:t>”), with the Commission a registration statement on Form F-3 (File No. 333-271901), including a base prospectus, relating to certain securities, including the Ordinary Shares, Ordinary Shares represented by ADSs and rights exercisable for Ordinary Shares and/or Ordinary Shares represented by ADSs, to be offered from time to time by the Company, and which incorporates by reference documents that the Company has filed or will file in accordance with the provisions of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and the rules and regulations thereunder. The Company has prepared a prospectus supplement to the base prospectus included as part of the registration statement, which prospectus supplement relates to the Placement ADSs to be offered from time to time by the Company pursuant to this Agreement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Supplement</w:t>
      </w:r>
      <w:r>
        <w:rPr>
          <w:rFonts w:ascii="Times New Roman" w:cs="Times New Roman" w:eastAsia="Times New Roman" w:hAnsi="Times New Roman"/>
          <w:sz w:val="18"/>
          <w:szCs w:val="18"/>
          <w:color w:val="auto"/>
        </w:rPr>
        <w:t>”). The Company will furnish to the Agents, for use by the Agents, copies of the base prospectus included as part of such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as supplemented by the Prospectus Supplement.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under the Securities Act Regulations or deemed to be a part of such registration statement pursuant to Rule 430B of the Securities Act Regulations, and any one or more additional effective registration statements on Form F-3 from time to time that will contain a prospectus and a related prospectus supplement, if applicable (which shall be a Prospectus Supplement), with respect to the Placement ADSs, is herein called the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The base prospectus or base prospectuses, including all documents incorporated therein by reference, included in the Registration Statement, as it may be supplemented, if applicable, by the Prospectus Supplement , in the form in which such prospectus or prospectuses and/or Prospectus Supplement have most recently been filed by the Company with the Commission pursuant to Rule 424(b) under the Securities Act Regulations, together with the then issued Issuer Free Writing Prospectus(es) (as defined below), is herein called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reference herein to the Registration Statement, the Prospectus or any Issuer Free Writing Prospectus shall be deemed to refer to and include the documents, if any, incorporated by reference therein (the “</w:t>
      </w:r>
      <w:r>
        <w:rPr>
          <w:rFonts w:ascii="Times New Roman" w:cs="Times New Roman" w:eastAsia="Times New Roman" w:hAnsi="Times New Roman"/>
          <w:sz w:val="18"/>
          <w:szCs w:val="18"/>
          <w:b w:val="1"/>
          <w:bCs w:val="1"/>
          <w:u w:val="single" w:color="auto"/>
          <w:color w:val="auto"/>
        </w:rPr>
        <w:t>Incorporated Documents</w:t>
      </w:r>
      <w:r>
        <w:rPr>
          <w:rFonts w:ascii="Times New Roman" w:cs="Times New Roman" w:eastAsia="Times New Roman" w:hAnsi="Times New Roman"/>
          <w:sz w:val="18"/>
          <w:szCs w:val="18"/>
          <w:color w:val="auto"/>
        </w:rPr>
        <w:t>”), including, unless the context otherwise requires, the documents, if any, filed as exhibits to such Incorporated Documents. Any reference herein to the terms “amend,” “amendment” or “supplement” with respect to the Registration Statement, the Prospectus or any Issuer Free Writing Prospectus shall be deemed to refer to and include the filing of any document under the Exchange Act on or after the most-recent effective date of the Registration Statement, or the date of the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both"/>
        <w:ind w:left="-656" w:firstLine="656"/>
        <w:spacing w:after="0" w:line="252" w:lineRule="auto"/>
        <w:tabs>
          <w:tab w:leader="none" w:pos="17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Each time that the Company wishes to sell Placement ADSs hereunder (each, a “</w:t>
      </w:r>
      <w:r>
        <w:rPr>
          <w:rFonts w:ascii="Times New Roman" w:cs="Times New Roman" w:eastAsia="Times New Roman" w:hAnsi="Times New Roman"/>
          <w:sz w:val="18"/>
          <w:szCs w:val="18"/>
          <w:b w:val="1"/>
          <w:bCs w:val="1"/>
          <w:u w:val="single" w:color="auto"/>
          <w:color w:val="auto"/>
        </w:rPr>
        <w:t>Placement</w:t>
      </w:r>
      <w:r>
        <w:rPr>
          <w:rFonts w:ascii="Times New Roman" w:cs="Times New Roman" w:eastAsia="Times New Roman" w:hAnsi="Times New Roman"/>
          <w:sz w:val="18"/>
          <w:szCs w:val="18"/>
          <w:color w:val="auto"/>
        </w:rPr>
        <w:t>”), it will notify one of the Agents that the Company may select in its sole discretion from time to time (the “</w:t>
      </w:r>
      <w:r>
        <w:rPr>
          <w:rFonts w:ascii="Times New Roman" w:cs="Times New Roman" w:eastAsia="Times New Roman" w:hAnsi="Times New Roman"/>
          <w:sz w:val="18"/>
          <w:szCs w:val="18"/>
          <w:b w:val="1"/>
          <w:bCs w:val="1"/>
          <w:u w:val="single" w:color="auto"/>
          <w:color w:val="auto"/>
        </w:rPr>
        <w:t>Designated Agent</w:t>
      </w:r>
      <w:r>
        <w:rPr>
          <w:rFonts w:ascii="Times New Roman" w:cs="Times New Roman" w:eastAsia="Times New Roman" w:hAnsi="Times New Roman"/>
          <w:sz w:val="18"/>
          <w:szCs w:val="18"/>
          <w:color w:val="auto"/>
        </w:rPr>
        <w:t>”) by email notice (or other method mutually agreed to by the parties) of the number of Placement ADSs to be issued, the time period during which sales are requested to be made, any limitation on the number of Placement ADSs that may be sold in any one day and any minimum price below which sales may not be made (a “</w:t>
      </w:r>
      <w:r>
        <w:rPr>
          <w:rFonts w:ascii="Times New Roman" w:cs="Times New Roman" w:eastAsia="Times New Roman" w:hAnsi="Times New Roman"/>
          <w:sz w:val="18"/>
          <w:szCs w:val="18"/>
          <w:b w:val="1"/>
          <w:bCs w:val="1"/>
          <w:u w:val="single" w:color="auto"/>
          <w:color w:val="auto"/>
        </w:rPr>
        <w:t>Placement Notice</w:t>
      </w:r>
      <w:r>
        <w:rPr>
          <w:rFonts w:ascii="Times New Roman" w:cs="Times New Roman" w:eastAsia="Times New Roman" w:hAnsi="Times New Roman"/>
          <w:sz w:val="18"/>
          <w:szCs w:val="18"/>
          <w:color w:val="auto"/>
        </w:rPr>
        <w:t xml:space="preserve">”), the form of which is attached hereto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The Placement Notice shall originate from any of the individuals from the Company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(with a copy to each of the other individuals from the Company listed on such schedule), and shall be addressed to each of the individuals from the Designated Agent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may be amended from time to time. The Placement Notice shall be effective unless and until (i) the Designated Agent declines to accept the terms contained therein for any reason, in its sole discretion (which declination must occur within two (2) Business Days (as defined below) of the receipt of the Placement Notice), (ii) the entire amount of the Placement ADSs thereunder have been sold, (iii) the Company suspends or terminates the Placement Notice or (iv) this Agreement has been terminated under the provisions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The amount of any discount, commission or other compensation to be paid by the Company to the Designated Agent in connection with the sale of the Placement ADSs shall be calculated in accordance with the terms set forth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It is expressly acknowledged and agreed that neither the Company nor the Designated Agent will have any obligation whatsoever with respect to a Placement or any Placement ADSs unless and until the Company delivers a Placement Notice to the Designated Agent and the Designated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98"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17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ADSs by the Designated Agent</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the Designated Agent, for the period specified in the Placement Notice, will use its commercially reasonable efforts consistent with its normal trading and sales practices and applicable state and federal laws, rules and regulations and the rules of the Nasdaq Capital Market (the “</w:t>
      </w:r>
      <w:r>
        <w:rPr>
          <w:rFonts w:ascii="Times New Roman" w:cs="Times New Roman" w:eastAsia="Times New Roman" w:hAnsi="Times New Roman"/>
          <w:sz w:val="18"/>
          <w:szCs w:val="18"/>
          <w:b w:val="1"/>
          <w:bCs w:val="1"/>
          <w:u w:val="single" w:color="auto"/>
          <w:color w:val="auto"/>
        </w:rPr>
        <w:t>Exchange</w:t>
      </w:r>
      <w:r>
        <w:rPr>
          <w:rFonts w:ascii="Times New Roman" w:cs="Times New Roman" w:eastAsia="Times New Roman" w:hAnsi="Times New Roman"/>
          <w:sz w:val="18"/>
          <w:szCs w:val="18"/>
          <w:color w:val="auto"/>
        </w:rPr>
        <w:t xml:space="preserve">”), to sell the Placement ADSs up to the amount specified in, and otherwise in accordance with the terms of, such Placement Notice. The Designated Agent will provide written confirmation to the Company no later than the opening of the Trading Day (as defined below) immediately following the Trading Day on which it has made sales of Placement ADSs hereunder setting forth the number of Placement ADSs sold on such day, the compensation payable by the Company to the Designated Agent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 respect to such sales, and the Net Proceeds (as defined below) payable to the Company, with an itemization of the deductions made by the Designated Agent (as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from the gross proceeds that it receives from such sales. Subject to the terms of the Placement Notice, the Designated Agent may sell Placement ADSs by any method permitted by law deemed to be an “at the market offering” as defined in Rule 415(a)(4) of the Securities Act Regulations.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any day on which ADSs are traded on the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271780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6" w:name="page7"/>
    <w:bookmarkEnd w:id="6"/>
    <w:p>
      <w:pPr>
        <w:jc w:val="both"/>
        <w:ind w:left="-656" w:firstLine="656"/>
        <w:spacing w:after="0" w:line="253" w:lineRule="auto"/>
        <w:tabs>
          <w:tab w:leader="none" w:pos="1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xml:space="preserve">. The Company or the Designated Agent may, upon notice to the other party in writing (including by email correspondence to each of the individuals of the other party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suspend any sale of Placement ADSs (a “</w:t>
      </w:r>
      <w:r>
        <w:rPr>
          <w:rFonts w:ascii="Times New Roman" w:cs="Times New Roman" w:eastAsia="Times New Roman" w:hAnsi="Times New Roman"/>
          <w:sz w:val="18"/>
          <w:szCs w:val="18"/>
          <w:b w:val="1"/>
          <w:bCs w:val="1"/>
          <w:u w:val="single" w:color="auto"/>
          <w:color w:val="auto"/>
        </w:rPr>
        <w:t>Suspension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Suspension shall not affect or impair any party’s obligations with respect to any Placement ADSs sold hereunder prior to the receipt of such notice. While a Suspension is in effect any obligation under </w:t>
      </w:r>
      <w:r>
        <w:rPr>
          <w:rFonts w:ascii="Times New Roman" w:cs="Times New Roman" w:eastAsia="Times New Roman" w:hAnsi="Times New Roman"/>
          <w:sz w:val="18"/>
          <w:szCs w:val="18"/>
          <w:u w:val="single" w:color="auto"/>
          <w:color w:val="auto"/>
        </w:rPr>
        <w:t>Sections 7(l)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7(n)</w:t>
      </w:r>
      <w:r>
        <w:rPr>
          <w:rFonts w:ascii="Times New Roman" w:cs="Times New Roman" w:eastAsia="Times New Roman" w:hAnsi="Times New Roman"/>
          <w:sz w:val="18"/>
          <w:szCs w:val="18"/>
          <w:color w:val="auto"/>
        </w:rPr>
        <w:t xml:space="preserve"> with respect to the delivery of certificates, opinions, or comfort letters to the Agents, shall be waived. Each of the parties agrees that no such notice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effective against any other party unless it is made to one of the individuals named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hereto, as such Schedule may be amended from time to time. Notwithstanding any other provision of this Agreement, during any period in which the Company is in possession of material non-public information, the Company and the Agents agree that (i) no sale of Placement ADSs will take place, (ii) the Company shall not request the sale of any Placement ADSs, and (iii) the Agents shall not be obligated to sell or offer to sell any Placement ADSs.</w:t>
      </w:r>
    </w:p>
    <w:p>
      <w:pPr>
        <w:spacing w:after="0" w:line="19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and Delivery to the Agent; Settlement</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656" w:firstLine="1304"/>
        <w:spacing w:after="0" w:line="254" w:lineRule="auto"/>
        <w:tabs>
          <w:tab w:leader="none" w:pos="88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ADSs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On the basis of the representations and warranties herein contained and subject to the terms and conditions herein set forth, upon the Designated Agent’s acceptance of the terms of a Placement Notice, and unless the sale of the Placement ADSs described therein has been declined, suspended, or otherwise terminated in accordance with the terms of this Agreement, the Designated Agent, for the period specified in the Placement Notice, will use its commercially reasonable efforts consistent with its normal trading and sales practices and applicable law and regulations to sell such Placement ADSs up to the amount specified, and otherwise in accordance with the terms of such Placement Notice. The Company acknowledges and agrees that (i) there can be no assurance that the Designated Agent will be successful in selling Placement ADSs, (ii) the Designated Agent will incur no liability or obligation to the Company or any other person or entity if it does not sell Placement ADSs for any reason other than a failure by the Designated Agent to use its commercially reasonable efforts consistent with its normal trading and sales practices and applicable law and regulations to sell such Placement ADSs as required under this Agreement and (iii) the Designated Agent shall be under no obligation to purchase Placement ADSs on a principal basis pursuant to this Agreement, except as otherwise agreed by the Designated Agent and the Company.</w:t>
      </w:r>
    </w:p>
    <w:p>
      <w:pPr>
        <w:spacing w:after="0" w:line="185" w:lineRule="exact"/>
        <w:rPr>
          <w:rFonts w:ascii="Times New Roman" w:cs="Times New Roman" w:eastAsia="Times New Roman" w:hAnsi="Times New Roman"/>
          <w:sz w:val="18"/>
          <w:szCs w:val="18"/>
          <w:color w:val="auto"/>
        </w:rPr>
      </w:pPr>
    </w:p>
    <w:p>
      <w:pPr>
        <w:jc w:val="both"/>
        <w:ind w:left="-656" w:firstLine="1304"/>
        <w:spacing w:after="0" w:line="255" w:lineRule="auto"/>
        <w:tabs>
          <w:tab w:leader="none" w:pos="90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Placement ADSs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Unless otherwise specified in the applicable Placement Notice, settlement for sales of Placement ADSs will occur (i) prior to May 28, 2024, on the second Trading Day following the date on which such sales are made and (ii) beginning May 28, 2024, on the first Trading Day following the date on which such sales are made (each such day, in (i) and (ii), a “</w:t>
      </w:r>
      <w:r>
        <w:rPr>
          <w:rFonts w:ascii="Times New Roman" w:cs="Times New Roman" w:eastAsia="Times New Roman" w:hAnsi="Times New Roman"/>
          <w:sz w:val="18"/>
          <w:szCs w:val="18"/>
          <w:b w:val="1"/>
          <w:bCs w:val="1"/>
          <w:u w:val="single" w:color="auto"/>
          <w:color w:val="auto"/>
        </w:rPr>
        <w:t>Settlement Date</w:t>
      </w:r>
      <w:r>
        <w:rPr>
          <w:rFonts w:ascii="Times New Roman" w:cs="Times New Roman" w:eastAsia="Times New Roman" w:hAnsi="Times New Roman"/>
          <w:sz w:val="18"/>
          <w:szCs w:val="18"/>
          <w:color w:val="auto"/>
        </w:rPr>
        <w:t>”). The Designated Agent shall notify the Company of each sale of Placement ADSs no later than the opening of the Trading Day immediately following the Trading Day on which it has made sales of Placement ADSs hereunder. The amount of proceeds to be delivered to the Company on a Settlement Date against receipt of the Placement ADSs sold (the “</w:t>
      </w:r>
      <w:r>
        <w:rPr>
          <w:rFonts w:ascii="Times New Roman" w:cs="Times New Roman" w:eastAsia="Times New Roman" w:hAnsi="Times New Roman"/>
          <w:sz w:val="18"/>
          <w:szCs w:val="18"/>
          <w:b w:val="1"/>
          <w:bCs w:val="1"/>
          <w:u w:val="single" w:color="auto"/>
          <w:color w:val="auto"/>
        </w:rPr>
        <w:t>Net Proceeds</w:t>
      </w:r>
      <w:r>
        <w:rPr>
          <w:rFonts w:ascii="Times New Roman" w:cs="Times New Roman" w:eastAsia="Times New Roman" w:hAnsi="Times New Roman"/>
          <w:sz w:val="18"/>
          <w:szCs w:val="18"/>
          <w:color w:val="auto"/>
        </w:rPr>
        <w:t xml:space="preserve">”) will be equal to the aggregate sales price received by the Designated Agent, after deduction for (i) the Designated Agent’s commission, discount or other compensation for such sales payable by the Company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and (ii) any transaction fees imposed by any Governmental Authority in respect of such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267335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7" w:name="page8"/>
    <w:bookmarkEnd w:id="7"/>
    <w:p>
      <w:pPr>
        <w:jc w:val="both"/>
        <w:ind w:left="-1120" w:firstLine="1304"/>
        <w:spacing w:after="0" w:line="253" w:lineRule="auto"/>
        <w:tabs>
          <w:tab w:leader="none" w:pos="4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ADSs</w:t>
      </w:r>
      <w:r>
        <w:rPr>
          <w:rFonts w:ascii="Times New Roman" w:cs="Times New Roman" w:eastAsia="Times New Roman" w:hAnsi="Times New Roman"/>
          <w:sz w:val="18"/>
          <w:szCs w:val="18"/>
          <w:color w:val="auto"/>
        </w:rPr>
        <w:t xml:space="preserve">. On or before each Settlement Date, the Company will, or will cause its transfer agent to, issue and register in the name of the Depositary the amount of Ordinary Shares to be represented by the Placement ADSs and deliver those Ordinary Shares to the Depositary’s custodian under the Deposit Agreement, and instruct the Depositary to deliver the Placement ADSs issuable in respect of that deposit by crediting the Designated Agent’s or its designee’s account (provided the Designated Agent shall have given the Company written notice of such designee at least one Trading Day prior to the Settlement Date) at The Depository Trust Company by such means of delivery as may be mutually agreed upon by the parties hereto which in all cases shall be freely tradable, transferable, registered ADSs in good deliverable form. On each Settlement Date, the Designated Agent will deliver the related Net Proceeds in same day funds to an account designated by the Company on, or prior to, the Settlement Date. The Company agrees that if the Company, its transfer agent (if applicable) or the Depositary, defaults in its obligation to deliver Placement ADSs on a Settlement Date, through no fault of the Designated Agent, the Company agrees that in addition to and in no way limiting the rights and obligations set forth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hereto, it will (i) hold the Designated Agent harmless against any loss, claim, damage, or expense (including reasonable and documented legal fees and expenses), as incurred, arising out of or in connection with such default by the Company or its transfer agent (if applicable) and (ii) pay to the Designated Agent any commission, discount, or other compensation to which it would otherwise have been entitled absent such default.</w:t>
      </w:r>
    </w:p>
    <w:p>
      <w:pPr>
        <w:spacing w:after="0" w:line="187" w:lineRule="exact"/>
        <w:rPr>
          <w:rFonts w:ascii="Times New Roman" w:cs="Times New Roman" w:eastAsia="Times New Roman" w:hAnsi="Times New Roman"/>
          <w:sz w:val="18"/>
          <w:szCs w:val="18"/>
          <w:color w:val="auto"/>
        </w:rPr>
      </w:pPr>
    </w:p>
    <w:p>
      <w:pPr>
        <w:ind w:left="-1120" w:right="20" w:firstLine="1304"/>
        <w:spacing w:after="0" w:line="284" w:lineRule="auto"/>
        <w:tabs>
          <w:tab w:leader="none" w:pos="43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Registration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Placement ADSs will be uncertificated and will be registered in the name of the nominee of The Depository Trust Company (DTC).</w:t>
      </w:r>
    </w:p>
    <w:p>
      <w:pPr>
        <w:spacing w:after="0" w:line="158"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Offering Size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no circumstances shall the Company cause or request the offer or sale of any Placement ADSs if, after giving effect to the sale of such Placement ADSs, the aggregate gross sales proceeds of Placement ADSs sold pursuant to this Agreement would exceed the lesser of (A) together with all sales of Placement ADSs under this Agreement, the Maximum Amount and (B) the amount authorized from time to time to be issued and sold under this Agreement by the Company’s board of directors, a duly authorized committee thereof or a duly authorized executive committee, and notified to the Designated Agent in writing. Under no circumstances shall the Company cause or request the offer or sale of any Placement ADSs pursuant to this Agreement at a price lower than the minimum price authorized from time to time by the Company’s board of directors, a duly authorized committee thereof or a duly authorized executive committee. Further, under no circumstances shall the Company cause or permit the aggregate offering amount of Placement ADSs sold pursuant to this Agreement to exceed the Maximum Amount.</w:t>
      </w:r>
    </w:p>
    <w:p>
      <w:pPr>
        <w:spacing w:after="0" w:line="186"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4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Through Agents</w:t>
      </w:r>
      <w:r>
        <w:rPr>
          <w:rFonts w:ascii="Times New Roman" w:cs="Times New Roman" w:eastAsia="Times New Roman" w:hAnsi="Times New Roman"/>
          <w:sz w:val="18"/>
          <w:szCs w:val="18"/>
          <w:color w:val="auto"/>
        </w:rPr>
        <w:t>. With respect to the offering and sale of Placement Shares by or through the Agents pursuant to this Agreement, the Company agrees that any offer to sell Placement ADSs, any solicitation of an offer to buy Placement ADSs, and any sales of Placement ADSs shall only be effected by or through the Designated Agent on any single given day, and the Company shall in no event request that more than one Agent offer or sell Placement ADSs pursuant to this Agreement on the same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8" w:name="page9"/>
    <w:bookmarkEnd w:id="8"/>
    <w:p>
      <w:pPr>
        <w:ind w:left="-656" w:firstLine="656"/>
        <w:spacing w:after="0" w:line="282" w:lineRule="auto"/>
        <w:tabs>
          <w:tab w:leader="none" w:pos="1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the Agents that as of the date of this Agreement and as of each Applicable Time (as defined below), unless such representation, warranty or agreement specifies a different time:</w:t>
      </w:r>
    </w:p>
    <w:p>
      <w:pPr>
        <w:spacing w:after="0" w:line="161" w:lineRule="exact"/>
        <w:rPr>
          <w:rFonts w:ascii="Times New Roman" w:cs="Times New Roman" w:eastAsia="Times New Roman" w:hAnsi="Times New Roman"/>
          <w:sz w:val="18"/>
          <w:szCs w:val="18"/>
          <w:color w:val="auto"/>
        </w:rPr>
      </w:pPr>
    </w:p>
    <w:p>
      <w:pPr>
        <w:jc w:val="both"/>
        <w:ind w:left="-656" w:firstLine="1304"/>
        <w:spacing w:after="0" w:line="252" w:lineRule="auto"/>
        <w:tabs>
          <w:tab w:leader="none" w:pos="91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transactions contemplated by this Agreement meet the requirements for and comply with the applicable conditions set forth in Form F-3 (including General Instructions I.A and I.B) under the Securities Act. The Registration Statement has been or will be filed with the Commission and has been or will be declared effective by the Commission under the Securities Act prior to the issuance of any Placement Notices by the Company. As of each Applicable Time, the Registration Statement is effective. The Prospectus will name the Agents as the agents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ADSs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Agents and their counsel. The Company has not distributed and, prior to the later to occur of each Settlement Date and completion of the distribution of the Placement ADSs, will not distribute any offering material in connection with the offering or sale of the Placement ADSs other than the Registration Statement and the Prospectus and any Issuer Free Writing Prospectus to which the Agents have consented, provided that any such consent shall not be unreasonably withheld, conditioned or delayed. The ADSs are registered pursuant to Section 12(b) of the Exchange Act and are currently listed on the Exchange under the trading symbol “GNTA.” The Company has taken no action designed to, or likely to have the effect of, terminating the registration of the ADSs under the Exchange Act, delisting the ADSs from the Exchange, nor has the Company received any notification that the Commission or the Exchange is contemplating terminating such registration or listing. To the Company’s knowledge, it is in compliance with all applicable listing requirements of the Exchange.</w:t>
      </w:r>
    </w:p>
    <w:p>
      <w:pPr>
        <w:spacing w:after="0" w:line="191" w:lineRule="exact"/>
        <w:rPr>
          <w:rFonts w:ascii="Times New Roman" w:cs="Times New Roman" w:eastAsia="Times New Roman" w:hAnsi="Times New Roman"/>
          <w:sz w:val="18"/>
          <w:szCs w:val="18"/>
          <w:color w:val="auto"/>
        </w:rPr>
      </w:pPr>
    </w:p>
    <w:p>
      <w:pPr>
        <w:jc w:val="both"/>
        <w:ind w:left="-656" w:firstLine="1304"/>
        <w:spacing w:after="0" w:line="253" w:lineRule="auto"/>
        <w:tabs>
          <w:tab w:leader="none" w:pos="89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when it became or becomes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Agents in writing specifically for use in the preparation thereof, it being understood and agreed that the only such information furnished by the Agents to the Company consists of “Agents Information”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267970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9" w:name="page10"/>
    <w:bookmarkEnd w:id="9"/>
    <w:p>
      <w:pPr>
        <w:jc w:val="both"/>
        <w:ind w:left="-1120" w:firstLine="1304"/>
        <w:spacing w:after="0" w:line="261" w:lineRule="auto"/>
        <w:tabs>
          <w:tab w:leader="none" w:pos="4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Issuer Free Writing Prospectus or any amendment or supplement thereto, and the documents incorporated by reference in the Registration Statement, the Prospectus or any amendment or supplement thereto,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43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on Form F-6 (File No. 333-261223) covering the registration of the Placement ADSs has been filed with the Commission. Such registration statement in the form heretofore delivered to the Agents has been declared effective by the Commission in such form. No other document with respect to such registration statement has heretofore been filed with the Commission. No stop order suspending the effectiveness of such registration statement has been issued and, to the Company’s knowledge, no proceeding for that purpose has been initiated or threatened by the Commission (the various parts of such registration statement, including all exhibits thereto, each as amended at the time such part of the registration statement became effective, being hereinafter referred to as the “</w:t>
      </w:r>
      <w:r>
        <w:rPr>
          <w:rFonts w:ascii="Times New Roman" w:cs="Times New Roman" w:eastAsia="Times New Roman" w:hAnsi="Times New Roman"/>
          <w:sz w:val="18"/>
          <w:szCs w:val="18"/>
          <w:b w:val="1"/>
          <w:bCs w:val="1"/>
          <w:u w:val="single" w:color="auto"/>
          <w:color w:val="auto"/>
        </w:rPr>
        <w:t>ADS Registration Statement</w:t>
      </w:r>
      <w:r>
        <w:rPr>
          <w:rFonts w:ascii="Times New Roman" w:cs="Times New Roman" w:eastAsia="Times New Roman" w:hAnsi="Times New Roman"/>
          <w:sz w:val="18"/>
          <w:szCs w:val="18"/>
          <w:color w:val="auto"/>
        </w:rPr>
        <w:t>”). The ADS Registration Statement when it became effective conformed, and any further amendments thereto will conform, in all material respects to the requirements of the Securities Act and the rules and regulations of the Commission thereunder, and did not, as of the applicable effective date, contain an untrue statement of a material fact or omit to state a material fact required to be stated therein or necessary to make the statements therein not misleading.</w:t>
      </w:r>
    </w:p>
    <w:p>
      <w:pPr>
        <w:spacing w:after="0" w:line="186"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42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established and is validly existing as a joint stock company (</w:t>
      </w:r>
      <w:r>
        <w:rPr>
          <w:rFonts w:ascii="Times New Roman" w:cs="Times New Roman" w:eastAsia="Times New Roman" w:hAnsi="Times New Roman"/>
          <w:sz w:val="18"/>
          <w:szCs w:val="18"/>
          <w:i w:val="1"/>
          <w:iCs w:val="1"/>
          <w:color w:val="auto"/>
        </w:rPr>
        <w:t>società per azionì</w:t>
      </w:r>
      <w:r>
        <w:rPr>
          <w:rFonts w:ascii="Times New Roman" w:cs="Times New Roman" w:eastAsia="Times New Roman" w:hAnsi="Times New Roman"/>
          <w:sz w:val="18"/>
          <w:szCs w:val="18"/>
          <w:color w:val="auto"/>
        </w:rPr>
        <w:t>) in good standing under the laws of the Republic of Italy with a registered office at Via Olgettina No. 58, 20132 Milan, Italy, Fiscal Code and number of registration in the Companies Register of Milan No. 08738490963. The Company does not own an interest in any corporation, partnership, joint venture, limited liability company, trust or other business entity.</w:t>
      </w:r>
    </w:p>
    <w:p>
      <w:pPr>
        <w:spacing w:after="0" w:line="181"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43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issuance by the Depositary of Placement ADSs against deposit of the underlying Ordinary Shares in accordance with the provisions of the Deposit Agreement, such Placement ADSs will be duly and validly issued and persons in whose names the Placement ADSs are registered will be entitled to the rights specified in the Placement ADSs and in the Deposit Agreement; and upon the sale and delivery to the purchasers of the Placement ADSs, and payment therefor, pursuant to this Agreement, the purchasers will acquire good, marketable and valid title to such Placement ADSs, free and clear of all pledges, liens, security interests, charges, claims or encumbrances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265430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0" w:name="page11"/>
    <w:bookmarkEnd w:id="10"/>
    <w:p>
      <w:pPr>
        <w:jc w:val="both"/>
        <w:ind w:left="-1120" w:firstLine="1304"/>
        <w:spacing w:after="0" w:line="255" w:lineRule="auto"/>
        <w:tabs>
          <w:tab w:leader="none" w:pos="4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(i) the Agents are not resident in Italy for tax purposes and (ii) each Agent is a resident of a jurisdiction for the purposes of a double tax treaty between Italy and the jurisdiction, is entitled to the benefits of the treaty and does not, and is not deemed to, carry on business through a permanent establishment in Italy, no stamp, registration, issuance, transfer taxes or other similar taxes, duties, fees or charges (“</w:t>
      </w:r>
      <w:r>
        <w:rPr>
          <w:rFonts w:ascii="Times New Roman" w:cs="Times New Roman" w:eastAsia="Times New Roman" w:hAnsi="Times New Roman"/>
          <w:sz w:val="18"/>
          <w:szCs w:val="18"/>
          <w:b w:val="1"/>
          <w:bCs w:val="1"/>
          <w:u w:val="single" w:color="auto"/>
          <w:color w:val="auto"/>
        </w:rPr>
        <w:t>Transfer Taxes</w:t>
      </w:r>
      <w:r>
        <w:rPr>
          <w:rFonts w:ascii="Times New Roman" w:cs="Times New Roman" w:eastAsia="Times New Roman" w:hAnsi="Times New Roman"/>
          <w:sz w:val="18"/>
          <w:szCs w:val="18"/>
          <w:color w:val="auto"/>
        </w:rPr>
        <w:t>”) are payable by or on behalf of the Agents in connection with (A) the issuance of the Ordinary Shares underlying the Placement ADSs and the delivery of the Placement ADSs in the manner contemplated by this Agreement, (B) the deposit with the Depositary of the Ordinary Shares underlying the Placement ADSs against issuance of the Placement ADSs or (C) the sale and delivery by the Agents of the Placement ADSs as contemplated herein. For the avoidance of doubt, income taxes, withholding taxes, capital gains taxes and taxes on dividends shall not be considered “Transfer Taxes.”</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4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the Registration Statement was originally declared effective, and at the time the Company’s most recent Annual Report on Form 20-F was filed with the Commission, the Company met or will meet the then applicable requirements for the use of Form F-3 under the Securities Act, including, but not limited to, General Instruction I.B.5 of Form F-3, if applicable. The aggregate market value of the outstanding voting and non-voting common equity (as defined in Securities Act Rule 405) of the Company held by persons other than affiliates of the Company (pursuant to Securities Act Rule 144, those that directly, or indirectly through one or more intermediaries, control, or are controlled by, or are under common control with, the Company) (the “</w:t>
      </w:r>
      <w:r>
        <w:rPr>
          <w:rFonts w:ascii="Times New Roman" w:cs="Times New Roman" w:eastAsia="Times New Roman" w:hAnsi="Times New Roman"/>
          <w:sz w:val="18"/>
          <w:szCs w:val="18"/>
          <w:b w:val="1"/>
          <w:bCs w:val="1"/>
          <w:u w:val="single" w:color="auto"/>
          <w:color w:val="auto"/>
        </w:rPr>
        <w:t>Non-Affiliate Shares</w:t>
      </w:r>
      <w:r>
        <w:rPr>
          <w:rFonts w:ascii="Times New Roman" w:cs="Times New Roman" w:eastAsia="Times New Roman" w:hAnsi="Times New Roman"/>
          <w:sz w:val="18"/>
          <w:szCs w:val="18"/>
          <w:color w:val="auto"/>
        </w:rPr>
        <w:t>”), was equal to $49,088,450.40 (calculated by multiplying (x) the closing price of the ADSs of the Company within 60 days of the date of this Agreement times (y) the number of Non-Affiliate Shares).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I.B.5 of Form F-3) with the Commission at least 12 calendar months previously reflecting its status as an entity that is not a shell company.</w:t>
      </w:r>
    </w:p>
    <w:p>
      <w:pPr>
        <w:spacing w:after="0" w:line="194"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Prospectus, all dividends and other distributions declared and payable on the Ordinary Shares may under current Italian law and regulations be paid to the Depositary and to the holders of Ordinary Shares or ADSs, as the case may be, in Euros and may be converted into foreign currency that may be transferred out of Italy in accordance with the Deposit Agreement.</w:t>
      </w:r>
    </w:p>
    <w:p>
      <w:pPr>
        <w:spacing w:after="0" w:line="175" w:lineRule="exact"/>
        <w:rPr>
          <w:rFonts w:ascii="Times New Roman" w:cs="Times New Roman" w:eastAsia="Times New Roman" w:hAnsi="Times New Roman"/>
          <w:sz w:val="18"/>
          <w:szCs w:val="18"/>
          <w:color w:val="auto"/>
        </w:rPr>
      </w:pPr>
    </w:p>
    <w:p>
      <w:pPr>
        <w:ind w:left="-1120" w:right="20" w:firstLine="1304"/>
        <w:spacing w:after="0" w:line="282" w:lineRule="auto"/>
        <w:tabs>
          <w:tab w:leader="none" w:pos="40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SEC nor, to the Company’s knowledge, any state regulatory authority has issued any order preventing or suspending the use of the Prospectus or has instituted or, to the Company’s knowledge, threatened to institute, any proceedings with respect to such an order.</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At the time of filing of the Registration Statement and (ii) as of the Applicable Time (with such date being used as the determination date for purposes of this clause (ii)), the Company was not and is not an Ineligible Issuer (as defined in Rule 405), without taking account of any determination by the SEC pursuant to Rule 405 that it is not necessary that the Company be considered an Ineligible Issuer.</w:t>
      </w:r>
    </w:p>
    <w:p>
      <w:pPr>
        <w:spacing w:after="0" w:line="175" w:lineRule="exact"/>
        <w:rPr>
          <w:rFonts w:ascii="Times New Roman" w:cs="Times New Roman" w:eastAsia="Times New Roman" w:hAnsi="Times New Roman"/>
          <w:sz w:val="18"/>
          <w:szCs w:val="18"/>
          <w:color w:val="auto"/>
        </w:rPr>
      </w:pPr>
    </w:p>
    <w:p>
      <w:pPr>
        <w:ind w:left="-1120" w:firstLine="1304"/>
        <w:spacing w:after="0" w:line="282" w:lineRule="auto"/>
        <w:tabs>
          <w:tab w:leader="none" w:pos="4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filing of the Registration Statement with the SEC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u w:val="single" w:color="auto"/>
          <w:color w:val="auto"/>
        </w:rPr>
        <w:t>Emerging Growth Company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Issuer Free Writing Prospectus includes any information that conflicts with the information contained in the Registration Statement. The foregoing sentence does not apply to statements in or omissions from any Issuer Free Writing Prospectus based upon and in conformity with written information furnished to the Company by or on behalf of the Agents specifically for use therein, it being understood and agreed that the only such information furnished by or on behalf of the Agents consists of Agents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1" w:name="page12"/>
    <w:bookmarkEnd w:id="11"/>
    <w:p>
      <w:pPr>
        <w:jc w:val="both"/>
        <w:ind w:left="-1120" w:firstLine="1304"/>
        <w:spacing w:after="0" w:line="254" w:lineRule="auto"/>
        <w:tabs>
          <w:tab w:leader="none" w:pos="43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has been duly authorized, executed and delivered by the Company. The execution, delivery and performance by the Company of this Agreement does not violate its Articles of Association (i.e., </w:t>
      </w:r>
      <w:r>
        <w:rPr>
          <w:rFonts w:ascii="Times New Roman" w:cs="Times New Roman" w:eastAsia="Times New Roman" w:hAnsi="Times New Roman"/>
          <w:sz w:val="18"/>
          <w:szCs w:val="18"/>
          <w:i w:val="1"/>
          <w:iCs w:val="1"/>
          <w:color w:val="auto"/>
        </w:rPr>
        <w:t>atto costitutivo</w:t>
      </w:r>
      <w:r>
        <w:rPr>
          <w:rFonts w:ascii="Times New Roman" w:cs="Times New Roman" w:eastAsia="Times New Roman" w:hAnsi="Times New Roman"/>
          <w:sz w:val="18"/>
          <w:szCs w:val="18"/>
          <w:color w:val="auto"/>
        </w:rPr>
        <w:t xml:space="preserve">), its By-laws (i.e., </w:t>
      </w:r>
      <w:r>
        <w:rPr>
          <w:rFonts w:ascii="Times New Roman" w:cs="Times New Roman" w:eastAsia="Times New Roman" w:hAnsi="Times New Roman"/>
          <w:sz w:val="18"/>
          <w:szCs w:val="18"/>
          <w:i w:val="1"/>
          <w:iCs w:val="1"/>
          <w:color w:val="auto"/>
        </w:rPr>
        <w:t>statuto</w:t>
      </w:r>
      <w:r>
        <w:rPr>
          <w:rFonts w:ascii="Times New Roman" w:cs="Times New Roman" w:eastAsia="Times New Roman" w:hAnsi="Times New Roman"/>
          <w:sz w:val="18"/>
          <w:szCs w:val="18"/>
          <w:color w:val="auto"/>
        </w:rPr>
        <w:t>) or any law, rule, regulation, judgment, decree or order of any court applicable to it. No consents or approvals and no licenses or orders from, or any registration or filings with, any Republic of Italy court, government department or other regulatory body (with the exception of all filing requirements with the Companies Register of Como which, to our knowledge, have been fully complied with other than filings which are required to and will be made post-closing in connection with the transactions contemplated herein) are required for the due authorization, execution, delivery or performance by the Company of this Agreement or the consummation of the transactions contemplated by this Agreement, except such as have been obtained under the Securities Act and such as may be required by FINRA and under state securities, Blue Sky or foreign laws in connection with the placement and distribution of the Placement ADSs by the Agents.</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43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(as defined below) have been duly incorporated and are validly existing as a corporation in good standing under the laws of the jurisdiction in which it is incorporated with full corporate power and authority to own or lease, as the case may be, and to operate its properties and conduct its business as described in the Prospectus, and is duly qualified to do business as a foreign corporation and is in good standing under the laws of each jurisdiction which requires such qualification, except in each case where such failure would not reasonably be expected to have a Material Adverse Effect (as defined below).</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9" w:lineRule="auto"/>
        <w:tabs>
          <w:tab w:leader="none" w:pos="44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subsidiaries set forth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are the Company’s only significant subsidiaries (as such term is defined in Rule 1-02 of Regulation S-X promulgated by the Commission).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183" w:lineRule="exact"/>
        <w:rPr>
          <w:rFonts w:ascii="Times New Roman" w:cs="Times New Roman" w:eastAsia="Times New Roman" w:hAnsi="Times New Roman"/>
          <w:sz w:val="18"/>
          <w:szCs w:val="18"/>
          <w:color w:val="auto"/>
        </w:rPr>
      </w:pPr>
    </w:p>
    <w:p>
      <w:pPr>
        <w:ind w:left="-1120" w:firstLine="1304"/>
        <w:spacing w:after="0" w:line="282" w:lineRule="auto"/>
        <w:tabs>
          <w:tab w:leader="none" w:pos="4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franchise, contract or other document of a character required to be described in the Registration Statement or Prospectus, or to be filed as an exhibit thereto, which is not described or filed as required.</w:t>
      </w:r>
    </w:p>
    <w:p>
      <w:pPr>
        <w:spacing w:after="0" w:line="161" w:lineRule="exact"/>
        <w:rPr>
          <w:rFonts w:ascii="Times New Roman" w:cs="Times New Roman" w:eastAsia="Times New Roman" w:hAnsi="Times New Roman"/>
          <w:sz w:val="18"/>
          <w:szCs w:val="18"/>
          <w:color w:val="auto"/>
        </w:rPr>
      </w:pPr>
    </w:p>
    <w:p>
      <w:pPr>
        <w:ind w:left="-1120" w:right="20" w:firstLine="1304"/>
        <w:spacing w:after="0" w:line="282" w:lineRule="auto"/>
        <w:tabs>
          <w:tab w:leader="none" w:pos="40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full legal capacity and power to enter into this Agreement and the Deposit Agreement, and each of this Agreement and the Deposit Agreement has been duly authorized, executed and delivered by the Company.</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1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Placement ADSs and the application of the proceeds thereof as described in the Registration Statement and the Prospectus, will not be an “investment company” as defined in the Investment Company Act of 1940,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2" w:name="page13"/>
    <w:bookmarkEnd w:id="12"/>
    <w:p>
      <w:pPr>
        <w:jc w:val="both"/>
        <w:ind w:left="-1120" w:firstLine="1304"/>
        <w:spacing w:after="0" w:line="258" w:lineRule="auto"/>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filing with or order of any court or governmental agency or body is required in connection with the transactions contemplated herein or in the Deposit Agreement, except such as have been obtained under the Securities Act and such as may be required under the listing rules of the Exchange, applicable rules of the Financial Industry Regulatory Authority, Inc. and under the applicable state and foreign securities laws of any jurisdiction in connection with the placement and distribution of the Placement ADSs by the Agents in the manner contemplated herein and in the Prospectus.</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43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sale of the Placement ADSs nor the consummation of any other of the transactions herein contemplated nor the fulfillment of the terms hereof or of the Deposit Agreement will conflict with, result in a breach or violation of, or imposition of any lien, charge or encumbrance upon any property or assets of the Company pursuant to, (i) the constitution of the Company, (ii) the terms of any indenture, contract, lease, mortgage, deed of trust, note agreement, loan agreement or other agreement, obligation, condition, covenant or instrument to which the Company is a party or bound or to which its property is subject, or (iii) any statute, law, rule, regulation, judgment, order or decree applicable to the Company of any court, regulatory body, administrative agency, governmental body, arbitrator or other authority having jurisdiction over the Company or any of its properties, except in the case of clause (ii) and (iii) above, for any such conflict, breach, violation, default, lien, charge or encumbrance that would not, individually or in the aggregate, reasonably be expected to have a Material Adverse Effect (as defined below).</w:t>
      </w:r>
    </w:p>
    <w:p>
      <w:pPr>
        <w:spacing w:after="0" w:line="191" w:lineRule="exact"/>
        <w:rPr>
          <w:rFonts w:ascii="Times New Roman" w:cs="Times New Roman" w:eastAsia="Times New Roman" w:hAnsi="Times New Roman"/>
          <w:sz w:val="18"/>
          <w:szCs w:val="18"/>
          <w:color w:val="auto"/>
        </w:rPr>
      </w:pPr>
    </w:p>
    <w:p>
      <w:pPr>
        <w:ind w:left="-1120" w:firstLine="1304"/>
        <w:spacing w:after="0" w:line="282" w:lineRule="auto"/>
        <w:tabs>
          <w:tab w:leader="none" w:pos="4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holders of securities of the Company have rights to the registration of such securities under the Registration Statement or the issuance of the Placement ADSs.</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50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historical financial statements and schedules of the Company included in the Prospectus and the Registration Statement present fairly in all material respects the financial condition, results of operations and cash flows of the Company as of the dates and for the periods indicated, comply as to form in all material respects with the applicable accounting requirements of the Securities Act and have been prepared in accordance with accounting principles generally accepted in the United States (“</w:t>
      </w:r>
      <w:r>
        <w:rPr>
          <w:rFonts w:ascii="Times New Roman" w:cs="Times New Roman" w:eastAsia="Times New Roman" w:hAnsi="Times New Roman"/>
          <w:sz w:val="18"/>
          <w:szCs w:val="18"/>
          <w:b w:val="1"/>
          <w:bCs w:val="1"/>
          <w:u w:val="single" w:color="auto"/>
          <w:color w:val="auto"/>
        </w:rPr>
        <w:t>U.S. GAAP</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suit or proceeding by or before any court or governmental agency, authority or body or any arbitrator involving the Company, any Subsidiary or its property is pending or, to the knowledge of the Company, threatened that (i) would reasonably be expected to have a material adverse effect on the performance of this Agreement or the consummation of any of the transactions contemplated hereby or (ii) could reasonably be expected to have a material adverse effect on the condition (financial or otherwise), prospects, earnings, business or properties of the Company, whether or not arising from transactions in the ordinary course of business (a “</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 except as set forth in or contemplated in the Prospectus (exclusive of any amendment or supplement thereto).</w:t>
      </w:r>
    </w:p>
    <w:p>
      <w:pPr>
        <w:spacing w:after="0" w:line="187" w:lineRule="exact"/>
        <w:rPr>
          <w:rFonts w:ascii="Times New Roman" w:cs="Times New Roman" w:eastAsia="Times New Roman" w:hAnsi="Times New Roman"/>
          <w:sz w:val="18"/>
          <w:szCs w:val="18"/>
          <w:color w:val="auto"/>
        </w:rPr>
      </w:pPr>
    </w:p>
    <w:p>
      <w:pPr>
        <w:ind w:left="-1120" w:firstLine="1304"/>
        <w:spacing w:after="0" w:line="282" w:lineRule="auto"/>
        <w:tabs>
          <w:tab w:leader="none" w:pos="4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leases all such real properties as are reasonably necessary to the conduct of its operations as presently conducted. The Company does not own any real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251460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3" w:name="page14"/>
    <w:bookmarkEnd w:id="13"/>
    <w:p>
      <w:pPr>
        <w:jc w:val="both"/>
        <w:ind w:left="-1120" w:firstLine="1304"/>
        <w:spacing w:after="0" w:line="256" w:lineRule="auto"/>
        <w:tabs>
          <w:tab w:leader="none" w:pos="4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is in violation or default of (i) any provision of its constitution,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its Subsidiaries or any of its properties, as applicable, except in case of clauses (ii) and (iii), for any such violation or default as would not reasonably expected, individually or in the aggregate, to have a Material Adverse Effect.</w:t>
      </w:r>
    </w:p>
    <w:p>
      <w:pPr>
        <w:spacing w:after="0" w:line="187" w:lineRule="exact"/>
        <w:rPr>
          <w:sz w:val="20"/>
          <w:szCs w:val="20"/>
          <w:color w:val="auto"/>
        </w:rPr>
      </w:pPr>
    </w:p>
    <w:p>
      <w:pPr>
        <w:jc w:val="both"/>
        <w:ind w:left="-1120" w:firstLine="1304"/>
        <w:spacing w:after="0" w:line="266" w:lineRule="auto"/>
        <w:tabs>
          <w:tab w:leader="none" w:pos="5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Dannible &amp; McKee LLP, which has issued its audit report with respect to the consolidated financial statements of the Company and its affiliates included in the Prospectus, is, or was at the time of issuance of its audit report, an independent public accountant with respect to the Company and its affiliates within the meaning of the Securities Act and the applicable published rules and regulations thereunder.</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5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filed all tax returns that are required to be filed or has requested extensions thereof, except in any case in which the failure so to file would not have a Material Adverse Effect, except as set forth in or contemplated in the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that would not have a Material Adverse Effect, except as set forth in or contemplated in the Prospectus (exclusive of any amendment or supplement thereto).</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5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Company and its Subsidiaries, except as set forth in or contemplated in the Prospectus (exclusive of any amendment or supplement thereto): (i) no labor problem, dispute, slowdown, work stoppage or disturbance involving any employees of it exists or, to the Company’s knowledge is threatened or imminent, and it is not aware of any existing or imminent labor problem, dispute, slowdown, work stoppage or disturbance by the employees of any of its or its principal suppliers, contractors or customers, that could have a Material Adverse Effect; and (ii) compliance subsists for all its obligations under employment contracts, industrial agreements and awards and with all codes of conduct and practice relevant to conditions of service and to the relations between it and the employees employed by it, except as would not, individually or in the aggregate, reasonably be expected to have a Material Adverse Effect. The term “taxes” mean all net income, gross income, gross receipts, sales, use, ad valorem, transfer, franchise, profits, license, lease, withholding, payroll, employment, excise, severance, stamp, occupation, premium, property, windfall profits, customs, duties or other taxes, fees, assessments, or charges of any kind whatever imposed by the U.S., the European Union, Italy or any Italian subdivision or local authority, together with any interest and any penalties, additions to tax, or additional amounts with respect thereto.</w:t>
      </w:r>
    </w:p>
    <w:p>
      <w:pPr>
        <w:spacing w:after="0" w:line="194"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5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insured by insurers of recognized financial responsibility against such losses and risks and in such amounts as the Company and each of its Subsidiaries reasonably believes are prudent and customary in the business in which it is engaged; all policies of insurance insuring the Company, each Subsidiaries or its respective business, assets, employees, officers and directors are in full force and effect; each of the Company and its Subsidiaries is in compliance with the terms of such policies and instruments in all material respects; and there are no material claims by the Company or its Subsidiaries under any such policy or instrument as to which any insurance company is denying liability or defending under a reservation of rights clause; neither the Company nor any Subsidiary has been refused any insurance coverage sought or applied for; and neither the Company nor any Subsidiary has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except as set forth in or contemplated in the Prospectus (exclusive of any amendment or supplement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4" w:name="page15"/>
    <w:bookmarkEnd w:id="14"/>
    <w:p>
      <w:pPr>
        <w:jc w:val="both"/>
        <w:ind w:left="-1120" w:firstLine="1304"/>
        <w:spacing w:after="0" w:line="254" w:lineRule="auto"/>
        <w:tabs>
          <w:tab w:leader="none" w:pos="50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possess all licenses, sub-licenses, certificates, permits and other authorizations issued by, and have made all declarations and filings with, all applicable federal, state, local or foreign governmental or other authorities that are necessary to conduct its businesses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except where the failure to possess such Permit would not, individually or in the aggregate, reasonably be expected to have a Material Adverse Effect. Neither the Company or any Subsidiary is in violation of, or in default under, any of the Permits nor has received any revocation, suspension or modification of any such Permit which, singly or in the aggregate, if the subject of an unfavorable decision, ruling or finding, would reasonably be expected to have a Material Adverse Effect, except as set forth in or contemplated in the Prospectus (exclusive of any amendment or supplement thereto). Neither the Company nor any Subsidiary has received any notice that any such Permit will not be renewed in the ordinary course, and, except as would not, individually or in the aggregate, reasonably be expected to have a Material Adverse Effect, all Permits are valid and in full force.</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4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Prospectus, the Company’s internal controls over financial reporting are effective and the Company is not aware of any material weakness in its internal controls over financial reporting.</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5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(as such term is defined in Rule 13a-15(e) under the Exchange Act and the rules and regulations promulgated thereunder); such disclosure controls and procedures have been designed to ensure that information required to be disclosed by the Company in reports that it files or submits under the Exchange Act is recorded, processed, summarized and reported within the time periods specified in the Commission’s rules and forms.</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5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is (i) in compliance with any and all applicable foreign, federal, state and local laws and regulations relating to the protection of human health and safety, the environment or hazardous or toxic substances or wastes, pollutants or contaminants (collectively, “</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color w:val="auto"/>
        </w:rPr>
        <w:t>”), (ii) has received and is in compliance with all permits, licenses or other approvals required of them under applicable Environmental Laws to conduct its business and (iii) has not received notice of any actual or potential liability under any environmental law, except in each case where such non-compliance with Environmental Laws, failure to receive required permits, licenses or other approvals, or liability would not, individually or in the aggregate, have a Material Adverse Effect, except as set forth in or contemplated in the Prospectus (exclusive of any amendment or supplement thereto). Except as set forth in the Prospectus, neither the Company not any Subsidiary has been named as a “potentially responsible party” under the Comprehensive Environmental Response, Compensation, and Liability Act of 1980,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270510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5" w:name="page16"/>
    <w:bookmarkEnd w:id="15"/>
    <w:p>
      <w:pPr>
        <w:jc w:val="both"/>
        <w:ind w:left="-1120" w:firstLine="1304"/>
        <w:spacing w:after="0" w:line="266" w:lineRule="auto"/>
        <w:tabs>
          <w:tab w:leader="none" w:pos="4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Company and any of the Company’s directors or officers, in their capacities as such, to comply with any provision of the Sarbanes-Oxley Act of 2002, as amended, and the rules and regulations promulgated in connection thereunder, that are then in effect and with which the Company is required to comply as of the effectiveness of the Registration Statement.</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4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nor, to the knowledge of the Company, any director, officer, agent, employee, affiliate or other person acting on behalf of the Company or any Subsidiary (i) has used any corporate funds for any unlawful contribution, gift, entertainment or other unlawful expense relating to political activity; (ii) has made any direct or indirect unlawful payment to any foreign or domestic government official or employee (including of any government owned or controlled entity, or any person acting in an official capacity for or on behalf of any of the foregoing) from corporate funds; or (iii) has made any bribe, rebate, payoff, influence payment, kickback or other unlawful payment, or (iv) is aware of or has taken any action, directly or indirectly, that could result in a violation or a sanction for violation by such persons of the U.S. Foreign Corrupt Practices Act of 1977, the U.K. Bribery Act 2010, OECD Convention on Combating Bribery of Foreign Public Officials in International Business Transactions, or any other applicable anti-bribery or anti-corruption law, each as may be amended, or the rules or regulations thereunder (collectively, the “</w:t>
      </w:r>
      <w:r>
        <w:rPr>
          <w:rFonts w:ascii="Times New Roman" w:cs="Times New Roman" w:eastAsia="Times New Roman" w:hAnsi="Times New Roman"/>
          <w:sz w:val="18"/>
          <w:szCs w:val="18"/>
          <w:b w:val="1"/>
          <w:bCs w:val="1"/>
          <w:u w:val="single" w:color="auto"/>
          <w:color w:val="auto"/>
        </w:rPr>
        <w:t>Anti-Corruption Laws</w:t>
      </w:r>
      <w:r>
        <w:rPr>
          <w:rFonts w:ascii="Times New Roman" w:cs="Times New Roman" w:eastAsia="Times New Roman" w:hAnsi="Times New Roman"/>
          <w:sz w:val="18"/>
          <w:szCs w:val="18"/>
          <w:color w:val="auto"/>
        </w:rPr>
        <w:t>”); and each of the Company and its Subsidiaries has instituted and maintains policies and procedures to ensure compliance with the Anti-Corruption Laws. No part of the proceeds of the offering will be used, directly or indirectly, in violation of the Anti-Corruption Laws.</w:t>
      </w:r>
    </w:p>
    <w:p>
      <w:pPr>
        <w:spacing w:after="0" w:line="194"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52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applicable financial recordkeeping and reporting requirements and the money laundering statutes of all jurisdictions where the Company or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Subsidiary with respect to the Money Laundering Laws is pending or, to the knowledge of the Company, threatened.</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4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(collectively, the “</w:t>
      </w:r>
      <w:r>
        <w:rPr>
          <w:rFonts w:ascii="Times New Roman" w:cs="Times New Roman" w:eastAsia="Times New Roman" w:hAnsi="Times New Roman"/>
          <w:sz w:val="18"/>
          <w:szCs w:val="18"/>
          <w:b w:val="1"/>
          <w:bCs w:val="1"/>
          <w:u w:val="single" w:color="auto"/>
          <w:color w:val="auto"/>
        </w:rPr>
        <w:t>Entity</w:t>
      </w:r>
      <w:r>
        <w:rPr>
          <w:rFonts w:ascii="Times New Roman" w:cs="Times New Roman" w:eastAsia="Times New Roman" w:hAnsi="Times New Roman"/>
          <w:sz w:val="18"/>
          <w:szCs w:val="18"/>
          <w:color w:val="auto"/>
        </w:rPr>
        <w:t>”) nor, to the knowledge of the Company, any director, officer, agent, employee or affiliate of the Entity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His Majesty’s Treasury of the United Kingdom and the Italian Department of the Treasury) or other relevant sanctions authority (collectively,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and such persons, “</w:t>
      </w:r>
      <w:r>
        <w:rPr>
          <w:rFonts w:ascii="Times New Roman" w:cs="Times New Roman" w:eastAsia="Times New Roman" w:hAnsi="Times New Roman"/>
          <w:sz w:val="18"/>
          <w:szCs w:val="18"/>
          <w:b w:val="1"/>
          <w:bCs w:val="1"/>
          <w:u w:val="single" w:color="auto"/>
          <w:color w:val="auto"/>
        </w:rPr>
        <w:t>Sanctioned Persons</w:t>
      </w:r>
      <w:r>
        <w:rPr>
          <w:rFonts w:ascii="Times New Roman" w:cs="Times New Roman" w:eastAsia="Times New Roman" w:hAnsi="Times New Roman"/>
          <w:sz w:val="18"/>
          <w:szCs w:val="18"/>
          <w:color w:val="auto"/>
        </w:rPr>
        <w:t>” and each such person, a “</w:t>
      </w:r>
      <w:r>
        <w:rPr>
          <w:rFonts w:ascii="Times New Roman" w:cs="Times New Roman" w:eastAsia="Times New Roman" w:hAnsi="Times New Roman"/>
          <w:sz w:val="18"/>
          <w:szCs w:val="18"/>
          <w:b w:val="1"/>
          <w:bCs w:val="1"/>
          <w:u w:val="single" w:color="auto"/>
          <w:color w:val="auto"/>
        </w:rPr>
        <w:t>Sanctioned Person</w:t>
      </w:r>
      <w:r>
        <w:rPr>
          <w:rFonts w:ascii="Times New Roman" w:cs="Times New Roman" w:eastAsia="Times New Roman" w:hAnsi="Times New Roman"/>
          <w:sz w:val="18"/>
          <w:szCs w:val="18"/>
          <w:color w:val="auto"/>
        </w:rPr>
        <w:t>”), (ii) is located, organized or resident in a country or territory that is, or whose government is, the subject of Sanctions that broadly prohibit dealings with that country or territory (including, without limitation, Cuba, Iran, North Korea, Sudan, Syria, the so-called Donetsk People’s Republic, the so-called Luhansk People’s Republic and the Crimea Region of the Ukraine) (collectively, “</w:t>
      </w:r>
      <w:r>
        <w:rPr>
          <w:rFonts w:ascii="Times New Roman" w:cs="Times New Roman" w:eastAsia="Times New Roman" w:hAnsi="Times New Roman"/>
          <w:sz w:val="18"/>
          <w:szCs w:val="18"/>
          <w:b w:val="1"/>
          <w:bCs w:val="1"/>
          <w:u w:val="single" w:color="auto"/>
          <w:color w:val="auto"/>
        </w:rPr>
        <w:t>Sanctioned Countries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u w:val="single" w:color="auto"/>
          <w:color w:val="auto"/>
        </w:rPr>
        <w:t>Sanctioned Country</w:t>
      </w:r>
      <w:r>
        <w:rPr>
          <w:rFonts w:ascii="Times New Roman" w:cs="Times New Roman" w:eastAsia="Times New Roman" w:hAnsi="Times New Roman"/>
          <w:sz w:val="18"/>
          <w:szCs w:val="18"/>
          <w:color w:val="auto"/>
        </w:rPr>
        <w:t>”) or (iii) 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270510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6" w:name="page17"/>
    <w:bookmarkEnd w:id="16"/>
    <w:p>
      <w:pPr>
        <w:jc w:val="both"/>
        <w:ind w:left="-1120" w:right="20" w:firstLine="1304"/>
        <w:spacing w:after="0" w:line="266" w:lineRule="auto"/>
        <w:tabs>
          <w:tab w:leader="none" w:pos="62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has not engaged in any dealings or transactions with or for the benefit of a Sanctioned Person, or with or in a Sanctioned Country, in the preceding three years, nor does the Entity have any plans to engage in dealings or transactions with or for the benefit of a Sanctioned Person, or with or in a Sanctioned Country.</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5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result in a Material Adverse Effect, the Company and its Subsidiaries own, possess, license or has other rights to use, on reasonable terms, all patents, patent applications, trade and service marks, trade and service mark registrations, trade names, copyrights, licenses, inventions, trade secrets, technology, know-how and other intellectual property (collectively, the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 necessary for the conduct of their respective businesses as now conducted or as proposed in Prospectus to be conducted. Except as set forth in the Prospectus or as would not reasonably be expected to result in a Material Adverse Effect, (a) there are no rights of third parties to any such Intellectual Property; (b) to the Company’s knowledge, there is no material infringement by third parties of any such Intellectual Property; (c) there is no pending or, to the knowledge of the Company, threatened action, suit, proceeding or claim by others challenging rights of the Company and its Subsidiaries in or to any such Intellectual Property, and the Company is unaware of any facts which would form a reasonable basis for any such claim; (d) there is no pending or, to the knowledge of the Company, threatened action, suit, proceeding or claim by others challenging the validity or scope of any such Intellectual Property, and the Company is unaware of any facts which would form a reasonable basis for any such claim; (e) there is no pending or, to the knowledge of the Company, threatened action, suit, proceeding or claim by others that the Company or any Subsidiary infringes or otherwise violates any patent, trademark, copyright, trade secret or other proprietary rights of others, and the Company is unaware of any other fact which would form a reasonable basis for any such claim; (f) to the Company’s knowledge, there is no prior art of which the Company or any Subsidiary is aware that may render any U.S. patent held by the Company or any Subsidiary invalid or any U.S. patent application held by the Company or any Subsidiary un-patentable which has not been disclosed to the U.S. Patent and Trademark Office.</w:t>
      </w:r>
    </w:p>
    <w:p>
      <w:pPr>
        <w:spacing w:after="0" w:line="19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5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and the Prospectus, the Company (i) does not have any material lending or other relationship with any bank or lending affiliate of the Agents and (ii) does not intend to use any of the proceeds from the sale of the Placement ADSs hereunder to repay any outstanding debt owed to any affiliate of the Agents.</w:t>
      </w:r>
    </w:p>
    <w:p>
      <w:pPr>
        <w:spacing w:after="0" w:line="175" w:lineRule="exact"/>
        <w:rPr>
          <w:rFonts w:ascii="Times New Roman" w:cs="Times New Roman" w:eastAsia="Times New Roman" w:hAnsi="Times New Roman"/>
          <w:sz w:val="18"/>
          <w:szCs w:val="18"/>
          <w:color w:val="auto"/>
        </w:rPr>
      </w:pPr>
    </w:p>
    <w:p>
      <w:pPr>
        <w:ind w:left="-1120" w:firstLine="1304"/>
        <w:spacing w:after="0" w:line="282" w:lineRule="auto"/>
        <w:tabs>
          <w:tab w:leader="none" w:pos="5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its Subsidiaries nor any of its properties or assets has any immunity from the jurisdiction of any court or from any legal process (whether through service or notice, attachment prior to judgment, attachment in aid of execution or otherwise) under the laws of Italy.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251460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7" w:name="page18"/>
    <w:bookmarkEnd w:id="17"/>
    <w:p>
      <w:pPr>
        <w:jc w:val="both"/>
        <w:ind w:left="-1120" w:firstLine="1304"/>
        <w:spacing w:after="0" w:line="251" w:lineRule="auto"/>
        <w:tabs>
          <w:tab w:leader="none" w:pos="5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are, and at all times have been, in material compliance with all applicable Health Care Laws. For purposes of this Agreement, “</w:t>
      </w:r>
      <w:r>
        <w:rPr>
          <w:rFonts w:ascii="Times New Roman" w:cs="Times New Roman" w:eastAsia="Times New Roman" w:hAnsi="Times New Roman"/>
          <w:sz w:val="18"/>
          <w:szCs w:val="18"/>
          <w:b w:val="1"/>
          <w:bCs w:val="1"/>
          <w:u w:val="single" w:color="auto"/>
          <w:color w:val="auto"/>
        </w:rPr>
        <w:t>Health Care Laws</w:t>
      </w:r>
      <w:r>
        <w:rPr>
          <w:rFonts w:ascii="Times New Roman" w:cs="Times New Roman" w:eastAsia="Times New Roman" w:hAnsi="Times New Roman"/>
          <w:sz w:val="18"/>
          <w:szCs w:val="18"/>
          <w:color w:val="auto"/>
        </w:rPr>
        <w:t>” means: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(42 U.S.C. Section 1320d et seq.), the Stark Law (42 U.S.C. Section 1395nn),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 (vi) all other local, state, federal, national, supranational and foreign laws, relating to the clinical drug development activities conducted by the Company and its Subsidiaries, and (vii) the directives and regulations promulgated pursuant to such statutes and any state or non-U.S. counterpart thereof. Neither the Company nor any Subsidiary has received any United States Food and Drug Administration (the “</w:t>
      </w:r>
      <w:r>
        <w:rPr>
          <w:rFonts w:ascii="Times New Roman" w:cs="Times New Roman" w:eastAsia="Times New Roman" w:hAnsi="Times New Roman"/>
          <w:sz w:val="18"/>
          <w:szCs w:val="18"/>
          <w:b w:val="1"/>
          <w:bCs w:val="1"/>
          <w:u w:val="single" w:color="auto"/>
          <w:color w:val="auto"/>
        </w:rPr>
        <w:t>FDA</w:t>
      </w:r>
      <w:r>
        <w:rPr>
          <w:rFonts w:ascii="Times New Roman" w:cs="Times New Roman" w:eastAsia="Times New Roman" w:hAnsi="Times New Roman"/>
          <w:sz w:val="18"/>
          <w:szCs w:val="18"/>
          <w:color w:val="auto"/>
        </w:rPr>
        <w:t>”) Form 483, notice of adverse finding, warning letter, untitled letter or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or were corrected or supplemented by a subsequent submission, except as would not cause a Material Adverse Effect. Neither the Company nor its Subsidiaries are a party to any corporate integrity agreement, monitoring agreement, consent decree, settlement order, or similar agreement with or imposed by any governmental or regulatory authority. Additionally, neither the Company, its Subsidiaries nor any of its employees, officers, directors or, to the Company’s knowledge, agents, has been excluded, suspended or debarred from participation in any U.S. federal health care program or human clinical research or, to Company’s knowledge, is subject to a governmental inquiry, investigation, proceeding, or other similar action that could reasonably be expected to result in debarment, suspension, or exclusion.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278765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8" w:name="page19"/>
    <w:bookmarkEnd w:id="18"/>
    <w:p>
      <w:pPr>
        <w:jc w:val="both"/>
        <w:ind w:left="-1120" w:firstLine="1304"/>
        <w:spacing w:after="0" w:line="251" w:lineRule="auto"/>
        <w:tabs>
          <w:tab w:leader="none" w:pos="50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u w:val="single" w:color="auto"/>
          <w:color w:val="auto"/>
        </w:rPr>
        <w:t>IT Systems and Data</w:t>
      </w:r>
      <w:r>
        <w:rPr>
          <w:rFonts w:ascii="Times New Roman" w:cs="Times New Roman" w:eastAsia="Times New Roman" w:hAnsi="Times New Roman"/>
          <w:sz w:val="18"/>
          <w:szCs w:val="18"/>
          <w:color w:val="auto"/>
        </w:rPr>
        <w:t>”) are adequate for, and operate and perform as required in connection with the operation of the business of the Company and its Subsidiaries as currently conducted, free and clear of all bugs, errors, defects, Trojan horses, time bombs, malware and other corruptants, except as would not reasonably be expected to result in a Material Adverse Effect. The Company and its Subsidiaries have implemented and maintain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its business.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(EU 2016/679); (iv) any information which would qualify as “protected health information” under HIPAA;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Personal Data, except for those that have been remedied without material cost or liability or the duty to notify any other person, nor any incidents under internal review or investigations relating to the same. The Company and its Subsidiaries have been and are presently in material compliance with all applicable laws, directives, or statutes and all judgments, orders, rules and regulations of any court or arbitrator or governmental or regulatory authority, internal policies and contractual obligations relating to the privacy and security of IT Systems and Data, including Personal Data and to the protection of such IT Systems and Data and Personal Data from unauthorized use, access, misappropriation or modification, except as would not reasonably be expected to result in a Material Adverse Effect. There has been no security breach or other material compromise of or relating to any of the Company’s or its Subsidiaries’ IT Systems and Data, and neither the Company nor its Subsidiaries have been notified of, or have any knowledge of, any event or condition that would reasonably be expected to result in, any security breach or other material compromise to their respective IT Systems and Data, except for any breaches or compromises that would not, individually or in the aggregate, reasonably be expected to result in a Material Adverse Effect.</w:t>
      </w:r>
    </w:p>
    <w:p>
      <w:pPr>
        <w:spacing w:after="0" w:line="205"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5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have at all times been, in material compliance with all applicable data privacy and security laws and regulations of any court or arbitrator or governmental or regulatory authority, internal policies and contractual obligations regarding the privacy and security of IT Systems and Data and Personal Data (collectively, the “</w:t>
      </w:r>
      <w:r>
        <w:rPr>
          <w:rFonts w:ascii="Times New Roman" w:cs="Times New Roman" w:eastAsia="Times New Roman" w:hAnsi="Times New Roman"/>
          <w:sz w:val="18"/>
          <w:szCs w:val="18"/>
          <w:b w:val="1"/>
          <w:bCs w:val="1"/>
          <w:u w:val="single" w:color="auto"/>
          <w:color w:val="auto"/>
        </w:rPr>
        <w:t>Privacy Laws</w:t>
      </w:r>
      <w:r>
        <w:rPr>
          <w:rFonts w:ascii="Times New Roman" w:cs="Times New Roman" w:eastAsia="Times New Roman" w:hAnsi="Times New Roman"/>
          <w:sz w:val="18"/>
          <w:szCs w:val="18"/>
          <w:color w:val="auto"/>
        </w:rPr>
        <w:t>”), except as would not, individually or in the aggregate, result in a Material Adverse Effect. To ensure compliance with the Privacy Laws, the Company and its Subsidiaries have in place, comply with, and take appropriate steps reasonably designed to ensure compliance in all material respects with its policies and contractual obligations governing the collection, storage, use, disclosure, handling and analysis of Personal Data. The Company and its Subsidiaries have at all times made all material disclosures to users or customers required by the Privacy Laws, except as would not, individually or in the aggregate, result in a Material Adverse Effect. The Company further certifies that neither the Company nor any Subsidiary: (i) has received notice of, any actual or potential liability under or relating to, or actual or potential violation of, any of the Privacy Laws, and has knowledge of any event or condition that would reasonably be expected to result in, any such notice; (ii) is currently conducting or paying for, in whole or in part, any investigation, remediation, or other corrective action pursuant to any Privacy Laws; or (iii) is a party to any order, decree, or agreement that imposes any obligation or liability under any Privacy Law, except with respect to subsection (i), (ii) and (iii) as would not, individually or in the aggregate,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269240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9" w:name="page20"/>
    <w:bookmarkEnd w:id="19"/>
    <w:p>
      <w:pPr>
        <w:jc w:val="both"/>
        <w:ind w:left="-1120" w:firstLine="1304"/>
        <w:spacing w:after="0" w:line="253" w:lineRule="auto"/>
        <w:tabs>
          <w:tab w:leader="none" w:pos="45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studies and clinical trials that are described in the Registration Statement or the Prospectus (collectively, “</w:t>
      </w:r>
      <w:r>
        <w:rPr>
          <w:rFonts w:ascii="Times New Roman" w:cs="Times New Roman" w:eastAsia="Times New Roman" w:hAnsi="Times New Roman"/>
          <w:sz w:val="18"/>
          <w:szCs w:val="18"/>
          <w:b w:val="1"/>
          <w:bCs w:val="1"/>
          <w:u w:val="single" w:color="auto"/>
          <w:color w:val="auto"/>
        </w:rPr>
        <w:t>Studies</w:t>
      </w:r>
      <w:r>
        <w:rPr>
          <w:rFonts w:ascii="Times New Roman" w:cs="Times New Roman" w:eastAsia="Times New Roman" w:hAnsi="Times New Roman"/>
          <w:sz w:val="18"/>
          <w:szCs w:val="18"/>
          <w:color w:val="auto"/>
        </w:rPr>
        <w:t>”) were conducted by or, to the knowledge of the Company, on behalf of the Company and its Subsidiaries were and, if still ongoing, are being conducted in all material respects in accordance with the protocols, procedures and controls designed for such Studies and pursuant to, where applicable, accepted professional scientific standards; the descriptions of the results of such studies contained in the Registration Statement or the Prospectus are accurate and complete and fairly present the data derived from such Studies, in each case in all material respects, and the Company has no knowledge of any other Studies the results of which are materially inconsistent with, or otherwise call into question, the results described or referred to in the Registration Statement or the Prospectus; the Company and its Subsidiaries have made all such filings and obtained all such approvals as may be required by the FDA or any committee thereof, the European Medicines Agency (“</w:t>
      </w:r>
      <w:r>
        <w:rPr>
          <w:rFonts w:ascii="Times New Roman" w:cs="Times New Roman" w:eastAsia="Times New Roman" w:hAnsi="Times New Roman"/>
          <w:sz w:val="18"/>
          <w:szCs w:val="18"/>
          <w:b w:val="1"/>
          <w:bCs w:val="1"/>
          <w:u w:val="single" w:color="auto"/>
          <w:color w:val="auto"/>
        </w:rPr>
        <w:t>EMA</w:t>
      </w:r>
      <w:r>
        <w:rPr>
          <w:rFonts w:ascii="Times New Roman" w:cs="Times New Roman" w:eastAsia="Times New Roman" w:hAnsi="Times New Roman"/>
          <w:sz w:val="18"/>
          <w:szCs w:val="18"/>
          <w:color w:val="auto"/>
        </w:rPr>
        <w:t>”) or any committee thereof, or from any other U.S. or foreign government or drug or medical device regulatory agency, or health care facility Institutional Review Board (collectively, the “</w:t>
      </w:r>
      <w:r>
        <w:rPr>
          <w:rFonts w:ascii="Times New Roman" w:cs="Times New Roman" w:eastAsia="Times New Roman" w:hAnsi="Times New Roman"/>
          <w:sz w:val="18"/>
          <w:szCs w:val="18"/>
          <w:b w:val="1"/>
          <w:bCs w:val="1"/>
          <w:u w:val="single" w:color="auto"/>
          <w:color w:val="auto"/>
        </w:rPr>
        <w:t>Regulatory Agencies</w:t>
      </w:r>
      <w:r>
        <w:rPr>
          <w:rFonts w:ascii="Times New Roman" w:cs="Times New Roman" w:eastAsia="Times New Roman" w:hAnsi="Times New Roman"/>
          <w:sz w:val="18"/>
          <w:szCs w:val="18"/>
          <w:color w:val="auto"/>
        </w:rPr>
        <w:t>”), except as would not, individually or in the aggregate, reasonably be expected to result in a Material Adverse Effect; neither the Company nor its Subsidiaries have received any notice from, or correspondence from, any Regulatory Agency requiring the termination, suspension or material modification of any Studies conducted by or on behalf of the Company or its Subsidiaries; and the Company and its Subsidiaries are in compliance in all material respects with all applicable rules, regulations and policies of the Regulatory Agencies.</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5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generally enjoyed a satisfactory employer-employee relationship with their respective employees and are in compliance in all material respects with all collective and individual contracts with or involving their respective employees and with all European Union laws applicable to Italian companies and Italian national, and local laws and regulations respecting the employment of their respective employees and employment practices, terms and conditions of employment and wages and hours relating thereto and, to the knowledge of the Company, there is no dispute with any employee existing or threatened, which dispute would have a Material Adverse Effect. There are no pending investigations involving the Company, its Subsidiaries, their respective employees or any collective bargaining organization by any other governmental agency responsible for the enforcement of European Union, Italian national, and local laws and regulations or collective bargaining agreements. There is no unfair labor practice charge or complaint against the Company, any Subsidiary or any officer of the Company or any Subsidiary, pending before any regulatory authority, or any strike, picketing, boycott, dispute, slowdown or stoppage pending or threatened against or involving the Company, any Subsidiary or any officer of the Company or any Subsidiary, or any predecessor entity, and none has ever occurred. No question concerning representation exists respecting the employees of the Company or any Subsidiary and no collective bargaining agreement or modification thereof is currently being negotiated by the Company or any Subsidiary. No grievance or arbitration proceeding is pending under any expired or existing collective bargaining agreements of the Company or any Subsidiary,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267970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20" w:name="page21"/>
    <w:bookmarkEnd w:id="20"/>
    <w:p>
      <w:pPr>
        <w:jc w:val="both"/>
        <w:ind w:firstLine="1304"/>
        <w:spacing w:after="0" w:line="258" w:lineRule="auto"/>
        <w:tabs>
          <w:tab w:leader="none" w:pos="1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translations of each agreement, document or other writing provided by the Company for use by the Representatives or for use as exhibits to the Registration Statement which the Company reasonably believes (i) have been provided by parties whom the Company believes are reliable in their capacity to fairly and accurately translate such documents, and (ii) fairly and accurately represent the provisions of the original versions of the documents which they represent. To the extent such translations were provided by others, nothing has come to attention of officers of the Company familiar with such documents that causes them to believe the translations provided are inaccurate in any material respect.</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of laws of the State of New York as the governing law of this Agreement is a valid choice of law under the laws of Italy and will be honored by the courts of Italy, subject to the restrictions described under the caption “Enforcement of Civil Liabilities” in the Registration Statement and the Prospectus. Any final judgment for a fixed or determined sum of money rendered by any U.S. federal or New York state court located in the State of New York having jurisdiction under its own laws in respect of any suit, action or proceeding against the Company based upon this Agreement would be recognized by the courts of Italy, without reconsideration or reexamination of the merits, subject to the restrictions described under the caption “Enforcement of Civil Liabilities” in the Registration Statement and the Prospectus, and the applicable bankruptcy, insolvency, reorganization or similar laws affecting the rights of creditors and secured parties in general.</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by laws or statutes generally applicable to transactions of the type described in this Agreement, neither the Company, its Subsidiaries nor any of their respective properties, assets or revenues has any right of immunity under Italian, New York or United States law, from any legal action, suit or proceeding, from the giving of any relief in any such legal action, suit or proceeding, from set-off or counterclaim, from the jurisdiction of any Italian, New York or United States 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To the extent that the Company, its Subsidiaries or any of their respective properties, assets or revenues may have or may hereafter become entitled to any such right of immunity in any such court in which proceedings may at any time be commenced, the Company and its Subsidiaries waive or will waive such right to the extent permitted by law.</w:t>
      </w:r>
    </w:p>
    <w:p>
      <w:pPr>
        <w:spacing w:after="0" w:line="188"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“foreign private issuer” as defined in Rule 405 of the Securities Act.</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agreement with an agent or underwriter for any other “at the market” or continuous equity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w:t>
      </w:r>
    </w:p>
    <w:p>
      <w:pPr>
        <w:spacing w:after="0" w:line="207" w:lineRule="exact"/>
        <w:rPr>
          <w:sz w:val="20"/>
          <w:szCs w:val="20"/>
          <w:color w:val="auto"/>
        </w:rPr>
      </w:pPr>
    </w:p>
    <w:p>
      <w:pPr>
        <w:jc w:val="both"/>
        <w:ind w:firstLine="1304"/>
        <w:spacing w:after="0" w:line="258" w:lineRule="auto"/>
        <w:tabs>
          <w:tab w:leader="none" w:pos="17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the Agents have informed the Company that the Agents may, to the extent permitted under the Securities Act and the Exchange Act, purchase and sell Ordinary Shares or ADSs for their own account while this Agreement is in effect, provided, that (i) no such purchase or sales shall take place while a Placement Notice is in effect (except to the extent the Agents may engage in sales of Placement ADSs purchased or deemed purchased from the Company as a “riskless principal” or in a similar capacity) and (ii) the Company shall not be deemed to have authorized or consented to any such purchases or sales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Any certificate signed by an officer of the Company and delivered to the Agents or to counsel for the Agents pursuant to or in connection with this Agreement shall be deemed to be a representation and warranty by the Company, as applicable, to the Agents as to the matters set forth therein.</w:t>
      </w:r>
    </w:p>
    <w:p>
      <w:pPr>
        <w:spacing w:after="0" w:line="162" w:lineRule="exact"/>
        <w:rPr>
          <w:sz w:val="20"/>
          <w:szCs w:val="20"/>
          <w:color w:val="auto"/>
        </w:rPr>
      </w:pPr>
    </w:p>
    <w:p>
      <w:pPr>
        <w:ind w:left="840" w:hanging="184"/>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each Agent that:</w:t>
      </w:r>
    </w:p>
    <w:p>
      <w:pPr>
        <w:spacing w:after="0" w:line="225"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5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a Prospectus relating to any Placement ADSs is required to be delivered by the Agents under the Securities Act (including in circumstances where such requirement may be satisfied pursuant to Rule 172 under the Securities Act or similar rule), (i) the Company will notify the Agents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ADSs by the Agents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of the Agents to make such request shall not relieve the Company of any obligation or liability hereunder, or affect the Agents’ right to rely on the representations and warranties made by the Company in this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only remedy the Agents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ADSs unless a copy thereof has been submitted to Agents within a reasonable period of time before the filing and the Agents have not objected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of the Agents to make such objection shall not relieve the Company of any obligation or liability hereunder, or affect the Agents’ right to rely on the representations and warranties made by the Company in this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only remedy the Agents shall have with respect to the failure by the Company to obtain such consent shall be to cease making sales under this Agreement) and the Company will furnish to the Agents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relating to the Placement ADSs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based on the Company’s reasonable opinion or reasonable objections, shall be made exclusively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ind w:left="-1120" w:firstLine="1304"/>
        <w:spacing w:after="0" w:line="254" w:lineRule="auto"/>
        <w:tabs>
          <w:tab w:leader="none" w:pos="4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the Agents, promptly after it receives notice or obtains knowledge thereof, of the issuance or threatened issuance by the Commission of any stop order suspending the effectiveness of the Registration Statement, of the suspension of the qualification of the Placement ADSs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Agents promptly after it receives any request by the Commission for any amendments to the Registration Statement or any amendment or supplements to the Prospectus or any Issuer Free Writing Prospectus or for additional information related to the offering of the Placement ADSs or for additional information related to the Registration Statement, the Prospectus or any Issuer Free Writing Prospectus.</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Prospectus; Subsequent Changes</w:t>
      </w:r>
      <w:r>
        <w:rPr>
          <w:rFonts w:ascii="Times New Roman" w:cs="Times New Roman" w:eastAsia="Times New Roman" w:hAnsi="Times New Roman"/>
          <w:sz w:val="18"/>
          <w:szCs w:val="18"/>
          <w:color w:val="auto"/>
        </w:rPr>
        <w:t xml:space="preserve">. During any period in which a Prospectus relating to the Placement ADSs is required to be delivered by the Agents under the Securities Act with respect to the offer and sale of the Placement ADSs, (including in circumstances where such requirement may be satisfied pursuant to Rule 172 under the Securities Act or similar rule), the Company will comply in all material respects with all requirements imposed upon it by the Securities Act, as from time to time in force, and to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best efforts to comply with the provisions of and make all requisite filings with the Commission pursuant to said Rule 430B and to notify the Agents promptly of all such filings relating to the Placement ADSs if not available on EDGAR.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Agents to suspend the offering of Placement ADSs during such period and the Company will promptly amend or supplement the Registration Statement or Prospectus (at the expense of the Company) so as to correct such statement or omission or effect such compliance;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may delay such amendment or supplement if, in the reasonable judgment of the Company, it is in the best interest of the Company to do so.</w:t>
      </w:r>
    </w:p>
    <w:p>
      <w:pPr>
        <w:spacing w:after="0" w:line="19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Placement ADSs</w:t>
      </w:r>
      <w:r>
        <w:rPr>
          <w:rFonts w:ascii="Times New Roman" w:cs="Times New Roman" w:eastAsia="Times New Roman" w:hAnsi="Times New Roman"/>
          <w:sz w:val="18"/>
          <w:szCs w:val="18"/>
          <w:color w:val="auto"/>
        </w:rPr>
        <w:t>. The Company will use its reasonable best efforts to maintain the listing of its ADSs on the Exchange.</w:t>
      </w:r>
    </w:p>
    <w:p>
      <w:pPr>
        <w:spacing w:after="0" w:line="225"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xml:space="preserve">. The Company will furnish to the Agents and their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ADSs is required to be delivered under the Securities Act (including all documents filed with the Commission during such period that are deemed to be incorporated by reference therein), in each case as soon as reasonably practicable and in such quantities as the Agents may from time to time reasonably request and, at the Agents’ request, will also furnish copies of the Prospectus to each exchange or market on which sales of the Placement ADSs may be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furnish any document (other than the Prospectus) to the Agents to the extent such document is available on 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270510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3" w:name="page24"/>
    <w:bookmarkEnd w:id="23"/>
    <w:p>
      <w:pPr>
        <w:jc w:val="both"/>
        <w:ind w:firstLine="1304"/>
        <w:spacing w:after="0" w:line="261" w:lineRule="auto"/>
        <w:tabs>
          <w:tab w:leader="none" w:pos="152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Statement</w:t>
      </w:r>
      <w:r>
        <w:rPr>
          <w:rFonts w:ascii="Times New Roman" w:cs="Times New Roman" w:eastAsia="Times New Roman" w:hAnsi="Times New Roman"/>
          <w:sz w:val="18"/>
          <w:szCs w:val="18"/>
          <w:color w:val="auto"/>
        </w:rPr>
        <w:t>. The Company will make generally available to its security holders as soon as practicable, but in any event not later than 15 months after the end of the Company’s current fiscal quarter, an earning statement covering a 12-month period that satisfies the provisions of Section 11(a) and Rule 158 of the Securities Act</w:t>
      </w:r>
      <w:r>
        <w:rPr>
          <w:rFonts w:ascii="Times New Roman" w:cs="Times New Roman" w:eastAsia="Times New Roman" w:hAnsi="Times New Roman"/>
          <w:sz w:val="18"/>
          <w:szCs w:val="18"/>
          <w:i w:val="1"/>
          <w:iCs w:val="1"/>
          <w:color w:val="auto"/>
        </w:rPr>
        <w:t>; provided</w:t>
      </w:r>
      <w:r>
        <w:rPr>
          <w:rFonts w:ascii="Times New Roman" w:cs="Times New Roman" w:eastAsia="Times New Roman" w:hAnsi="Times New Roman"/>
          <w:sz w:val="18"/>
          <w:szCs w:val="18"/>
          <w:color w:val="auto"/>
        </w:rPr>
        <w:t xml:space="preserve"> that the Company will be deemed to have furnished such statement to its security holders to the extent it is available on EDGAR.</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as described in the Prospectus in the section entitled “Use of Proceeds.”</w:t>
      </w:r>
    </w:p>
    <w:p>
      <w:pPr>
        <w:spacing w:after="0" w:line="225" w:lineRule="exact"/>
        <w:rPr>
          <w:rFonts w:ascii="Times New Roman" w:cs="Times New Roman" w:eastAsia="Times New Roman" w:hAnsi="Times New Roman"/>
          <w:sz w:val="18"/>
          <w:szCs w:val="18"/>
          <w:color w:val="auto"/>
        </w:rPr>
      </w:pPr>
    </w:p>
    <w:p>
      <w:pPr>
        <w:jc w:val="both"/>
        <w:ind w:firstLine="1304"/>
        <w:spacing w:after="0" w:line="232" w:lineRule="auto"/>
        <w:tabs>
          <w:tab w:leader="none" w:pos="155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Without the prior written consent of the Agents, the Company will not, directly or indirectly, offer to sell, sell, contract to sell, grant any option to sell or otherwise dispose of any Ordinary Shares or ADSs (other than the Placement ADSs offered pursuant to this Agreement) or securities convertible into or exchangeable for Ordinary Shares or ADSs, warrants or any rights to purchase or acquire, Ordinary Shares or ADSs during the period beginning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immediately prior to the date on which any Placement Notice is delivered to the Agents</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hereunder and ending on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Trading Day immediately following the final Settlement Date with respect to Placement ADSs sold pursuant to such Placement Notice (or, if the Placement Notice has been terminated or suspended prior to the sale of all Placement ADSs covered by a Placement Notice, the date of such suspension or termination); and will not directly or indirectly in any other “at the market” or continuous equity transaction offer to sell, sell, contract to sell, grant any option to sell or otherwise dispose of any Ordinary Shares or ADSs (other than the Placement ADSs offered pursuant to this Agreement) or securities convertible into or exchangeable for Ordinary Shares or ADSs, warrants or any rights to purchase or acquire, Ordinary Shares or</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ADSs prior to the sixtieth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immediately following the termination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restrictions will not be required in connection with the Company’s issuance or sale of (i) Ordinary Shares or ADSs, warrants or options to purchase Ordinary Shares or ADSs or Ordinary Shares or ADSs issuable upon the exercise of options or warrants, pursuant to any employee or director stock option or benefits plan, stock ownership plan or dividend reinvestment plan (but not Ordinary Shares or ADSs subject to a waiver to exceed plan limits in its dividend reinvestment plan) of the Company whether now in effect or hereafter implemented or pursuant to any inducement award in accordance with Exchange rules, (ii) Ordinary Shares or ADSs issuable upon conversion or redemption of securities or the exercise or redemption of warrants, options or other rights in effect or outstanding, and disclosed in filings by the Company available on EDGAR or otherwise in writing to the Agents, (iii) Ordinary Shares or ADSs or securities convertible into or exchangeable or redeemable for shares of Ordinary Shares or ADSs as consideration for mergers, acquisitions, other business combinations, joint ventures, collaborations, licensing arrangements or strategic alliances occurring after the date of this Agreement which are not issued for capital raising purposes, and (iv) for the avoidance of doubt, non-public discussions or negotiations with respect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ind w:left="-656" w:firstLine="1304"/>
        <w:spacing w:after="0" w:line="266" w:lineRule="auto"/>
        <w:tabs>
          <w:tab w:leader="none" w:pos="86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the pendency of a Placement Notice, advise the Agents promptly after it shall have received notice or obtained knowledge thereof, of any information or fact that would alter or affect in any material respect any opinion, certificate, letter or other document required to be provided to the Agents pursuant to this Agreement.</w:t>
      </w:r>
    </w:p>
    <w:p>
      <w:pPr>
        <w:spacing w:after="0" w:line="175"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85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The Company will cooperate with any reasonable due diligence review conducted by the Agents or their representatives in connection with the transactions contemplated hereby, including, without limitation, providing information and making available documents and senior corporate officers, during regular business hours and at the Company’s principal offices, as the Agents may reasonably request.</w:t>
      </w:r>
    </w:p>
    <w:p>
      <w:pPr>
        <w:spacing w:after="0" w:line="175"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90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 Relating to Placement of Placement ADSs</w:t>
      </w:r>
      <w:r>
        <w:rPr>
          <w:rFonts w:ascii="Times New Roman" w:cs="Times New Roman" w:eastAsia="Times New Roman" w:hAnsi="Times New Roman"/>
          <w:sz w:val="18"/>
          <w:szCs w:val="18"/>
          <w:color w:val="auto"/>
        </w:rPr>
        <w:t>. The Company shall disclose, in its reports on Form 6-K reporting its interim results for the first six months of its financial year and in its annual report on Form 20-F to be filed by the Company with the Commission from time to time, the number of the Placement ADSs sold through the Agents under this Agreement, and the net proceeds to the Company from the sale of the Placement ADSs pursuant to this Agreement during the relevant six-month period or fiscal year, as applicable.</w:t>
      </w:r>
    </w:p>
    <w:p>
      <w:pPr>
        <w:spacing w:after="0" w:line="179" w:lineRule="exact"/>
        <w:rPr>
          <w:rFonts w:ascii="Times New Roman" w:cs="Times New Roman" w:eastAsia="Times New Roman" w:hAnsi="Times New Roman"/>
          <w:sz w:val="18"/>
          <w:szCs w:val="18"/>
          <w:color w:val="auto"/>
        </w:rPr>
      </w:pPr>
    </w:p>
    <w:p>
      <w:pPr>
        <w:ind w:left="864" w:hanging="216"/>
        <w:spacing w:after="0"/>
        <w:tabs>
          <w:tab w:leader="none" w:pos="8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Dates; Certificate</w:t>
      </w:r>
      <w:r>
        <w:rPr>
          <w:rFonts w:ascii="Times New Roman" w:cs="Times New Roman" w:eastAsia="Times New Roman" w:hAnsi="Times New Roman"/>
          <w:sz w:val="18"/>
          <w:szCs w:val="18"/>
          <w:color w:val="auto"/>
        </w:rPr>
        <w:t>. (1) On or prior to the date of the first Placement Notice and (2) each time the Company:</w:t>
      </w:r>
    </w:p>
    <w:p>
      <w:pPr>
        <w:spacing w:after="0" w:line="225"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2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the Prospectus relating to the Placement ADSs or amends or supplements (other than a prospectus supplement relating solely to an offering of securities other than the Placement ADSs) the Registration Statement or the Prospectus relating to the Placement ADSs by means of a post-effective amendment, sticker, or supplement but not by means of incorporation of documents by reference into the Registration Statement or the Prospectus relating to the Placement ADSs;</w:t>
      </w:r>
    </w:p>
    <w:p>
      <w:pPr>
        <w:spacing w:after="0" w:line="179" w:lineRule="exact"/>
        <w:rPr>
          <w:rFonts w:ascii="Times New Roman" w:cs="Times New Roman" w:eastAsia="Times New Roman" w:hAnsi="Times New Roman"/>
          <w:sz w:val="18"/>
          <w:szCs w:val="18"/>
          <w:color w:val="auto"/>
        </w:rPr>
      </w:pPr>
    </w:p>
    <w:p>
      <w:pPr>
        <w:ind w:left="4" w:hanging="4"/>
        <w:spacing w:after="0" w:line="282" w:lineRule="auto"/>
        <w:tabs>
          <w:tab w:leader="none" w:pos="2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20-F under the Exchange Act (including any Form 20-F/A containing amended financial information or a material amendment to the previously filed Form 20-F);</w:t>
      </w:r>
    </w:p>
    <w:p>
      <w:pPr>
        <w:spacing w:after="0" w:line="161" w:lineRule="exact"/>
        <w:rPr>
          <w:rFonts w:ascii="Times New Roman" w:cs="Times New Roman" w:eastAsia="Times New Roman" w:hAnsi="Times New Roman"/>
          <w:sz w:val="18"/>
          <w:szCs w:val="18"/>
          <w:color w:val="auto"/>
        </w:rPr>
      </w:pPr>
    </w:p>
    <w:p>
      <w:pPr>
        <w:ind w:left="4" w:right="20" w:hanging="4"/>
        <w:spacing w:after="0" w:line="282" w:lineRule="auto"/>
        <w:tabs>
          <w:tab w:leader="none" w:pos="3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furnishes a report on Form 6-K under the Exchange Act containing its unaudited interim financial statements for the first six months of its financial year, which report shall indicate that it is incorporated by reference into the Registration Statement and Prospectus; or</w:t>
      </w:r>
    </w:p>
    <w:p>
      <w:pPr>
        <w:spacing w:after="0" w:line="161" w:lineRule="exact"/>
        <w:rPr>
          <w:rFonts w:ascii="Times New Roman" w:cs="Times New Roman" w:eastAsia="Times New Roman" w:hAnsi="Times New Roman"/>
          <w:sz w:val="18"/>
          <w:szCs w:val="18"/>
          <w:color w:val="auto"/>
        </w:rPr>
      </w:pPr>
    </w:p>
    <w:p>
      <w:pPr>
        <w:jc w:val="both"/>
        <w:ind w:left="4" w:hanging="4"/>
        <w:spacing w:after="0" w:line="257" w:lineRule="auto"/>
        <w:tabs>
          <w:tab w:leader="none" w:pos="31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furnishes a report on Form 6-K under the Exchange Act containing amended financial information under the Exchange Act that is material to the offering of securities of the Company in the reasonable discretion of the Agents, in which case such report shall indicate that it is incorporated by reference into the Registration Statement and Prospectus (each date of filing of one or more of the documents referred to in clauses (i) through</w:t>
      </w:r>
    </w:p>
    <w:p>
      <w:pPr>
        <w:spacing w:after="0" w:line="1"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a “</w:t>
      </w:r>
      <w:r>
        <w:rPr>
          <w:rFonts w:ascii="Times New Roman" w:cs="Times New Roman" w:eastAsia="Times New Roman" w:hAnsi="Times New Roman"/>
          <w:sz w:val="18"/>
          <w:szCs w:val="18"/>
          <w:b w:val="1"/>
          <w:bCs w:val="1"/>
          <w:u w:val="single" w:color="auto"/>
          <w:color w:val="auto"/>
        </w:rPr>
        <w:t>Representation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280035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5" w:name="page26"/>
    <w:bookmarkEnd w:id="25"/>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the Company shall furnish the Agents (but in the case of clause (iv) above only if the Agents reasonably determines that the information contained in such Form 6-K is material) with a certificate dated the Representation Date, in the form and substance satisfactory to the Agents and its counsel, substantially similar to the form previously provided to the Agents and their counsel, modified, as necessary, to relate to the Registration Statement and the Prospectus as amended or supplemented. The requirement to provide a certificate under this </w:t>
      </w:r>
      <w:r>
        <w:rPr>
          <w:rFonts w:ascii="Times New Roman" w:cs="Times New Roman" w:eastAsia="Times New Roman" w:hAnsi="Times New Roman"/>
          <w:sz w:val="17"/>
          <w:szCs w:val="17"/>
          <w:u w:val="single" w:color="auto"/>
          <w:color w:val="auto"/>
        </w:rPr>
        <w:t>Section 7(l)</w:t>
      </w:r>
      <w:r>
        <w:rPr>
          <w:rFonts w:ascii="Times New Roman" w:cs="Times New Roman" w:eastAsia="Times New Roman" w:hAnsi="Times New Roman"/>
          <w:sz w:val="17"/>
          <w:szCs w:val="17"/>
          <w:color w:val="auto"/>
        </w:rPr>
        <w:t xml:space="preserve"> shall be waived for any Representation Date occurring at a time a Suspension is in effect or there is no Placement Notice in effect, which waiver shall continue until the earlier to occur of the date the Company delivers instructions for the sale of Placement ADSs hereunder (which for such calendar quarter shall be considered a Representation Date) and the next occurring Representation Date. Notwithstanding the foregoing, if the Company subsequently decides to sell Placement ADSs following a Representation Date when a Suspension was in effect or there was no Placement Notice in effect and did not provide the Agents with a certificate under this </w:t>
      </w:r>
      <w:r>
        <w:rPr>
          <w:rFonts w:ascii="Times New Roman" w:cs="Times New Roman" w:eastAsia="Times New Roman" w:hAnsi="Times New Roman"/>
          <w:sz w:val="17"/>
          <w:szCs w:val="17"/>
          <w:u w:val="single" w:color="auto"/>
          <w:color w:val="auto"/>
        </w:rPr>
        <w:t>Section 7(l)</w:t>
      </w:r>
      <w:r>
        <w:rPr>
          <w:rFonts w:ascii="Times New Roman" w:cs="Times New Roman" w:eastAsia="Times New Roman" w:hAnsi="Times New Roman"/>
          <w:sz w:val="17"/>
          <w:szCs w:val="17"/>
          <w:color w:val="auto"/>
        </w:rPr>
        <w:t xml:space="preserve">, then before the Company delivers the instructions for the sale of Placement ADSs or the Agents sell any Placement ADSs pursuant to such instructions, the Company shall provide the Agents with a certificate in conformity with this </w:t>
      </w:r>
      <w:r>
        <w:rPr>
          <w:rFonts w:ascii="Times New Roman" w:cs="Times New Roman" w:eastAsia="Times New Roman" w:hAnsi="Times New Roman"/>
          <w:sz w:val="17"/>
          <w:szCs w:val="17"/>
          <w:u w:val="single" w:color="auto"/>
          <w:color w:val="auto"/>
        </w:rPr>
        <w:t>Section 7(l)</w:t>
      </w:r>
      <w:r>
        <w:rPr>
          <w:rFonts w:ascii="Times New Roman" w:cs="Times New Roman" w:eastAsia="Times New Roman" w:hAnsi="Times New Roman"/>
          <w:sz w:val="17"/>
          <w:szCs w:val="17"/>
          <w:color w:val="auto"/>
        </w:rPr>
        <w:t xml:space="preserve"> dated as of the date that the instructions for the sale of Placement ADSs are issued.</w:t>
      </w:r>
    </w:p>
    <w:p>
      <w:pPr>
        <w:spacing w:after="0" w:line="177" w:lineRule="exact"/>
        <w:rPr>
          <w:sz w:val="20"/>
          <w:szCs w:val="20"/>
          <w:color w:val="auto"/>
        </w:rPr>
      </w:pPr>
    </w:p>
    <w:p>
      <w:pPr>
        <w:jc w:val="both"/>
        <w:ind w:firstLine="1304"/>
        <w:spacing w:after="0" w:line="253" w:lineRule="auto"/>
        <w:tabs>
          <w:tab w:leader="none" w:pos="16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xml:space="preserve">. (1) Prior to the date of the first Placement Notice and (2) on or prior to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the Company shall cause to be furnished to the Agents (i) a written opinion and negative assurance letter of Fenwick &amp; West LLP (“</w:t>
      </w:r>
      <w:r>
        <w:rPr>
          <w:rFonts w:ascii="Times New Roman" w:cs="Times New Roman" w:eastAsia="Times New Roman" w:hAnsi="Times New Roman"/>
          <w:sz w:val="18"/>
          <w:szCs w:val="18"/>
          <w:b w:val="1"/>
          <w:bCs w:val="1"/>
          <w:u w:val="single" w:color="auto"/>
          <w:color w:val="auto"/>
        </w:rPr>
        <w:t>Company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Counsel</w:t>
      </w:r>
      <w:r>
        <w:rPr>
          <w:rFonts w:ascii="Times New Roman" w:cs="Times New Roman" w:eastAsia="Times New Roman" w:hAnsi="Times New Roman"/>
          <w:sz w:val="18"/>
          <w:szCs w:val="18"/>
          <w:color w:val="auto"/>
        </w:rPr>
        <w:t>”), (ii) a written opinion of Giovannelli e Associati Studio Legale (“</w:t>
      </w:r>
      <w:r>
        <w:rPr>
          <w:rFonts w:ascii="Times New Roman" w:cs="Times New Roman" w:eastAsia="Times New Roman" w:hAnsi="Times New Roman"/>
          <w:sz w:val="18"/>
          <w:szCs w:val="18"/>
          <w:b w:val="1"/>
          <w:bCs w:val="1"/>
          <w:u w:val="single" w:color="auto"/>
          <w:color w:val="auto"/>
        </w:rPr>
        <w:t>Company Italian Counsel</w:t>
      </w:r>
      <w:r>
        <w:rPr>
          <w:rFonts w:ascii="Times New Roman" w:cs="Times New Roman" w:eastAsia="Times New Roman" w:hAnsi="Times New Roman"/>
          <w:sz w:val="18"/>
          <w:szCs w:val="18"/>
          <w:color w:val="auto"/>
        </w:rPr>
        <w:t>” and together with Company U.S.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Counsel</w:t>
      </w:r>
      <w:r>
        <w:rPr>
          <w:rFonts w:ascii="Times New Roman" w:cs="Times New Roman" w:eastAsia="Times New Roman" w:hAnsi="Times New Roman"/>
          <w:sz w:val="18"/>
          <w:szCs w:val="18"/>
          <w:color w:val="auto"/>
        </w:rPr>
        <w:t xml:space="preserve">”), or other counsel reasonably satisfactory to the Agents, in each case in form and substance satisfactory to the Agents and their counsel, substantially similar to the form previously provided to the Agents and their counsel,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lieu of such opinions and negative assurance letters for subsequent periodic filings under the Exchange Act, counsel may furnish the Agents with a letter (a “</w:t>
      </w:r>
      <w:r>
        <w:rPr>
          <w:rFonts w:ascii="Times New Roman" w:cs="Times New Roman" w:eastAsia="Times New Roman" w:hAnsi="Times New Roman"/>
          <w:sz w:val="18"/>
          <w:szCs w:val="18"/>
          <w:b w:val="1"/>
          <w:bCs w:val="1"/>
          <w:u w:val="single" w:color="auto"/>
          <w:color w:val="auto"/>
        </w:rPr>
        <w:t>Reliance Letter</w:t>
      </w:r>
      <w:r>
        <w:rPr>
          <w:rFonts w:ascii="Times New Roman" w:cs="Times New Roman" w:eastAsia="Times New Roman" w:hAnsi="Times New Roman"/>
          <w:sz w:val="18"/>
          <w:szCs w:val="18"/>
          <w:color w:val="auto"/>
        </w:rPr>
        <w:t xml:space="preserve">”) to the effect that the Agents may rely on a prior opinion or negative assurance letter delivered under this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to the same extent as if it were dated the date of such letter (except that statements in such prior opinion or negative assurance letter shall be deemed to relate to the Registration Statement and the Prospectus as amended or supplemented as of the date of the Reliance Letter).</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(1) Prior to the date of the first Placement Notice and (2) on or prior to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the Company shall cause its independent registered public accounting firm to furnish the Agents letters (the “</w:t>
      </w:r>
      <w:r>
        <w:rPr>
          <w:rFonts w:ascii="Times New Roman" w:cs="Times New Roman" w:eastAsia="Times New Roman" w:hAnsi="Times New Roman"/>
          <w:sz w:val="18"/>
          <w:szCs w:val="18"/>
          <w:b w:val="1"/>
          <w:bCs w:val="1"/>
          <w:u w:val="single" w:color="auto"/>
          <w:color w:val="auto"/>
        </w:rPr>
        <w:t>Comfort Letters</w:t>
      </w:r>
      <w:r>
        <w:rPr>
          <w:rFonts w:ascii="Times New Roman" w:cs="Times New Roman" w:eastAsia="Times New Roman" w:hAnsi="Times New Roman"/>
          <w:sz w:val="18"/>
          <w:szCs w:val="18"/>
          <w:color w:val="auto"/>
        </w:rPr>
        <w:t xml:space="preserve">”), dated the date the Comfort Letter is delivered, which shall meet the requirements set forth in this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reasonably requested by the Agents, the Company shall cause a Comfort Letter to be furnished to the Agents within ten (10) Trading Days of the date of occurrence of any material transaction or event requiring the filing of a report on Form 6-K containing financial information (including the restatement of the Company’s financial statements). The Comfort Letter from the Company’s independent registered public accounting firm shall be in a form and substance satisfactory to the Agents, (i) confirming that they are an independent registered public accounting firm within the meaning of the Securities Act and the Public Company Accounting Oversight Board (“</w:t>
      </w:r>
      <w:r>
        <w:rPr>
          <w:rFonts w:ascii="Times New Roman" w:cs="Times New Roman" w:eastAsia="Times New Roman" w:hAnsi="Times New Roman"/>
          <w:sz w:val="18"/>
          <w:szCs w:val="18"/>
          <w:b w:val="1"/>
          <w:bCs w:val="1"/>
          <w:u w:val="single" w:color="auto"/>
          <w:color w:val="auto"/>
        </w:rPr>
        <w:t>PCAOB</w:t>
      </w:r>
      <w:r>
        <w:rPr>
          <w:rFonts w:ascii="Times New Roman" w:cs="Times New Roman" w:eastAsia="Times New Roman" w:hAnsi="Times New Roman"/>
          <w:sz w:val="18"/>
          <w:szCs w:val="18"/>
          <w:color w:val="auto"/>
        </w:rPr>
        <w:t>”),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b w:val="1"/>
          <w:bCs w:val="1"/>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Comfort Letter</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on such date and modified as necessary to relate to the Registration Statement and the Prospectus, as amended and supplemented to the date of such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ind w:left="-1120" w:firstLine="1304"/>
        <w:spacing w:after="0" w:line="261" w:lineRule="auto"/>
        <w:tabs>
          <w:tab w:leader="none" w:pos="43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Depositary Opinion</w:t>
      </w:r>
      <w:r>
        <w:rPr>
          <w:rFonts w:ascii="Times New Roman" w:cs="Times New Roman" w:eastAsia="Times New Roman" w:hAnsi="Times New Roman"/>
          <w:sz w:val="18"/>
          <w:szCs w:val="18"/>
          <w:color w:val="auto"/>
        </w:rPr>
        <w:t>. Prior to the date of the first Placement Notice, the Depositary shall have requested and caused Emmet Marvin &amp; Martin, LLC, counsel for the Depositary, to have furnished to the Agents their opinion dated as of the Closing Date and addressed to the Representatives, in form and substance reasonably satisfactory to the Agents and their counsel, substantially similar to the form previously provided to the Agents and their counsel, modified, as necessary, to relate to the Registration Statement and the Prospectus as then amended or supplemented.</w:t>
      </w:r>
    </w:p>
    <w:p>
      <w:pPr>
        <w:spacing w:after="0" w:line="179" w:lineRule="exact"/>
        <w:rPr>
          <w:rFonts w:ascii="Times New Roman" w:cs="Times New Roman" w:eastAsia="Times New Roman" w:hAnsi="Times New Roman"/>
          <w:sz w:val="18"/>
          <w:szCs w:val="18"/>
          <w:color w:val="auto"/>
        </w:rPr>
      </w:pPr>
    </w:p>
    <w:p>
      <w:pPr>
        <w:jc w:val="both"/>
        <w:ind w:left="-1120" w:right="20" w:firstLine="1304"/>
        <w:spacing w:after="0" w:line="261" w:lineRule="auto"/>
        <w:tabs>
          <w:tab w:leader="none" w:pos="43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 Compliance with Regulation M</w:t>
      </w:r>
      <w:r>
        <w:rPr>
          <w:rFonts w:ascii="Times New Roman" w:cs="Times New Roman" w:eastAsia="Times New Roman" w:hAnsi="Times New Roman"/>
          <w:sz w:val="18"/>
          <w:szCs w:val="18"/>
          <w:color w:val="auto"/>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Placement ADSs or (ii) sell, bid for, or purchase Ordinary Shares or ADSs in violation of Regulation M, or pay anyone any compensation for soliciting purchases of the Placement ADSs other than the Agents.</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3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any of its Subsidiaries will be or become, at any time prior to the termination of this Agreement, required to register as an “investment company,” as such term is defined in the Investment Company Act.</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40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an Issuer Free Writing Prospectus approved in advance by the Company and the Agents in their capacity as agents hereunder, neither the Agents nor the Company (including its agents and representatives, other than the Agents in their capacity as such) will make, use, prepare, authorize, approve or refer to any written communication (as defined in Rule 405 under the Securities Act), required to be filed with the Commission, that constitutes an offer to sell or solicitation of an offer to buy Placement ADSs hereunder.</w:t>
      </w:r>
    </w:p>
    <w:p>
      <w:pPr>
        <w:spacing w:after="0" w:line="177"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and Other Qualifications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use its commercially reasonable efforts, in cooperation with the Agents, to qualify the Placement ADSs for offering and sale, or to obtain an exemption for the Placement ADSs to be offered and sold, under the applicable securities laws of such states and other jurisdictions (domestic or foreign) as the Agents may designate and to maintain such qualifications and exemptions in effect for so long as required for the distribution of the Placement ADSs (but in no event for less than one year from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in any jurisdiction in which it is not so qualified or to subject itself to taxation in respect of doing business in any jurisdiction in which it is not otherwise so subject. In each jurisdiction in which the Placement ADSs have been so qualified or exempt, the Company will file such statements and reports as may be required by the laws of such jurisdiction to continue such qualification or exemption, as the case may be, in effect for so long as required for the distribution of the Placement ADSs (but in no event for less than one year from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269875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7" w:name="page28"/>
    <w:bookmarkEnd w:id="27"/>
    <w:p>
      <w:pPr>
        <w:jc w:val="both"/>
        <w:ind w:left="-1120" w:firstLine="1304"/>
        <w:spacing w:after="0" w:line="252" w:lineRule="auto"/>
        <w:tabs>
          <w:tab w:leader="none" w:pos="39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194"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43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 Further Documentation</w:t>
      </w:r>
      <w:r>
        <w:rPr>
          <w:rFonts w:ascii="Times New Roman" w:cs="Times New Roman" w:eastAsia="Times New Roman" w:hAnsi="Times New Roman"/>
          <w:sz w:val="18"/>
          <w:szCs w:val="18"/>
          <w:color w:val="auto"/>
        </w:rPr>
        <w:t>. On or prior to the date of the first Placement Notice, the Company shall deliver to the Agents a certificate of the Secretary of the Company and attested to by an executive officer of the Company, dated as of such date, certifying as to (i) the Articles of Association of the Company, (ii) the By-laws of the Company, (iii) the resolutions of the Board of Directors of the Company authorizing the execution, delivery and performance of this Agreement and the issuance of the Placement ADSs and (iv) the incumbency of the officers duly authorized to execute this Agreement and the other documents contemplated by this Agreement. Within five (5) Trading Days of each Representation Date with respect to which the Company is obligated to deliver a certificate pursuant to Section 7(l) hereof, the Company shall have furnished to the Agents such further information, certificates and documents as the Agents may reasonably request.</w:t>
      </w:r>
    </w:p>
    <w:p>
      <w:pPr>
        <w:spacing w:after="0" w:line="188" w:lineRule="exact"/>
        <w:rPr>
          <w:rFonts w:ascii="Times New Roman" w:cs="Times New Roman" w:eastAsia="Times New Roman" w:hAnsi="Times New Roman"/>
          <w:sz w:val="18"/>
          <w:szCs w:val="18"/>
          <w:color w:val="auto"/>
        </w:rPr>
      </w:pPr>
    </w:p>
    <w:p>
      <w:pPr>
        <w:ind w:left="-1120" w:firstLine="1304"/>
        <w:spacing w:after="0" w:line="282" w:lineRule="auto"/>
        <w:tabs>
          <w:tab w:leader="none" w:pos="43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Emerging Growth Company Status</w:t>
      </w:r>
      <w:r>
        <w:rPr>
          <w:rFonts w:ascii="Times New Roman" w:cs="Times New Roman" w:eastAsia="Times New Roman" w:hAnsi="Times New Roman"/>
          <w:sz w:val="18"/>
          <w:szCs w:val="18"/>
          <w:color w:val="auto"/>
        </w:rPr>
        <w:t>. The Company will promptly notify the Agents if the Company ceases to be an Emerging Growth Company at any time during the term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251460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8" w:name="page29"/>
    <w:bookmarkEnd w:id="28"/>
    <w:p>
      <w:pPr>
        <w:jc w:val="both"/>
        <w:ind w:left="-656" w:firstLine="656"/>
        <w:spacing w:after="0" w:line="251" w:lineRule="auto"/>
        <w:tabs>
          <w:tab w:leader="none" w:pos="19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xml:space="preserve">. The Company will pay or cause to be paid all expenses incident to the performance of its obligations under this Agreement, including (i) the preparation and filing of the Registration Statement, including any fees required by the Commission, and the printing or electronic delivery of the Prospectus as originally filed and of each amendment and supplement thereto relating to the Placement ADSs, in such number as the Agents shall reasonably deem necessary, (ii) the printing and delivery to the Agents of this Agreement and such other documents as may be required in connection with the offering, purchase, sale, issuance or delivery of the Placement ADSs, (iii) the preparation, issuance and delivery of the certificates, if any, for the Placement ADSs to the Agents, including any stock or other transfer taxes and any capital duties, stamp duties or other duties or taxes payable upon the sale, issuance or delivery of the Placement ADSs to the Agents, (iv) the fees and disbursements of the counsel, accountants and other advisors to the Company, (v) the fees and expenses of the Agents including but not limited to the fees and expenses of the counsel to the Agents, payable upon the execution of this Agreement, (a) in an amount not to exceed $50,000 in connection with the execution of this Agreement, (b) in an amount not to exceed $10,000 per calendar half year thereafter payable in connection with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and (c) in an amount not to exceed $25,000 for each program “refresh” (filing of a new registration statement, prospectus or prospectus supplement relating to the Placement ADSs and/or an amendment of this Agreement) executed pursuant to this Agreement, (vi) the qualification or exemption of the Placement ADSs under state securities laws in accordance with the provisions of </w:t>
      </w:r>
      <w:r>
        <w:rPr>
          <w:rFonts w:ascii="Times New Roman" w:cs="Times New Roman" w:eastAsia="Times New Roman" w:hAnsi="Times New Roman"/>
          <w:sz w:val="18"/>
          <w:szCs w:val="18"/>
          <w:u w:val="single" w:color="auto"/>
          <w:color w:val="auto"/>
        </w:rPr>
        <w:t>Section 7(s)</w:t>
      </w:r>
      <w:r>
        <w:rPr>
          <w:rFonts w:ascii="Times New Roman" w:cs="Times New Roman" w:eastAsia="Times New Roman" w:hAnsi="Times New Roman"/>
          <w:sz w:val="18"/>
          <w:szCs w:val="18"/>
          <w:color w:val="auto"/>
        </w:rPr>
        <w:t xml:space="preserve"> hereof, including filing fees, but excluding fees of the Agents’ counsel, (vii) the printing and delivery to the Agents of copies of any Permitted Issuer Free Writing Prospectus and the Prospectus and any amendments or supplements thereto in such number as the Agents shall reasonably deem necessary, (viii) the preparation, printing and delivery to the Agents of copies of the blue sky survey, (ix) the fees and expenses payable upon deposit of the Ordinary Shares with Depositary in accordance with the terms of the Deposit Agreement against the issuance of Placement ADSs evidencing the same, (x) the filing and other fees incident to any review by FINRA of the terms of the sale of the Placement ADSs including the fees of the Agents’ counsel (subject to the cap, set forth in clause (v) above), and (xi) the fees and expenses incurred in connection with the listing of the Placement ADSs on the Exchange. The Company agrees to pay the fees and expenses of counsel to the Agents set forth in clause (v) above by wire transfer of immediately available funds directly to such counsel upon presentation of an invoice containing the requisite payment information prepared by such counsel.</w:t>
      </w:r>
    </w:p>
    <w:p>
      <w:pPr>
        <w:spacing w:after="0" w:line="20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1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Agents’ Obligations</w:t>
      </w:r>
      <w:r>
        <w:rPr>
          <w:rFonts w:ascii="Times New Roman" w:cs="Times New Roman" w:eastAsia="Times New Roman" w:hAnsi="Times New Roman"/>
          <w:sz w:val="18"/>
          <w:szCs w:val="18"/>
          <w:color w:val="auto"/>
        </w:rPr>
        <w:t>. The obligations of the Agents hereunder with respect to a Placement will be subject to the continuing accuracy and completeness of the representations and warranties made by the Company herein, to the due performance by the Company of its obligations hereunder, to the completion by the Agents of a due diligence review satisfactory to it in its reasonable judgment, and to the continuing satisfaction (or waiver by the Agents in their sole discretion) of the following additional conditions:</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88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have become effective and shall be available for the (i) resale of all Placement ADSs issued to the Agents and not yet sold by the Agents and (ii) sale of all Placement ADSs contemplated to be issued by any Placement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9" w:name="page30"/>
    <w:bookmarkEnd w:id="29"/>
    <w:p>
      <w:pPr>
        <w:jc w:val="both"/>
        <w:ind w:left="-1120" w:firstLine="1304"/>
        <w:spacing w:after="0" w:line="253" w:lineRule="auto"/>
        <w:tabs>
          <w:tab w:leader="none" w:pos="43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ADSs for sale in any jurisdiction or the initiation or threatening of any proceeding for such purpose; or (iv) the occurrence of any event that makes any statement of a material fact made in the Registration Statement or the Prospectus or any document incorporated or deemed to be incorporated therein by reference untrue in any material respect or that requires the making of any changes in the Registration Statement, the Prospectus or material documents so that, in the case of the Registration Statement, it will not contain an untrue statement of a material fact or omit to state any material fact required to be stated therein or necessary to make the statements therein not misleading and, that in the case of the Prospectus, it will not contain an untrue statement of a material fact or omit to state a material fact required to be stated therein or necessary to make the statements therein, in the light of the circumstances under which they were made, not misleading.</w:t>
      </w:r>
    </w:p>
    <w:p>
      <w:pPr>
        <w:spacing w:after="0" w:line="189"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46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The Agents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43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in the authorized capital stock of the Company or any Material Adverse Effect or any development that would reasonably be expected to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Agents (without relieving the Company of any obligation or liability it may otherwise have), is so material as to make it impracticable or inadvisable to proceed with the offering of the Placement ADSs on the terms and in the manner contemplated in the Prospectus.</w:t>
      </w:r>
    </w:p>
    <w:p>
      <w:pPr>
        <w:spacing w:after="0" w:line="191" w:lineRule="exact"/>
        <w:rPr>
          <w:rFonts w:ascii="Times New Roman" w:cs="Times New Roman" w:eastAsia="Times New Roman" w:hAnsi="Times New Roman"/>
          <w:sz w:val="18"/>
          <w:szCs w:val="18"/>
          <w:color w:val="auto"/>
        </w:rPr>
      </w:pPr>
    </w:p>
    <w:p>
      <w:pPr>
        <w:ind w:left="-1120" w:firstLine="1304"/>
        <w:spacing w:after="0" w:line="282" w:lineRule="auto"/>
        <w:tabs>
          <w:tab w:leader="none" w:pos="44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xml:space="preserve">. The Agents shall have received the opinions and negative assurance letter required to be delivered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on or before the date on which such delivery of such opinions is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120" w:firstLine="1304"/>
        <w:spacing w:after="0" w:line="282" w:lineRule="auto"/>
        <w:tabs>
          <w:tab w:leader="none" w:pos="40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The Agents shall have received the Comfort Letter required to be delivered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on or before the date on which such delivery of such Comfort Letter is required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120" w:firstLine="1304"/>
        <w:spacing w:after="0" w:line="282" w:lineRule="auto"/>
        <w:tabs>
          <w:tab w:leader="none" w:pos="4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xml:space="preserve">. The Agents shall have received the certificate required to be delivered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251460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0" w:name="page31"/>
    <w:bookmarkEnd w:id="30"/>
    <w:p>
      <w:pPr>
        <w:ind w:right="20" w:firstLine="1304"/>
        <w:spacing w:after="0" w:line="282" w:lineRule="auto"/>
        <w:tabs>
          <w:tab w:leader="none" w:pos="156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Depositary Opinion</w:t>
      </w:r>
      <w:r>
        <w:rPr>
          <w:rFonts w:ascii="Times New Roman" w:cs="Times New Roman" w:eastAsia="Times New Roman" w:hAnsi="Times New Roman"/>
          <w:sz w:val="18"/>
          <w:szCs w:val="18"/>
          <w:color w:val="auto"/>
        </w:rPr>
        <w:t xml:space="preserve">. The Agents shall have received the opinion required to be delivered pursuant to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 xml:space="preserve"> on or before the date on which such delivery of such opinion is required pursuant to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Trading in the ADSs shall not have been suspended on the Exchange and the ADSs shall not have been delisted from</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1"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xml:space="preserve">. On each date on which the Company is required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the Company shall have furnished to the Agents such appropriate further information, opinions, certificates, letters and other documents as the Agents may reasonably request. All such opinions, certificates, letters and other documents will be in compliance with the provisions hereof.</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1"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The Placement ADSs shall either have been (i) approved for listing on the Exchange, subject only to notice of issuance, or (ii) the Company shall have filed an application for listing of the Placement ADSs on the Exchange at, or prior to, the issuance of any Placement Notice and the Exchange shall have reviewed such application and not provided any objections thereto.</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01"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If applicable, FINRA shall have raised no objection to the terms of this offering and the amount of compensation allowable or payable to the Agents as described in the Prospectus.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There shall not have occurred any event that would permit the Agents to terminate this Agreement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7"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The Company agrees to indemnify and hold harmless each Agent, its affiliates and their respective partners, members, directors, officers, employees and agents and each person, if any, who controls such Agent or any such affiliate within the meaning of Section 15 of the Securities Act or Section 20 of the Exchange Act as follows:</w:t>
      </w:r>
    </w:p>
    <w:p>
      <w:pPr>
        <w:spacing w:after="0" w:line="175" w:lineRule="exact"/>
        <w:rPr>
          <w:rFonts w:ascii="Times New Roman" w:cs="Times New Roman" w:eastAsia="Times New Roman" w:hAnsi="Times New Roman"/>
          <w:sz w:val="18"/>
          <w:szCs w:val="18"/>
          <w:color w:val="auto"/>
        </w:rPr>
      </w:pPr>
    </w:p>
    <w:p>
      <w:pPr>
        <w:jc w:val="both"/>
        <w:ind w:left="740" w:hanging="3"/>
        <w:spacing w:after="0" w:line="256" w:lineRule="auto"/>
        <w:tabs>
          <w:tab w:leader="none" w:pos="95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left="740" w:hanging="3"/>
        <w:spacing w:after="0" w:line="258" w:lineRule="auto"/>
        <w:tabs>
          <w:tab w:leader="none" w:pos="10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and all loss, liability, claim, damage and expense whatsoever,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below) any such settlement is effected with the written consent of the Company, which consent shall not unreasonably be delayed or withheld; and</w:t>
      </w:r>
    </w:p>
    <w:p>
      <w:pPr>
        <w:spacing w:after="0" w:line="183" w:lineRule="exact"/>
        <w:rPr>
          <w:rFonts w:ascii="Times New Roman" w:cs="Times New Roman" w:eastAsia="Times New Roman" w:hAnsi="Times New Roman"/>
          <w:sz w:val="18"/>
          <w:szCs w:val="18"/>
          <w:color w:val="auto"/>
        </w:rPr>
      </w:pPr>
    </w:p>
    <w:p>
      <w:pPr>
        <w:jc w:val="both"/>
        <w:ind w:left="740" w:hanging="3"/>
        <w:spacing w:after="0" w:line="261" w:lineRule="auto"/>
        <w:tabs>
          <w:tab w:leader="none" w:pos="10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reasonable and documented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(i) or (ii) above,</w:t>
      </w:r>
    </w:p>
    <w:p>
      <w:pPr>
        <w:spacing w:after="0" w:line="17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this indemnity agreement shall not apply to any loss, liability, claim, damage or expense to the extent arising out of any untrue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or omission or alleged untrue statement or omission made solely in reliance upon and in conformity with the Agents Information.</w:t>
      </w:r>
    </w:p>
    <w:p>
      <w:pPr>
        <w:spacing w:after="0" w:line="160" w:lineRule="exact"/>
        <w:rPr>
          <w:sz w:val="20"/>
          <w:szCs w:val="20"/>
          <w:color w:val="auto"/>
        </w:rPr>
      </w:pPr>
    </w:p>
    <w:p>
      <w:pPr>
        <w:jc w:val="both"/>
        <w:ind w:firstLine="1304"/>
        <w:spacing w:after="0" w:line="254" w:lineRule="auto"/>
        <w:tabs>
          <w:tab w:leader="none" w:pos="155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Indemnification</w:t>
      </w:r>
      <w:r>
        <w:rPr>
          <w:rFonts w:ascii="Times New Roman" w:cs="Times New Roman" w:eastAsia="Times New Roman" w:hAnsi="Times New Roman"/>
          <w:sz w:val="18"/>
          <w:szCs w:val="18"/>
          <w:color w:val="auto"/>
        </w:rPr>
        <w:t xml:space="preserve">. Each Agent severally but not jointly agrees to indemnify and hold harmless the Company and its directors and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such Agent and furnished to the Company in writing by such Agent expressly for use therein. The Company hereby acknowledges that the only information that the Agents have furnished to the Company expressly for use in the Registration Statement, the Prospectus or any Issuer Free Writing Prospectus (or any amendment or supplement thereto) are the statements set forth in the seventh and eighth paragraphs under the caption “Plan of Distribution” in the Prospectus (the “</w:t>
      </w:r>
      <w:r>
        <w:rPr>
          <w:rFonts w:ascii="Times New Roman" w:cs="Times New Roman" w:eastAsia="Times New Roman" w:hAnsi="Times New Roman"/>
          <w:sz w:val="18"/>
          <w:szCs w:val="18"/>
          <w:b w:val="1"/>
          <w:bCs w:val="1"/>
          <w:u w:val="single" w:color="auto"/>
          <w:color w:val="auto"/>
        </w:rPr>
        <w:t>Agents Information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ind w:left="-1120" w:firstLine="1304"/>
        <w:spacing w:after="0" w:line="251" w:lineRule="auto"/>
        <w:tabs>
          <w:tab w:leader="none" w:pos="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Any party that proposes to assert the right to be indemnified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and (ii) any liability that it may have to any indemnified party under the foregoing provision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200" w:lineRule="exact"/>
        <w:rPr>
          <w:rFonts w:ascii="Times New Roman" w:cs="Times New Roman" w:eastAsia="Times New Roman" w:hAnsi="Times New Roman"/>
          <w:sz w:val="18"/>
          <w:szCs w:val="18"/>
          <w:color w:val="auto"/>
        </w:rPr>
      </w:pPr>
    </w:p>
    <w:p>
      <w:pPr>
        <w:jc w:val="both"/>
        <w:ind w:left="-1120" w:firstLine="1304"/>
        <w:spacing w:after="0" w:line="257" w:lineRule="auto"/>
        <w:tabs>
          <w:tab w:leader="none" w:pos="4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Without Consent if Failure to Reimburse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 indemnified party shall have requested an indemnifying party to reimburse the indemnified party for reasonable and documented fees and expenses of counsel for which it is entitled to reimbursement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such indemnifying party agrees that it shall be liable for any settlement of the nature contemplated by </w:t>
      </w:r>
      <w:r>
        <w:rPr>
          <w:rFonts w:ascii="Times New Roman" w:cs="Times New Roman" w:eastAsia="Times New Roman" w:hAnsi="Times New Roman"/>
          <w:sz w:val="18"/>
          <w:szCs w:val="18"/>
          <w:u w:val="single" w:color="auto"/>
          <w:color w:val="auto"/>
        </w:rPr>
        <w:t>Section 10(a)(ii)</w:t>
      </w:r>
      <w:r>
        <w:rPr>
          <w:rFonts w:ascii="Times New Roman" w:cs="Times New Roman" w:eastAsia="Times New Roman" w:hAnsi="Times New Roman"/>
          <w:sz w:val="18"/>
          <w:szCs w:val="18"/>
          <w:color w:val="auto"/>
        </w:rPr>
        <w:t xml:space="preserve"> effected without its written consent if (1) such settlement is entered into more than 45 days after receipt by such indemnifying party of the aforesaid request, (2) such indemnifying party shall have received notice of the terms of such settlement at least 30 days prior to such settlement being entered into and (3) such indemnifying party shall not have reimbursed such indemnified party in accordance with such request prior to the date of such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265430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3" w:name="page34"/>
    <w:bookmarkEnd w:id="33"/>
    <w:p>
      <w:pPr>
        <w:jc w:val="both"/>
        <w:ind w:left="-1120" w:firstLine="1304"/>
        <w:spacing w:after="0" w:line="251" w:lineRule="auto"/>
        <w:tabs>
          <w:tab w:leader="none" w:pos="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is applicable in accordance with its terms but for any reason is held to be unavailable or insufficient from the Company or an Agent, the Company and such Agent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the Agents may be subject in such proportion as shall be appropriate to reflect the relative benefits received by the Company on the one hand and the Agents on the other hand. The relative benefits received by the Company on the one hand and the Agents on the other hand shall be deemed to be in the same proportion as the total net proceeds from the sale of the Placement ADSs (before deducting expenses) received by the Company bear to the total compensation received by the Agents from the sale of Placement ADSs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such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such Agent, the intent of the parties and their relative knowledge, access to information and opportunity to correct or prevent such statement or omission. The Company and each Agent agree that it would not be just and equitable if contributions pursuant to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shall be deemed to include, for the purpose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Notwithstanding the foregoing provisions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an Agent shall not be required to contribute any amount in excess of the commissions received by it under this Agreement and no person found guilty of fraudulent misrepresentation (within the meaning of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of the Securities Act) will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any person who controls a party to this Agreement within the meaning of the Securities Act, any affiliates of an Agent and any officers, directors, partners, employees or agents of an Agent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The Agents’ respective obligations to contribute pursuant to this Section 10(e) are several in proportion to the respective number of Placement ADSs they have sold hereunder, and not joint.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276225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4" w:name="page35"/>
    <w:bookmarkEnd w:id="34"/>
    <w:p>
      <w:pPr>
        <w:jc w:val="both"/>
        <w:ind w:left="-8" w:firstLine="656"/>
        <w:spacing w:after="0" w:line="258" w:lineRule="auto"/>
        <w:tabs>
          <w:tab w:leader="none" w:pos="90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xml:space="preserve">. The indemnity and contribution agreements contained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this Agreement and all representations and warranties of the Company herein or in certificates delivered pursuant hereto shall survive, as of their respective dates, regardless of (i) any investigation made by or on behalf of any Agent, any controlling persons, or the Company (or any of their respective officers, directors, employees or controlling persons), (ii) delivery and acceptance of the Placement ADSs and payment therefor or (iii) any termination of this Agreement.</w:t>
      </w:r>
    </w:p>
    <w:p>
      <w:pPr>
        <w:spacing w:after="0" w:line="183"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firstLine="1304"/>
        <w:spacing w:after="0" w:line="252" w:lineRule="auto"/>
        <w:tabs>
          <w:tab w:leader="none" w:pos="154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may terminate this Agreement with respect to itself,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properties, earnings, results of operations or prospects of the Company and its Subsidiaries considered as one enterprise, whether or not arising in the ordinary course of business, which individually or in the aggregate, in the sole judgment of the such Agent is material and adverse and makes it impractical or inadvisable to market the Placement ADSs or to enforce contracts for the sale of the Placement ADSs,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such Agent, impracticable or inadvisable to market the Placement ADSs or to enforce contracts for the sale of the Placement ADSs,</w:t>
      </w:r>
    </w:p>
    <w:p>
      <w:pPr>
        <w:spacing w:after="0" w:line="6"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trading in the ADSs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(Consent to Jurisdiction) hereof shall remain in full force and effect notwithstanding such termination. If an Agent elects to terminate this Agreement as provided in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such Agent shall provide the required notice as specified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(Notices). For the avoidance of doubt, the termination by one Agent of its rights and obligations under this Agreement pursuant to this Section 12(a) shall not affect the rights and obligations of the other Agent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35" w:name="page36"/>
    <w:bookmarkEnd w:id="35"/>
    <w:p>
      <w:pPr>
        <w:jc w:val="both"/>
        <w:ind w:firstLine="1304"/>
        <w:spacing w:after="0" w:line="258" w:lineRule="auto"/>
        <w:tabs>
          <w:tab w:leader="none" w:pos="157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hereof shall remain in full force and effect notwithstanding such termination. For the avoidance of doubt, the termination by the Company of this Agreement with respect to one Agent pursuant to this Section 12(b) shall not affect the rights and obligations of the other Agent under this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Agent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hereof shall remain in full force and effect notwithstanding such termination. For the avoidance of doubt, the termination by one Agent of its rights and obligations under this Agreement pursuant to this Section 12(c) shall not affect the rights and obligations of the other Agent under this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w:t>
      </w:r>
      <w:r>
        <w:rPr>
          <w:rFonts w:ascii="Times New Roman" w:cs="Times New Roman" w:eastAsia="Times New Roman" w:hAnsi="Times New Roman"/>
          <w:sz w:val="18"/>
          <w:szCs w:val="18"/>
          <w:u w:val="single" w:color="auto"/>
          <w:color w:val="auto"/>
        </w:rPr>
        <w:t>Sections 12(a)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or otherwise by mutual agreement of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such termination by mutual agreement shall in all cases be deemed to provide that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shall remain in full force and effect.</w:t>
      </w:r>
    </w:p>
    <w:p>
      <w:pPr>
        <w:spacing w:after="0" w:line="17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termination shall not be effective until the close of business on the date of receipt of such notice by the Agent or Agents or the Company, as the case may be. If such termination shall occur prior to the Settlement Date for any sale of Placement ADSs, such Placement ADSs shall settle in accordance with the provisions of this Agreement.</w:t>
      </w:r>
    </w:p>
    <w:p>
      <w:pPr>
        <w:spacing w:after="0" w:line="181"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and if sent to the Agent, shall be delivered 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Virtu Americas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One Liberty Plaza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165 Broadway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10006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Virtu Capital Markets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ATM@virtu.com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Capital One Securities,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201 St. Charles Ave, Suite 1830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Orleans, LA 70170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Jennifer Blevins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504-521-4184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jennifer.blevins@capitalone.com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Duane Morris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1540 Broadway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James T. Seery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(973) 424-2088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jtseery@duanemorris.com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to the Company, shall be delivered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Genenta Science S.p.A.</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Via Olgettina No. 58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20132 Milan, Italy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Pierluigi Paracchi</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pierluigi.paracchi@genenta.com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Fenwick &amp; West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902 Broadway 18th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10010-6035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Per Chilstrom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pchilstrom@fenwick.com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Giovannelli e Associati</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Via dei Bossi, 4 20121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Milano MI, Italy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Gianvittorio Giroletti Angeli and Andrea Bartolucci</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gianvittorio.giroletti@galaw.it; andrea.bartolucci@galaw.it</w:t>
      </w:r>
    </w:p>
    <w:p>
      <w:pPr>
        <w:spacing w:after="0" w:line="20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by Electronic Notice, as set forth below, (iii) on the next Business Day after timely delivery to a nationally-recognized overnight courier or (iv)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7"/>
          <w:szCs w:val="17"/>
          <w:b w:val="1"/>
          <w:bCs w:val="1"/>
          <w:u w:val="single" w:color="auto"/>
          <w:color w:val="auto"/>
        </w:rPr>
        <w:t>Business Day</w:t>
      </w:r>
      <w:r>
        <w:rPr>
          <w:rFonts w:ascii="Times New Roman" w:cs="Times New Roman" w:eastAsia="Times New Roman" w:hAnsi="Times New Roman"/>
          <w:sz w:val="17"/>
          <w:szCs w:val="17"/>
          <w:color w:val="auto"/>
        </w:rPr>
        <w:t>” shall mean any day on which the Exchange and commercial banks in the City of New York are open for business.</w:t>
      </w:r>
    </w:p>
    <w:p>
      <w:pPr>
        <w:spacing w:after="0" w:line="16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An electronic communication (“</w:t>
      </w:r>
      <w:r>
        <w:rPr>
          <w:rFonts w:ascii="Times New Roman" w:cs="Times New Roman" w:eastAsia="Times New Roman" w:hAnsi="Times New Roman"/>
          <w:sz w:val="18"/>
          <w:szCs w:val="18"/>
          <w:b w:val="1"/>
          <w:bCs w:val="1"/>
          <w:u w:val="single" w:color="auto"/>
          <w:color w:val="auto"/>
        </w:rPr>
        <w:t>Electronic Notice</w:t>
      </w:r>
      <w:r>
        <w:rPr>
          <w:rFonts w:ascii="Times New Roman" w:cs="Times New Roman" w:eastAsia="Times New Roman" w:hAnsi="Times New Roman"/>
          <w:sz w:val="18"/>
          <w:szCs w:val="18"/>
          <w:color w:val="auto"/>
        </w:rPr>
        <w:t>”) shall be deemed written notice for purposes of this Section 13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 w:cs="Times New Roman" w:eastAsia="Times New Roman" w:hAnsi="Times New Roman"/>
          <w:sz w:val="18"/>
          <w:szCs w:val="18"/>
          <w:b w:val="1"/>
          <w:bCs w:val="1"/>
          <w:u w:val="single" w:color="auto"/>
          <w:color w:val="auto"/>
        </w:rPr>
        <w:t>Nonelectronic Notic</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which shall be sent to the requesting party within ten (10) days of receipt of the written request for Nonelectronic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left="-656" w:firstLine="656"/>
        <w:spacing w:after="0" w:line="256" w:lineRule="auto"/>
        <w:tabs>
          <w:tab w:leader="none" w:pos="26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Company and each Agent and their respective successors and the parties referred to in Section 10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Agent may assign its rights and obligations hereunder to an affiliate thereof without obtaining the Company’s consent.</w:t>
      </w:r>
    </w:p>
    <w:p>
      <w:pPr>
        <w:spacing w:after="0" w:line="187" w:lineRule="exact"/>
        <w:rPr>
          <w:rFonts w:ascii="Times New Roman" w:cs="Times New Roman" w:eastAsia="Times New Roman" w:hAnsi="Times New Roman"/>
          <w:sz w:val="18"/>
          <w:szCs w:val="18"/>
          <w:color w:val="auto"/>
        </w:rPr>
      </w:pPr>
    </w:p>
    <w:p>
      <w:pPr>
        <w:ind w:left="-656" w:firstLine="656"/>
        <w:spacing w:after="0" w:line="282" w:lineRule="auto"/>
        <w:tabs>
          <w:tab w:leader="none" w:pos="26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Stock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stock split, stock dividend or similar event effected with respect to the Placement ADSs.</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Severability; Waiver</w:t>
      </w:r>
      <w:r>
        <w:rPr>
          <w:rFonts w:ascii="Times New Roman" w:cs="Times New Roman" w:eastAsia="Times New Roman" w:hAnsi="Times New Roman"/>
          <w:sz w:val="18"/>
          <w:szCs w:val="18"/>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each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57" w:lineRule="auto"/>
        <w:tabs>
          <w:tab w:leader="none" w:pos="31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AND TIME; WAIVER OF JURY TRIAL</w:t>
      </w:r>
      <w:r>
        <w:rPr>
          <w:rFonts w:ascii="Times New Roman" w:cs="Times New Roman" w:eastAsia="Times New Roman" w:hAnsi="Times New Roman"/>
          <w:sz w:val="18"/>
          <w:szCs w:val="18"/>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266700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38" w:name="page39"/>
    <w:bookmarkEnd w:id="38"/>
    <w:p>
      <w:pPr>
        <w:jc w:val="both"/>
        <w:ind w:left="-656" w:firstLine="656"/>
        <w:spacing w:after="0" w:line="253" w:lineRule="auto"/>
        <w:tabs>
          <w:tab w:leader="none" w:pos="2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CONSENT TO JURISDICTION</w:t>
      </w:r>
      <w:r>
        <w:rPr>
          <w:rFonts w:ascii="Times New Roman" w:cs="Times New Roman" w:eastAsia="Times New Roman" w:hAnsi="Times New Roman"/>
          <w:sz w:val="18"/>
          <w:szCs w:val="18"/>
          <w:b w:val="1"/>
          <w:bCs w:val="1"/>
          <w:color w:val="auto"/>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93"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7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Agent for Service. The Company hereby irrevocably appoints Cogency Global Inc., 122 East 42nd Street, 18th Floor, New York, New York 10168 as its agent for service of process in any suit, action or proceeding described in Section 18 and agrees that service of process in any suit, action or proceeding may be made upon it at the office of such agent. The Company waives, to the fullest extent permitted by law, any other requirements of or objections to personal jurisdiction with respect thereto.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2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2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262890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39" w:name="page40"/>
    <w:bookmarkEnd w:id="39"/>
    <w:p>
      <w:pPr>
        <w:jc w:val="both"/>
        <w:ind w:left="-656" w:firstLine="656"/>
        <w:spacing w:after="0" w:line="253" w:lineRule="auto"/>
        <w:tabs>
          <w:tab w:leader="none" w:pos="2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xml:space="preserve">. The Company represents, warrants and agrees that, unless it obtains the prior written consent of the Agents, which consent shall not be unreasonably withheld, conditioned or delayed, and each Agent represents, warrants and agrees that, unless it obtains the prior written consent of the Company, it has not made and will not make any offer relating to the Placement ADSs that would constitute an Issuer Free Writing Prospectus, or that would otherwise constitute a “free writing prospectus,” as defined in Rule 405, required to be filed with the Commission. Any such free writing prospectus consented to by the Agents or by the Company, which consent shall not be unreasonably withheld, conditioned or delayed,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cs="Times New Roman" w:eastAsia="Times New Roman" w:hAnsi="Times New Roman"/>
          <w:sz w:val="18"/>
          <w:szCs w:val="18"/>
          <w:u w:val="single" w:color="auto"/>
          <w:color w:val="auto"/>
        </w:rPr>
        <w:t>Exhibit 21</w:t>
      </w:r>
      <w:r>
        <w:rPr>
          <w:rFonts w:ascii="Times New Roman" w:cs="Times New Roman" w:eastAsia="Times New Roman" w:hAnsi="Times New Roman"/>
          <w:sz w:val="18"/>
          <w:szCs w:val="18"/>
          <w:color w:val="auto"/>
        </w:rPr>
        <w:t xml:space="preserve"> hereto are Permitted Free Writing Prospectuses.</w:t>
      </w:r>
    </w:p>
    <w:p>
      <w:pPr>
        <w:spacing w:after="0" w:line="194"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56" w:lineRule="auto"/>
        <w:tabs>
          <w:tab w:leader="none" w:pos="91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is acting solely as agent in connection with the public offering of the Placement ADSs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Agents, on the other hand, has been or will be created in respect of any of the transactions contemplated by this Agreement, irrespective of whether or not any Agent has advised or is advising the Company on other matters, and the Agents have no obligation to the Company with respect to the transactions contemplated by this Agreement except the obligations expressly set forth in this Agreement;</w:t>
      </w:r>
    </w:p>
    <w:p>
      <w:pPr>
        <w:spacing w:after="0" w:line="187" w:lineRule="exact"/>
        <w:rPr>
          <w:rFonts w:ascii="Times New Roman" w:cs="Times New Roman" w:eastAsia="Times New Roman" w:hAnsi="Times New Roman"/>
          <w:sz w:val="18"/>
          <w:szCs w:val="18"/>
          <w:color w:val="auto"/>
        </w:rPr>
      </w:pPr>
    </w:p>
    <w:p>
      <w:pPr>
        <w:ind w:left="-656" w:firstLine="1304"/>
        <w:spacing w:after="0" w:line="282" w:lineRule="auto"/>
        <w:tabs>
          <w:tab w:leader="none" w:pos="93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capable of evaluating and understanding, and understands and accepts, the terms, risks and conditions of the transactions contemplated by this Agreement;</w:t>
      </w:r>
    </w:p>
    <w:p>
      <w:pPr>
        <w:spacing w:after="0" w:line="161"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90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Agents nor their respective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75"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9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aware that each Agent and its affiliates are engaged in a broad range of transactions which may involve interests that differ from those of the Company and such Agent and its affiliates have no obligation to disclose such interests and transactions to the Company by virtue of any fiduciary, advisory or agency relationship or otherwise; and</w:t>
      </w:r>
    </w:p>
    <w:p>
      <w:pPr>
        <w:spacing w:after="0" w:line="175"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88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waives, to the fullest extent permitted by law, any claims it may have against an Agent or its affiliates for breach of fiduciary duty or alleged breach of fiduciary duty in connection with the sale of Placement ADSs under this Agreement and agrees that such Agent and its affiliates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262890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Applicable Time</w:t>
      </w:r>
      <w:r>
        <w:rPr>
          <w:rFonts w:ascii="Times New Roman" w:cs="Times New Roman" w:eastAsia="Times New Roman" w:hAnsi="Times New Roman"/>
          <w:sz w:val="18"/>
          <w:szCs w:val="18"/>
          <w:color w:val="auto"/>
        </w:rPr>
        <w:t>” means (i) each Representation Date, (ii) the time of each sale of any Placement ADSs pursuant to this Agreement and (iii) each Settlement Date.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Governmental Authority</w:t>
      </w:r>
      <w:r>
        <w:rPr>
          <w:rFonts w:ascii="Times New Roman" w:cs="Times New Roman" w:eastAsia="Times New Roman" w:hAnsi="Times New Roman"/>
          <w:sz w:val="18"/>
          <w:szCs w:val="18"/>
          <w:color w:val="auto"/>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Issuer Free Writing Prospectus</w:t>
      </w:r>
      <w:r>
        <w:rPr>
          <w:rFonts w:ascii="Times New Roman" w:cs="Times New Roman" w:eastAsia="Times New Roman" w:hAnsi="Times New Roman"/>
          <w:sz w:val="18"/>
          <w:szCs w:val="18"/>
          <w:color w:val="auto"/>
        </w:rPr>
        <w:t>” means any “issuer free writing prospectus,” as defined in Rule 433, relating to the Placement ADSs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ADSs or of the offering that does not reflect the final terms, in each case in the form filed or required to be filed with the Commission or, if not required to be filed, in the form retained in the Company’s records pursuant to Rule 433(g) under the Securities Act Regulations.</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Rule 164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424(b)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Rule 433</w:t>
      </w:r>
      <w:r>
        <w:rPr>
          <w:rFonts w:ascii="Times New Roman" w:cs="Times New Roman" w:eastAsia="Times New Roman" w:hAnsi="Times New Roman"/>
          <w:sz w:val="18"/>
          <w:szCs w:val="18"/>
          <w:color w:val="auto"/>
        </w:rPr>
        <w:t>” refer to such rules under the Securities Act Regulations.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ADSs by the Agents outside of the United States.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each Agent, please so indicate in the space provided below for that purpose, whereupon this letter shall constitute a binding agreement between the Company and each Agent.</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Pierluigi Paracchi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ACCEPTED as of the date first-above written:</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VIRTU AMERICAS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Joshua R.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Joshua R. Feldman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CAPITAL ONE SECURITIES,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Sal Saraceno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Sal Saraceno</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Sales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tbl>
      <w:tblPr>
        <w:tblLayout w:type="fixed"/>
        <w:tblInd w:w="66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SCHEDULE 1</w:t>
            </w:r>
          </w:p>
        </w:tc>
      </w:tr>
      <w:tr>
        <w:trPr>
          <w:trHeight w:val="223"/>
        </w:trPr>
        <w:tc>
          <w:tcPr>
            <w:tcW w:w="9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445"/>
        </w:trPr>
        <w:tc>
          <w:tcPr>
            <w:tcW w:w="9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 of Placement Notice</w:t>
            </w:r>
          </w:p>
        </w:tc>
      </w:tr>
      <w:tr>
        <w:trPr>
          <w:trHeight w:val="223"/>
        </w:trPr>
        <w:tc>
          <w:tcPr>
            <w:tcW w:w="9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44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5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Genenta Science S.p.A.</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5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[Virtu Americas LLC][Capital One Securities, Inc.]</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5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Subject:</w:t>
            </w:r>
          </w:p>
        </w:tc>
        <w:tc>
          <w:tcPr>
            <w:tcW w:w="5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Placement Notice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20[●]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Sales Agreement between Genenta Science S.p.A., a Republic of Italy joint stock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Virtu Americas LLC and Capital One Securities, Inc. (the “</w:t>
      </w:r>
      <w:r>
        <w:rPr>
          <w:rFonts w:ascii="Times New Roman" w:cs="Times New Roman" w:eastAsia="Times New Roman" w:hAnsi="Times New Roman"/>
          <w:sz w:val="18"/>
          <w:szCs w:val="18"/>
          <w:b w:val="1"/>
          <w:bCs w:val="1"/>
          <w:u w:val="single" w:color="auto"/>
          <w:color w:val="auto"/>
        </w:rPr>
        <w:t>Agents</w:t>
      </w:r>
      <w:r>
        <w:rPr>
          <w:rFonts w:ascii="Times New Roman" w:cs="Times New Roman" w:eastAsia="Times New Roman" w:hAnsi="Times New Roman"/>
          <w:sz w:val="18"/>
          <w:szCs w:val="18"/>
          <w:color w:val="auto"/>
        </w:rPr>
        <w:t>”), dated April [●], 2024, the Company hereby requests that [</w:t>
      </w:r>
      <w:r>
        <w:rPr>
          <w:rFonts w:ascii="Times New Roman" w:cs="Times New Roman" w:eastAsia="Times New Roman" w:hAnsi="Times New Roman"/>
          <w:sz w:val="18"/>
          <w:szCs w:val="18"/>
          <w:i w:val="1"/>
          <w:iCs w:val="1"/>
          <w:color w:val="auto"/>
        </w:rPr>
        <w:t>Identify Designated Agent</w:t>
      </w:r>
      <w:r>
        <w:rPr>
          <w:rFonts w:ascii="Times New Roman" w:cs="Times New Roman" w:eastAsia="Times New Roman" w:hAnsi="Times New Roman"/>
          <w:sz w:val="18"/>
          <w:szCs w:val="18"/>
          <w:color w:val="auto"/>
        </w:rPr>
        <w:t>] sell up to [●] of American depositary shares, each representing one (1) ordinary share, with no par value per share, of the Company, at a minimum market price of $[●] per share, during the time period beginning [month, day, time] and ending [month, day,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shall pay to the Designated Agent, in cash, upon each sale of Placement ADSs pursuant to this Agreement, an amount equal to up to 3.0% of the aggregate gross proceeds from each sale of Placement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jc w:val="right"/>
        <w:ind w:right="3959"/>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Notice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Pierluigi Paracchi (pierluigi.paracchi@genenta.com)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Slansky (richard.slansky@genenta.com)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Barbara Regonini (barbara.regonini@genenta.com)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Virtu Americas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Lumby (jlumby@virtu.com)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Feldman (jfeldman@virtu.com)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Conor Lumby(clumby@virtu.com)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atm@virtu.com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One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 Winiecki (phil.winiecki@capitalone.com)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Benoit (sean.benoit@capitalone.com)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Blevins (jennifer.blevins@capitalone.com)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Halprin (gabrielle.halprin@capitalone.com)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45" w:name="page46"/>
    <w:bookmarkEnd w:id="45"/>
    <w:p>
      <w:pPr>
        <w:ind w:left="5060"/>
        <w:spacing w:after="0"/>
        <w:rPr>
          <w:sz w:val="20"/>
          <w:szCs w:val="20"/>
          <w:color w:val="auto"/>
        </w:rPr>
      </w:pPr>
      <w:r>
        <w:rPr>
          <w:rFonts w:ascii="Times New Roman" w:cs="Times New Roman" w:eastAsia="Times New Roman" w:hAnsi="Times New Roman"/>
          <w:sz w:val="18"/>
          <w:szCs w:val="18"/>
          <w:b w:val="1"/>
          <w:bCs w:val="1"/>
          <w:color w:val="auto"/>
        </w:rPr>
        <w:t>SCHEDULE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Incorporated by reference to Exhibit 8.1 of the Company’s most recently filed Form 20-F,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Representation Date Certificate Pursuant to Section 7(l)</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undersigned, the duly qualified and elected Chief Executive Officer of Genenta Science S.p.A., a Republic of Italy joint stock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does hereby certify in such capacity and on behalf of the Company,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of the Sales Agreement, dated April 26, 2024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 by and among the Company and Virtu Americas LLC and Capital One Securities, Inc., that to the best of the knowledge of the undersigned:</w:t>
      </w:r>
    </w:p>
    <w:p>
      <w:pPr>
        <w:spacing w:after="0" w:line="180" w:lineRule="exact"/>
        <w:rPr>
          <w:sz w:val="20"/>
          <w:szCs w:val="20"/>
          <w:color w:val="auto"/>
        </w:rPr>
      </w:pPr>
    </w:p>
    <w:p>
      <w:pPr>
        <w:jc w:val="both"/>
        <w:ind w:firstLine="449"/>
        <w:spacing w:after="0" w:line="261" w:lineRule="auto"/>
        <w:tabs>
          <w:tab w:leader="none" w:pos="65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Sales Agreement are true and correct on and as of the date hereof with the same force and effect as if expressly made on and as of the date hereof, except for those representations and warranties that speak solely as of a specific date and which were true and correct as of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representations and warranties also shall be qualified by the disclosure included or incorporated by reference in the Registration Statement and Prospectus; and</w:t>
      </w:r>
    </w:p>
    <w:p>
      <w:pPr>
        <w:spacing w:after="0" w:line="179" w:lineRule="exact"/>
        <w:rPr>
          <w:rFonts w:ascii="Times New Roman" w:cs="Times New Roman" w:eastAsia="Times New Roman" w:hAnsi="Times New Roman"/>
          <w:sz w:val="18"/>
          <w:szCs w:val="18"/>
          <w:color w:val="auto"/>
        </w:rPr>
      </w:pPr>
    </w:p>
    <w:p>
      <w:pPr>
        <w:ind w:firstLine="449"/>
        <w:spacing w:after="0" w:line="282" w:lineRule="auto"/>
        <w:tabs>
          <w:tab w:leader="none" w:pos="7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agreements and satisfied all conditions on its part to be performed or satisfied pursuant to the Sales Agreement at or prior to the date hereof.</w:t>
      </w:r>
    </w:p>
    <w:p>
      <w:pPr>
        <w:spacing w:after="0" w:line="16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Capitalized terms used herein without definition shall have the meanings given to such terms in the Sales Agreement. Each of Fenwick &amp; West LLP, and Giovannelli e Associati Studio Legale shall be entitled to rely upon the representations and warranties contained herein for purposes of delivering their respective opinions and, if applicable, negative assurance letters pursuant to Section of the Sales Agreement.</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ind w:left="5560"/>
        <w:spacing w:after="0"/>
        <w:rPr>
          <w:sz w:val="20"/>
          <w:szCs w:val="20"/>
          <w:color w:val="auto"/>
        </w:rPr>
      </w:pPr>
      <w:r>
        <w:rPr>
          <w:rFonts w:ascii="Times New Roman" w:cs="Times New Roman" w:eastAsia="Times New Roman" w:hAnsi="Times New Roman"/>
          <w:sz w:val="18"/>
          <w:szCs w:val="18"/>
          <w:b w:val="1"/>
          <w:bCs w:val="1"/>
          <w:u w:val="single" w:color="auto"/>
          <w:color w:val="auto"/>
        </w:rPr>
        <w:t>Exhibit 21</w:t>
      </w:r>
    </w:p>
    <w:p>
      <w:pPr>
        <w:spacing w:after="0" w:line="225"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8"/>
          <w:szCs w:val="18"/>
          <w:b w:val="1"/>
          <w:bCs w:val="1"/>
          <w:color w:val="auto"/>
        </w:rPr>
        <w:t>Permitted Free Writing Prospectus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Genenta Science S.p.A.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Olgettina, 58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20132 - Milan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Genenta Science S.p.A. – Registration Statement on Form F-3</w:t>
      </w:r>
    </w:p>
    <w:p>
      <w:pPr>
        <w:spacing w:after="0" w:line="225"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acted as Italian legal advisers to Genenta Science S.p.A., a joint stock company incorporated under Italian law with its registered office at Via Olgettina 58, 20132, Milan, Italy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certain legal matters of Italian law in connection with the Company’s registration statement on Form F-3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United States Securities and Exchange Commission on May 12, 2023 and declared effective on May 22, 2023 under the United States Securities Act of 1933, as amended (the “</w:t>
      </w:r>
      <w:r>
        <w:rPr>
          <w:rFonts w:ascii="Times New Roman" w:cs="Times New Roman" w:eastAsia="Times New Roman" w:hAnsi="Times New Roman"/>
          <w:sz w:val="18"/>
          <w:szCs w:val="18"/>
          <w:b w:val="1"/>
          <w:bCs w:val="1"/>
          <w:color w:val="auto"/>
        </w:rPr>
        <w:t>Securities Act of 1933</w:t>
      </w:r>
      <w:r>
        <w:rPr>
          <w:rFonts w:ascii="Times New Roman" w:cs="Times New Roman" w:eastAsia="Times New Roman" w:hAnsi="Times New Roman"/>
          <w:sz w:val="18"/>
          <w:szCs w:val="18"/>
          <w:color w:val="auto"/>
        </w:rPr>
        <w:t>”), the base prospectus contained within the Registration Statement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and the prospectus supplement to the Base Prospectus dated April 26, 2024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relating to the offer and sale by the Company through Capital One Securities, Inc. and Virtu Americas LLC, as the sales agents (the “</w:t>
      </w:r>
      <w:r>
        <w:rPr>
          <w:rFonts w:ascii="Times New Roman" w:cs="Times New Roman" w:eastAsia="Times New Roman" w:hAnsi="Times New Roman"/>
          <w:sz w:val="18"/>
          <w:szCs w:val="18"/>
          <w:b w:val="1"/>
          <w:bCs w:val="1"/>
          <w:color w:val="auto"/>
        </w:rPr>
        <w:t>Sales Agents</w:t>
      </w:r>
      <w:r>
        <w:rPr>
          <w:rFonts w:ascii="Times New Roman" w:cs="Times New Roman" w:eastAsia="Times New Roman" w:hAnsi="Times New Roman"/>
          <w:sz w:val="18"/>
          <w:szCs w:val="18"/>
          <w:color w:val="auto"/>
        </w:rPr>
        <w:t>”), from time to time of new ordinary shares without par value of the Company (the “</w:t>
      </w:r>
      <w:r>
        <w:rPr>
          <w:rFonts w:ascii="Times New Roman" w:cs="Times New Roman" w:eastAsia="Times New Roman" w:hAnsi="Times New Roman"/>
          <w:sz w:val="18"/>
          <w:szCs w:val="18"/>
          <w:b w:val="1"/>
          <w:bCs w:val="1"/>
          <w:color w:val="auto"/>
        </w:rPr>
        <w:t>Placement Shares</w:t>
      </w:r>
      <w:r>
        <w:rPr>
          <w:rFonts w:ascii="Times New Roman" w:cs="Times New Roman" w:eastAsia="Times New Roman" w:hAnsi="Times New Roman"/>
          <w:sz w:val="18"/>
          <w:szCs w:val="18"/>
          <w:color w:val="auto"/>
        </w:rPr>
        <w:t>”) represented by American Depositary Shares, each representing one of the Placement Shares (the “</w:t>
      </w:r>
      <w:r>
        <w:rPr>
          <w:rFonts w:ascii="Times New Roman" w:cs="Times New Roman" w:eastAsia="Times New Roman" w:hAnsi="Times New Roman"/>
          <w:sz w:val="18"/>
          <w:szCs w:val="18"/>
          <w:b w:val="1"/>
          <w:bCs w:val="1"/>
          <w:color w:val="auto"/>
        </w:rPr>
        <w:t>Placement ADSs</w:t>
      </w:r>
      <w:r>
        <w:rPr>
          <w:rFonts w:ascii="Times New Roman" w:cs="Times New Roman" w:eastAsia="Times New Roman" w:hAnsi="Times New Roman"/>
          <w:sz w:val="18"/>
          <w:szCs w:val="18"/>
          <w:color w:val="auto"/>
        </w:rPr>
        <w:t>”), having an aggregate maximum offering price of up to USD 16,362,816 pursuant to that certain ATM Sales Agreement, dated as of April 26, 2024, by and between the Company and the Sales Agents (the “</w:t>
      </w:r>
      <w:r>
        <w:rPr>
          <w:rFonts w:ascii="Times New Roman" w:cs="Times New Roman" w:eastAsia="Times New Roman" w:hAnsi="Times New Roman"/>
          <w:sz w:val="18"/>
          <w:szCs w:val="18"/>
          <w:b w:val="1"/>
          <w:bCs w:val="1"/>
          <w:color w:val="auto"/>
        </w:rPr>
        <w:t>Sales Agreement</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For the purpose of giving the opinion set forth below, we have examined copies of documents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set out in the schedule A attached hereto (the “</w:t>
      </w: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We have made no searches or enquiries concerning the Company or any other person or entity, and we have examined no corporate records of the foresaid, save for those searches, enquiries, instruments, documents, or corporate records expressly specified as being made or examined in this opinion. Subject to the foregoing, we have reviewed exclusively those provisions of the law of the Republic of Italy that we have considered appropriate for the purpose of this opinion.</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This letter, the opinions given in it, and any non-contractual obligations arising out of or in connection with this letter and/or the opinions given in it, are governed by, and to be construed in accordance with, Italian law and relate only to Italian law as applied by the Italian courts, including the laws of the European Union to the extent having the force of law in Italy, as at today’s date.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In this legal opinion, Italian legal concepts are expressed in English terms and not in their original Italian language. The concepts concerned may not be identical to the concepts described by the same English terms as they exist under the laws of other jurisdictions. This legal opinion may, therefore, only be relied upon under the express condition that any issues of interpretation or liability arising hereunder will be governed by Italian law and that any dispute arising out of or in connection with this legal opinion shall be subject to the exclusive jurisdiction of the Court of Milan.</w:t>
      </w:r>
    </w:p>
    <w:p>
      <w:pPr>
        <w:spacing w:after="0" w:line="180" w:lineRule="exact"/>
        <w:rPr>
          <w:sz w:val="20"/>
          <w:szCs w:val="20"/>
          <w:color w:val="auto"/>
        </w:rPr>
      </w:pPr>
    </w:p>
    <w:tbl>
      <w:tblPr>
        <w:tblLayout w:type="fixed"/>
        <w:tblInd w:w="424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ia dei</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ossi</w:t>
            </w:r>
            <w:r>
              <w:rPr>
                <w:rFonts w:ascii="Times New Roman" w:cs="Times New Roman" w:eastAsia="Times New Roman" w:hAnsi="Times New Roman"/>
                <w:sz w:val="18"/>
                <w:szCs w:val="18"/>
                <w:color w:val="auto"/>
              </w:rPr>
              <w:t>, 4 – 20121 M</w:t>
            </w:r>
            <w:r>
              <w:rPr>
                <w:rFonts w:ascii="Times New Roman" w:cs="Times New Roman" w:eastAsia="Times New Roman" w:hAnsi="Times New Roman"/>
                <w:sz w:val="12"/>
                <w:szCs w:val="12"/>
                <w:color w:val="auto"/>
              </w:rPr>
              <w:t>ilano</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jc w:val="center"/>
        <w:ind w:right="4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el</w:t>
      </w:r>
      <w:r>
        <w:rPr>
          <w:rFonts w:ascii="Times New Roman" w:cs="Times New Roman" w:eastAsia="Times New Roman" w:hAnsi="Times New Roman"/>
          <w:sz w:val="18"/>
          <w:szCs w:val="18"/>
          <w:color w:val="auto"/>
        </w:rPr>
        <w:t>.: +39 02 9769 7800 – F</w:t>
      </w:r>
      <w:r>
        <w:rPr>
          <w:rFonts w:ascii="Times New Roman" w:cs="Times New Roman" w:eastAsia="Times New Roman" w:hAnsi="Times New Roman"/>
          <w:sz w:val="12"/>
          <w:szCs w:val="12"/>
          <w:color w:val="auto"/>
        </w:rPr>
        <w:t>ax</w:t>
      </w:r>
      <w:r>
        <w:rPr>
          <w:rFonts w:ascii="Times New Roman" w:cs="Times New Roman" w:eastAsia="Times New Roman" w:hAnsi="Times New Roman"/>
          <w:sz w:val="18"/>
          <w:szCs w:val="18"/>
          <w:color w:val="auto"/>
        </w:rPr>
        <w:t>: +39 02 8718 1445</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odice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iscale e</w:t>
      </w:r>
      <w:r>
        <w:rPr>
          <w:rFonts w:ascii="Times New Roman" w:cs="Times New Roman" w:eastAsia="Times New Roman" w:hAnsi="Times New Roman"/>
          <w:sz w:val="18"/>
          <w:szCs w:val="18"/>
          <w:color w:val="auto"/>
        </w:rPr>
        <w:t xml:space="preserve"> P.I</w:t>
      </w:r>
      <w:r>
        <w:rPr>
          <w:rFonts w:ascii="Times New Roman" w:cs="Times New Roman" w:eastAsia="Times New Roman" w:hAnsi="Times New Roman"/>
          <w:sz w:val="12"/>
          <w:szCs w:val="12"/>
          <w:color w:val="auto"/>
        </w:rPr>
        <w:t>va</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at</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08347040969</w:t>
      </w:r>
    </w:p>
    <w:p>
      <w:pPr>
        <w:spacing w:after="0" w:line="2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www.galaw.it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In giving this opinion, we have assumed that:</w:t>
      </w:r>
    </w:p>
    <w:p>
      <w:pPr>
        <w:spacing w:after="0" w:line="225"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2.1.1.</w:t>
        <w:tab/>
        <w:t>all Documents submitted to us as copy or specimen documents are conformed to their originals, and the originals are genuine, updated and complete;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color w:val="auto"/>
        </w:rPr>
        <w:t>the signatures stamps and seals on the originals of all Documents submitted to us are genuine;</w:t>
      </w:r>
    </w:p>
    <w:p>
      <w:pPr>
        <w:spacing w:after="0" w:line="225" w:lineRule="exact"/>
        <w:rPr>
          <w:sz w:val="20"/>
          <w:szCs w:val="20"/>
          <w:color w:val="auto"/>
        </w:rPr>
      </w:pPr>
    </w:p>
    <w:p>
      <w:pPr>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2.1.3.</w:t>
        <w:tab/>
        <w:t>all statements contained in the Registration Statement, the Base Prospectus and the Prospectus Supplement and in the Documents were true and accurate when made and remain true and accurate;</w:t>
      </w:r>
    </w:p>
    <w:p>
      <w:pPr>
        <w:spacing w:after="0" w:line="162"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2.1.4.</w:t>
        <w:tab/>
        <w:t>a warranty by the Company that it is not aware, or has no notice, of any act, matter, thing or circumstance means that the same does not exist or has not occurred;</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2.1.5.</w:t>
        <w:tab/>
        <w:t>there has not been any amendment to the bylaws of the Company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referred to and defined in Schedule A under point (i);</w:t>
      </w:r>
    </w:p>
    <w:p>
      <w:pPr>
        <w:spacing w:after="0" w:line="229" w:lineRule="exact"/>
        <w:rPr>
          <w:sz w:val="20"/>
          <w:szCs w:val="20"/>
          <w:color w:val="auto"/>
        </w:rPr>
      </w:pPr>
    </w:p>
    <w:p>
      <w:pPr>
        <w:jc w:val="right"/>
        <w:ind w:left="660"/>
        <w:spacing w:after="0" w:line="261" w:lineRule="auto"/>
        <w:rPr>
          <w:sz w:val="20"/>
          <w:szCs w:val="20"/>
          <w:color w:val="auto"/>
        </w:rPr>
      </w:pPr>
      <w:r>
        <w:rPr>
          <w:rFonts w:ascii="Times New Roman" w:cs="Times New Roman" w:eastAsia="Times New Roman" w:hAnsi="Times New Roman"/>
          <w:sz w:val="18"/>
          <w:szCs w:val="18"/>
          <w:color w:val="auto"/>
        </w:rPr>
        <w:t>2.1.6.   the meeting of the Company referred to in Schedule A under point (ii) was duly convened and held and all formalities required to be fulfilled prior to the convening of such meeting were fulfilled, and the resolution of the Company referred to in Schedule A under point</w:t>
      </w:r>
    </w:p>
    <w:p>
      <w:pPr>
        <w:ind w:left="1300" w:firstLine="4"/>
        <w:spacing w:after="0" w:line="260" w:lineRule="auto"/>
        <w:tabs>
          <w:tab w:leader="none" w:pos="15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duly passed and up to the date hereof has not been revoked, superseded, challenged, or amended, in full or in part, and is still in force;</w:t>
      </w:r>
    </w:p>
    <w:p>
      <w:pPr>
        <w:spacing w:after="0" w:line="181"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2.1.7.</w:t>
        <w:tab/>
        <w:t>at such meeting of the Company referred to in Schedule A under point (ii), the shareholders authorized the Board of Directors, for a five-year period starting from the date of such meeting, to increase the share capital against payment, in one or more instalments and on a divisible basis, up to a maximum amount of EUR 300,000,000 (including premium), by issuance of a maximum number of 30,000,000 new ordinary shares without par value and with regular dividend entitlement, also without pre-emption right or free of charge, or otherwise for the five-year period, also in support of third-party grants of participating interests and/or industrial and intellectual property rights and similar intangible assets (such as patents, marks and know-how) which can be granted and held by the Board of Directors itself in pursuit of the corporate object (the “</w:t>
      </w:r>
      <w:r>
        <w:rPr>
          <w:rFonts w:ascii="Times New Roman" w:cs="Times New Roman" w:eastAsia="Times New Roman" w:hAnsi="Times New Roman"/>
          <w:sz w:val="18"/>
          <w:szCs w:val="18"/>
          <w:b w:val="1"/>
          <w:bCs w:val="1"/>
          <w:color w:val="auto"/>
        </w:rPr>
        <w:t>Capital Increase Authorization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2.1.8.</w:t>
        <w:tab/>
        <w:t>the meetings of the Board of Directors of the Company referred to in Schedule A under point (iii) and (iv) were duly convened and held and all formalities required to be fulfilled prior to the convening of such meeting were fulfilled, and the resolutions of the Board of Directors of the Company referred to in Schedule A under point (iii) and (iv) were duly passed and up to the date hereof have not been revoked, superseded, challenged, or amended, in full or in part, and are still in force;</w:t>
      </w:r>
    </w:p>
    <w:p>
      <w:pPr>
        <w:spacing w:after="0" w:line="180"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2.1.9.</w:t>
        <w:tab/>
        <w:t>at such meeting of the Board of Directors of the Company referred to in Schedule A under point (iii), the Board of Directors resolved, in accordance with the Capital Increase Authorization, to increase the share capital, within the final term of May 31, 2026, up to a maximum amount equal to the equivalent in euros of USD 30,000,000 (including share premium), to be determined according to the exchange rate existing on the date of each transaction carried out pursuant to the Prospectus, by issuance of a maximum number of new ordinary shares to be determined according to the ratio between the maximum amount of the such capital increase and the price at which the new ordinary shares will be, from time to time, issued, such latter price determined in accordance with methodologies usual applied for this type of transaction, to the service of the Placement Shares provided by the Sales Agreement (the “</w:t>
      </w:r>
      <w:r>
        <w:rPr>
          <w:rFonts w:ascii="Times New Roman" w:cs="Times New Roman" w:eastAsia="Times New Roman" w:hAnsi="Times New Roman"/>
          <w:sz w:val="18"/>
          <w:szCs w:val="18"/>
          <w:b w:val="1"/>
          <w:bCs w:val="1"/>
          <w:color w:val="auto"/>
        </w:rPr>
        <w:t>Capital Increase Resolution</w:t>
      </w:r>
      <w:r>
        <w:rPr>
          <w:rFonts w:ascii="Times New Roman" w:cs="Times New Roman" w:eastAsia="Times New Roman" w:hAnsi="Times New Roman"/>
          <w:sz w:val="18"/>
          <w:szCs w:val="18"/>
          <w:color w:val="auto"/>
        </w:rPr>
        <w:t>”);</w:t>
      </w:r>
    </w:p>
    <w:p>
      <w:pPr>
        <w:spacing w:after="0" w:line="189" w:lineRule="exact"/>
        <w:rPr>
          <w:sz w:val="20"/>
          <w:szCs w:val="20"/>
          <w:color w:val="auto"/>
        </w:rPr>
      </w:pPr>
    </w:p>
    <w:tbl>
      <w:tblPr>
        <w:tblLayout w:type="fixed"/>
        <w:tblInd w:w="424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ia dei</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ossi</w:t>
            </w:r>
            <w:r>
              <w:rPr>
                <w:rFonts w:ascii="Times New Roman" w:cs="Times New Roman" w:eastAsia="Times New Roman" w:hAnsi="Times New Roman"/>
                <w:sz w:val="18"/>
                <w:szCs w:val="18"/>
                <w:color w:val="auto"/>
              </w:rPr>
              <w:t>, 4 – 20121 M</w:t>
            </w:r>
            <w:r>
              <w:rPr>
                <w:rFonts w:ascii="Times New Roman" w:cs="Times New Roman" w:eastAsia="Times New Roman" w:hAnsi="Times New Roman"/>
                <w:sz w:val="12"/>
                <w:szCs w:val="12"/>
                <w:color w:val="auto"/>
              </w:rPr>
              <w:t>ilano</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jc w:val="center"/>
        <w:ind w:right="4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el</w:t>
      </w:r>
      <w:r>
        <w:rPr>
          <w:rFonts w:ascii="Times New Roman" w:cs="Times New Roman" w:eastAsia="Times New Roman" w:hAnsi="Times New Roman"/>
          <w:sz w:val="18"/>
          <w:szCs w:val="18"/>
          <w:color w:val="auto"/>
        </w:rPr>
        <w:t>.: +39 02 9769 7800 – F</w:t>
      </w:r>
      <w:r>
        <w:rPr>
          <w:rFonts w:ascii="Times New Roman" w:cs="Times New Roman" w:eastAsia="Times New Roman" w:hAnsi="Times New Roman"/>
          <w:sz w:val="12"/>
          <w:szCs w:val="12"/>
          <w:color w:val="auto"/>
        </w:rPr>
        <w:t>ax</w:t>
      </w:r>
      <w:r>
        <w:rPr>
          <w:rFonts w:ascii="Times New Roman" w:cs="Times New Roman" w:eastAsia="Times New Roman" w:hAnsi="Times New Roman"/>
          <w:sz w:val="18"/>
          <w:szCs w:val="18"/>
          <w:color w:val="auto"/>
        </w:rPr>
        <w:t>: +39 02 8718 1445</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odice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iscale e</w:t>
      </w:r>
      <w:r>
        <w:rPr>
          <w:rFonts w:ascii="Times New Roman" w:cs="Times New Roman" w:eastAsia="Times New Roman" w:hAnsi="Times New Roman"/>
          <w:sz w:val="18"/>
          <w:szCs w:val="18"/>
          <w:color w:val="auto"/>
        </w:rPr>
        <w:t xml:space="preserve"> P.I</w:t>
      </w:r>
      <w:r>
        <w:rPr>
          <w:rFonts w:ascii="Times New Roman" w:cs="Times New Roman" w:eastAsia="Times New Roman" w:hAnsi="Times New Roman"/>
          <w:sz w:val="12"/>
          <w:szCs w:val="12"/>
          <w:color w:val="auto"/>
        </w:rPr>
        <w:t>va</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at</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08347040969</w:t>
      </w:r>
    </w:p>
    <w:p>
      <w:pPr>
        <w:spacing w:after="0" w:line="2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www.galaw.it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50" w:name="page51"/>
    <w:bookmarkEnd w:id="50"/>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2.1.10.</w:t>
        <w:tab/>
        <w:t>no offer whatsoever of Placement Shares will take place in the Republic of Italy and/or in the European Union or, in the event such offer takes place in the Republic of Italy and/or in the European Union, the same will not be qualified as offer to the public, pursuant to article 100 of Legislative Decree 58/1998, article 34-ter of the Consob Regulations 11971/99 and article 1, paragraph 4, of Regulation (EU) 2017/1129, as amended from time to time;</w:t>
      </w:r>
    </w:p>
    <w:p>
      <w:pPr>
        <w:spacing w:after="0" w:line="180"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2.1.11.</w:t>
        <w:tab/>
        <w:t>for the purposes of this opinion, the term “non-assessable” used under paragraph 3.1(a) below means that the owner of the Placement Shares cannot be required by the Company to pay additional amounts for its Placement Shares once the subscription price is fully and duly paid; and</w:t>
      </w:r>
    </w:p>
    <w:p>
      <w:pPr>
        <w:spacing w:after="0" w:line="176"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2.1.12.</w:t>
        <w:tab/>
        <w:t>there are no facts, documents, circumstances or matters which may be material to the opinions set out herein and which have not been disclosed to us by the Company, notwithstanding our reasonable inquiry.</w:t>
      </w:r>
    </w:p>
    <w:p>
      <w:pPr>
        <w:spacing w:after="0" w:line="162"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We express no opinion as to any laws other than the laws of Italy in force at the date hereof and we have assumed that none of the opinions expressed below will be affected by the laws of any jurisdiction other than the Republic of Italy. “</w:t>
      </w:r>
      <w:r>
        <w:rPr>
          <w:rFonts w:ascii="Times New Roman" w:cs="Times New Roman" w:eastAsia="Times New Roman" w:hAnsi="Times New Roman"/>
          <w:sz w:val="18"/>
          <w:szCs w:val="18"/>
          <w:b w:val="1"/>
          <w:bCs w:val="1"/>
          <w:color w:val="auto"/>
        </w:rPr>
        <w:t>Generally Applicable Law</w:t>
      </w:r>
      <w:r>
        <w:rPr>
          <w:rFonts w:ascii="Times New Roman" w:cs="Times New Roman" w:eastAsia="Times New Roman" w:hAnsi="Times New Roman"/>
          <w:sz w:val="18"/>
          <w:szCs w:val="18"/>
          <w:color w:val="auto"/>
        </w:rPr>
        <w:t>” means the laws of the Republic of Italy (including the rules or regulations promulgated thereunder or pursuant thereto), that an Italian lawyer exercising customary professional diligence would reasonably be expected to recognize as being applicable to the Company or the Placement Shares. Without limiting the generality of the foregoing definition of Generally Applicable Law, the term “</w:t>
      </w:r>
      <w:r>
        <w:rPr>
          <w:rFonts w:ascii="Times New Roman" w:cs="Times New Roman" w:eastAsia="Times New Roman" w:hAnsi="Times New Roman"/>
          <w:sz w:val="18"/>
          <w:szCs w:val="18"/>
          <w:b w:val="1"/>
          <w:bCs w:val="1"/>
          <w:color w:val="auto"/>
        </w:rPr>
        <w:t>Generally Applicable Law</w:t>
      </w:r>
      <w:r>
        <w:rPr>
          <w:rFonts w:ascii="Times New Roman" w:cs="Times New Roman" w:eastAsia="Times New Roman" w:hAnsi="Times New Roman"/>
          <w:sz w:val="18"/>
          <w:szCs w:val="18"/>
          <w:color w:val="auto"/>
        </w:rPr>
        <w:t>” does not include any law, rule or regulation that is applicable to the Company solely because of the specific assets or business of the Company or any of its affiliates. In particular, we have made no independent investigation of the laws of the State of New York as a basis for the opinion stated herein and do not express or imply any opinion on such laws.</w:t>
      </w:r>
    </w:p>
    <w:p>
      <w:pPr>
        <w:spacing w:after="0" w:line="188"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Based and relying upon the foregoing and subject to the assumptions, qualifications and reservations contained herein and to any matter not disclosed to us, we are of the opinion that:</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as at today’s date, the Placement Shares, if and when allotted and issued, registered in the name of the recipient in the electronic books and registers of the relevant intermediaries and delivered as described in the Registration Statement and the Prospectus will be duly and validly authorized and issued, fully paid or credited as fully paid (subject to the receipt of valid consideration by the Company for the issue thereof in connection with the offering pursuant to the Sales Agreement as set forth in the Registration Statement and the Prospectus) and will not be subject to any call for payment of further capital in connection therewith.</w:t>
      </w:r>
    </w:p>
    <w:p>
      <w:pPr>
        <w:spacing w:after="0" w:line="183" w:lineRule="exact"/>
        <w:rPr>
          <w:sz w:val="20"/>
          <w:szCs w:val="20"/>
          <w:color w:val="auto"/>
        </w:rPr>
      </w:pPr>
    </w:p>
    <w:tbl>
      <w:tblPr>
        <w:tblLayout w:type="fixed"/>
        <w:tblInd w:w="424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ia dei</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ossi</w:t>
            </w:r>
            <w:r>
              <w:rPr>
                <w:rFonts w:ascii="Times New Roman" w:cs="Times New Roman" w:eastAsia="Times New Roman" w:hAnsi="Times New Roman"/>
                <w:sz w:val="18"/>
                <w:szCs w:val="18"/>
                <w:color w:val="auto"/>
              </w:rPr>
              <w:t>, 4 – 20121 M</w:t>
            </w:r>
            <w:r>
              <w:rPr>
                <w:rFonts w:ascii="Times New Roman" w:cs="Times New Roman" w:eastAsia="Times New Roman" w:hAnsi="Times New Roman"/>
                <w:sz w:val="12"/>
                <w:szCs w:val="12"/>
                <w:color w:val="auto"/>
              </w:rPr>
              <w:t>ilano</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jc w:val="center"/>
        <w:ind w:right="4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el</w:t>
      </w:r>
      <w:r>
        <w:rPr>
          <w:rFonts w:ascii="Times New Roman" w:cs="Times New Roman" w:eastAsia="Times New Roman" w:hAnsi="Times New Roman"/>
          <w:sz w:val="18"/>
          <w:szCs w:val="18"/>
          <w:color w:val="auto"/>
        </w:rPr>
        <w:t>.: +39 02 9769 7800 – F</w:t>
      </w:r>
      <w:r>
        <w:rPr>
          <w:rFonts w:ascii="Times New Roman" w:cs="Times New Roman" w:eastAsia="Times New Roman" w:hAnsi="Times New Roman"/>
          <w:sz w:val="12"/>
          <w:szCs w:val="12"/>
          <w:color w:val="auto"/>
        </w:rPr>
        <w:t>ax</w:t>
      </w:r>
      <w:r>
        <w:rPr>
          <w:rFonts w:ascii="Times New Roman" w:cs="Times New Roman" w:eastAsia="Times New Roman" w:hAnsi="Times New Roman"/>
          <w:sz w:val="18"/>
          <w:szCs w:val="18"/>
          <w:color w:val="auto"/>
        </w:rPr>
        <w:t>: +39 02 8718 1445</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odice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iscale e</w:t>
      </w:r>
      <w:r>
        <w:rPr>
          <w:rFonts w:ascii="Times New Roman" w:cs="Times New Roman" w:eastAsia="Times New Roman" w:hAnsi="Times New Roman"/>
          <w:sz w:val="18"/>
          <w:szCs w:val="18"/>
          <w:color w:val="auto"/>
        </w:rPr>
        <w:t xml:space="preserve"> P.I</w:t>
      </w:r>
      <w:r>
        <w:rPr>
          <w:rFonts w:ascii="Times New Roman" w:cs="Times New Roman" w:eastAsia="Times New Roman" w:hAnsi="Times New Roman"/>
          <w:sz w:val="12"/>
          <w:szCs w:val="12"/>
          <w:color w:val="auto"/>
        </w:rPr>
        <w:t>va</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at</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08347040969</w:t>
      </w:r>
    </w:p>
    <w:p>
      <w:pPr>
        <w:spacing w:after="0" w:line="2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www.galaw.it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51" w:name="page52"/>
    <w:bookmarkEnd w:id="51"/>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We are giving no opinion either as to (i) the contents of the Registration Statement, the Base Prospectus or the Prospectus Supplement (including any documents incorporated by reference therein), or (ii) bankruptcy, insolvency, liquidation, reorganization moratorium and similar laws of general applicability relating to or affecting the rights of creditors of the Company in general.</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It should be understood that (i) the opinions expressed above are based upon our examination of the Documents listed in Schedule A, as applicable, and (ii) we have not been responsible for investigating or verifying the accuracy of the facts or statements of foreign law, or that no material facts have been omitted from them and express no opinion with respect thereto.</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An Italian court may stay proceedings brought in such court if concurrent proceedings are being brought elsewhere.</w:t>
      </w:r>
    </w:p>
    <w:p>
      <w:pPr>
        <w:spacing w:after="0" w:line="22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Pursuant to Article 2379-</w:t>
      </w:r>
      <w:r>
        <w:rPr>
          <w:rFonts w:ascii="Times New Roman" w:cs="Times New Roman" w:eastAsia="Times New Roman" w:hAnsi="Times New Roman"/>
          <w:sz w:val="18"/>
          <w:szCs w:val="18"/>
          <w:i w:val="1"/>
          <w:iCs w:val="1"/>
          <w:color w:val="auto"/>
        </w:rPr>
        <w:t>ter</w:t>
      </w:r>
      <w:r>
        <w:rPr>
          <w:rFonts w:ascii="Times New Roman" w:cs="Times New Roman" w:eastAsia="Times New Roman" w:hAnsi="Times New Roman"/>
          <w:sz w:val="18"/>
          <w:szCs w:val="18"/>
          <w:color w:val="auto"/>
        </w:rPr>
        <w:t xml:space="preserve"> of the Italian Civil Code, in the event of the lack of call of the relevant meeting, the absence of the minutes of the relevant meeting, the impossibility of the subject of the resolutions and/or if the subject of resolutions is not licit, the resolution adopted by the extraordinary shareholders’ meeting of the Company held on May 20, 2021 may be challenged by any individual/entity having a legitimate interest thereto during the 3 (three) years following the registration of the resolution with the competent Register of Enterprises.</w:t>
      </w:r>
    </w:p>
    <w:p>
      <w:pPr>
        <w:spacing w:after="0" w:line="178"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Reliance</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This opinion is given on the basis that there will be no amendment to or termination or replacement of the Documents, referred to in Schedule A to this opinion and on the basis of the laws of Italy in force as at the date of this opinion. This opinion is also given on the basis that we undertake no responsibility to notify any addressee of this opinion of any change in the laws of Italy after the date of this opinion. We also disclaim any obligation to advise you of facts, circumstances, events or developments which hereafter may be brought to our attention and which may alter, affect or modify the opinion expressed herein.</w:t>
      </w:r>
    </w:p>
    <w:p>
      <w:pPr>
        <w:spacing w:after="0" w:line="183"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This opinion speaks as of its date and is addressed to you solely for your benefit in connection with the obligations of the Company arising from the offer of the Placement Shares. We consent to the filing of this opinion letter as Exhibit 5.1 to the Registration Statement and to the references to this firm under the caption “Legal Matters” in the prospectus which is a part of the Registration Statement. In giving this consent, we do not admit that we are thereby within the category of persons whose consent is required under Section 7 of the Securities Act of 1933 or the rules and regulation thereunder. This opinion is not to be transmitted to anyone else or for any other purpose or quoted or referred to in any public document or filed with anyone without our express consent, except that it may be disclosed to your legal counsel, referred to in any list of closing documents in relation to the offering of the Placement Shares and included in any bible of documents memorializing the offering of the Placement Shares.</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Any issue of liability connected with our rendering this opinion shall be solely subject to the substantive laws of Italy regardless of any reference to the laws of another jurisdiction pursuant to any applicable rule governing conflicts of laws. Any dispute shall be subject to the exclusive jurisdiction of the Court of Milan.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Giovannelli e Associati</w:t>
      </w:r>
    </w:p>
    <w:p>
      <w:pPr>
        <w:spacing w:after="0" w:line="229" w:lineRule="exact"/>
        <w:rPr>
          <w:sz w:val="20"/>
          <w:szCs w:val="20"/>
          <w:color w:val="auto"/>
        </w:rPr>
      </w:pPr>
    </w:p>
    <w:tbl>
      <w:tblPr>
        <w:tblLayout w:type="fixed"/>
        <w:tblInd w:w="424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ia dei</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ossi</w:t>
            </w:r>
            <w:r>
              <w:rPr>
                <w:rFonts w:ascii="Times New Roman" w:cs="Times New Roman" w:eastAsia="Times New Roman" w:hAnsi="Times New Roman"/>
                <w:sz w:val="18"/>
                <w:szCs w:val="18"/>
                <w:color w:val="auto"/>
              </w:rPr>
              <w:t>, 4 – 20121 M</w:t>
            </w:r>
            <w:r>
              <w:rPr>
                <w:rFonts w:ascii="Times New Roman" w:cs="Times New Roman" w:eastAsia="Times New Roman" w:hAnsi="Times New Roman"/>
                <w:sz w:val="12"/>
                <w:szCs w:val="12"/>
                <w:color w:val="auto"/>
              </w:rPr>
              <w:t>ilano</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jc w:val="center"/>
        <w:ind w:right="4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el</w:t>
      </w:r>
      <w:r>
        <w:rPr>
          <w:rFonts w:ascii="Times New Roman" w:cs="Times New Roman" w:eastAsia="Times New Roman" w:hAnsi="Times New Roman"/>
          <w:sz w:val="18"/>
          <w:szCs w:val="18"/>
          <w:color w:val="auto"/>
        </w:rPr>
        <w:t>.: +39 02 9769 7800 – F</w:t>
      </w:r>
      <w:r>
        <w:rPr>
          <w:rFonts w:ascii="Times New Roman" w:cs="Times New Roman" w:eastAsia="Times New Roman" w:hAnsi="Times New Roman"/>
          <w:sz w:val="12"/>
          <w:szCs w:val="12"/>
          <w:color w:val="auto"/>
        </w:rPr>
        <w:t>ax</w:t>
      </w:r>
      <w:r>
        <w:rPr>
          <w:rFonts w:ascii="Times New Roman" w:cs="Times New Roman" w:eastAsia="Times New Roman" w:hAnsi="Times New Roman"/>
          <w:sz w:val="18"/>
          <w:szCs w:val="18"/>
          <w:color w:val="auto"/>
        </w:rPr>
        <w:t>: +39 02 8718 1445</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odice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iscale e</w:t>
      </w:r>
      <w:r>
        <w:rPr>
          <w:rFonts w:ascii="Times New Roman" w:cs="Times New Roman" w:eastAsia="Times New Roman" w:hAnsi="Times New Roman"/>
          <w:sz w:val="18"/>
          <w:szCs w:val="18"/>
          <w:color w:val="auto"/>
        </w:rPr>
        <w:t xml:space="preserve"> P.I</w:t>
      </w:r>
      <w:r>
        <w:rPr>
          <w:rFonts w:ascii="Times New Roman" w:cs="Times New Roman" w:eastAsia="Times New Roman" w:hAnsi="Times New Roman"/>
          <w:sz w:val="12"/>
          <w:szCs w:val="12"/>
          <w:color w:val="auto"/>
        </w:rPr>
        <w:t>va</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at</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08347040969</w:t>
      </w:r>
    </w:p>
    <w:p>
      <w:pPr>
        <w:spacing w:after="0" w:line="2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www.galaw.it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9"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currently effective bylaws;</w:t>
      </w:r>
    </w:p>
    <w:p>
      <w:pPr>
        <w:spacing w:after="0" w:line="223" w:lineRule="exact"/>
        <w:rPr>
          <w:rFonts w:ascii="Times New Roman" w:cs="Times New Roman" w:eastAsia="Times New Roman" w:hAnsi="Times New Roman"/>
          <w:sz w:val="18"/>
          <w:szCs w:val="18"/>
          <w:color w:val="auto"/>
        </w:rPr>
      </w:pPr>
    </w:p>
    <w:p>
      <w:pPr>
        <w:ind w:left="660" w:hanging="652"/>
        <w:spacing w:after="0" w:line="284"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resolutions passed by the shareholders of the Company on May 20, 2021 pursuant to which it was resolved,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to grant the Board of Directors the Capital Increase Authorization;</w:t>
      </w:r>
    </w:p>
    <w:p>
      <w:pPr>
        <w:spacing w:after="0" w:line="16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resolutions passed by the Board of Directors of the Company on May 10, 2023 pursuant to which it was resolved increase the share capital to the service of the Sales Agreement;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resolutions passed by the Board of Directors of the Company on March 28, 2024 pursuant to which it was resolved to grant the powers to enter into the Sales Agreement;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the Base Prospectus and the Prospectus Supplement;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Agreement.</w:t>
      </w:r>
    </w:p>
    <w:p>
      <w:pPr>
        <w:spacing w:after="0" w:line="225" w:lineRule="exact"/>
        <w:rPr>
          <w:sz w:val="20"/>
          <w:szCs w:val="20"/>
          <w:color w:val="auto"/>
        </w:rPr>
      </w:pPr>
    </w:p>
    <w:tbl>
      <w:tblPr>
        <w:tblLayout w:type="fixed"/>
        <w:tblInd w:w="424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ia dei</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ossi</w:t>
            </w:r>
            <w:r>
              <w:rPr>
                <w:rFonts w:ascii="Times New Roman" w:cs="Times New Roman" w:eastAsia="Times New Roman" w:hAnsi="Times New Roman"/>
                <w:sz w:val="18"/>
                <w:szCs w:val="18"/>
                <w:color w:val="auto"/>
              </w:rPr>
              <w:t>, 4 – 20121 M</w:t>
            </w:r>
            <w:r>
              <w:rPr>
                <w:rFonts w:ascii="Times New Roman" w:cs="Times New Roman" w:eastAsia="Times New Roman" w:hAnsi="Times New Roman"/>
                <w:sz w:val="12"/>
                <w:szCs w:val="12"/>
                <w:color w:val="auto"/>
              </w:rPr>
              <w:t>ilano</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jc w:val="center"/>
        <w:ind w:right="4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el</w:t>
      </w:r>
      <w:r>
        <w:rPr>
          <w:rFonts w:ascii="Times New Roman" w:cs="Times New Roman" w:eastAsia="Times New Roman" w:hAnsi="Times New Roman"/>
          <w:sz w:val="18"/>
          <w:szCs w:val="18"/>
          <w:color w:val="auto"/>
        </w:rPr>
        <w:t>.: +39 02 9769 7800 – F</w:t>
      </w:r>
      <w:r>
        <w:rPr>
          <w:rFonts w:ascii="Times New Roman" w:cs="Times New Roman" w:eastAsia="Times New Roman" w:hAnsi="Times New Roman"/>
          <w:sz w:val="12"/>
          <w:szCs w:val="12"/>
          <w:color w:val="auto"/>
        </w:rPr>
        <w:t>ax</w:t>
      </w:r>
      <w:r>
        <w:rPr>
          <w:rFonts w:ascii="Times New Roman" w:cs="Times New Roman" w:eastAsia="Times New Roman" w:hAnsi="Times New Roman"/>
          <w:sz w:val="18"/>
          <w:szCs w:val="18"/>
          <w:color w:val="auto"/>
        </w:rPr>
        <w:t>: +39 02 8718 1445</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odice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iscale e</w:t>
      </w:r>
      <w:r>
        <w:rPr>
          <w:rFonts w:ascii="Times New Roman" w:cs="Times New Roman" w:eastAsia="Times New Roman" w:hAnsi="Times New Roman"/>
          <w:sz w:val="18"/>
          <w:szCs w:val="18"/>
          <w:color w:val="auto"/>
        </w:rPr>
        <w:t xml:space="preserve"> P.I</w:t>
      </w:r>
      <w:r>
        <w:rPr>
          <w:rFonts w:ascii="Times New Roman" w:cs="Times New Roman" w:eastAsia="Times New Roman" w:hAnsi="Times New Roman"/>
          <w:sz w:val="12"/>
          <w:szCs w:val="12"/>
          <w:color w:val="auto"/>
        </w:rPr>
        <w:t>va</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at</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08347040969</w:t>
      </w:r>
    </w:p>
    <w:p>
      <w:pPr>
        <w:spacing w:after="0" w:line="2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www.galaw.it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1"/>
    </w:lvl>
  </w:abstractNum>
  <w:abstractNum w:abstractNumId="1">
    <w:nsid w:val="189A769B"/>
    <w:multiLevelType w:val="hybridMultilevel"/>
    <w:lvl w:ilvl="0">
      <w:lvlJc w:val="left"/>
      <w:lvlText w:val="%1."/>
      <w:numFmt w:val="decimal"/>
      <w:start w:val="2"/>
    </w:lvl>
  </w:abstractNum>
  <w:abstractNum w:abstractNumId="2">
    <w:nsid w:val="54E49EB4"/>
    <w:multiLevelType w:val="hybridMultilevel"/>
    <w:lvl w:ilvl="0">
      <w:lvlJc w:val="left"/>
      <w:lvlText w:val="%1."/>
      <w:numFmt w:val="decimal"/>
      <w:start w:val="4"/>
    </w:lvl>
    <w:lvl w:ilvl="1">
      <w:lvlJc w:val="left"/>
      <w:lvlText w:val="(%2)"/>
      <w:numFmt w:val="lowerLetter"/>
      <w:start w:val="1"/>
    </w:lvl>
  </w:abstractNum>
  <w:abstractNum w:abstractNumId="3">
    <w:nsid w:val="71F32454"/>
    <w:multiLevelType w:val="hybridMultilevel"/>
    <w:lvl w:ilvl="0">
      <w:lvlJc w:val="left"/>
      <w:lvlText w:val="(%1)"/>
      <w:numFmt w:val="lowerLetter"/>
      <w:start w:val="3"/>
    </w:lvl>
  </w:abstractNum>
  <w:abstractNum w:abstractNumId="4">
    <w:nsid w:val="2CA88611"/>
    <w:multiLevelType w:val="hybridMultilevel"/>
    <w:lvl w:ilvl="0">
      <w:lvlJc w:val="left"/>
      <w:lvlText w:val="%1."/>
      <w:numFmt w:val="decimal"/>
      <w:start w:val="6"/>
    </w:lvl>
    <w:lvl w:ilvl="1">
      <w:lvlJc w:val="left"/>
      <w:lvlText w:val="(%2)"/>
      <w:numFmt w:val="lowerLetter"/>
      <w:start w:val="1"/>
    </w:lvl>
  </w:abstractNum>
  <w:abstractNum w:abstractNumId="5">
    <w:nsid w:val="836C40E"/>
    <w:multiLevelType w:val="hybridMultilevel"/>
    <w:lvl w:ilvl="0">
      <w:lvlJc w:val="left"/>
      <w:lvlText w:val="(%1)"/>
      <w:numFmt w:val="lowerLetter"/>
      <w:start w:val="3"/>
    </w:lvl>
  </w:abstractNum>
  <w:abstractNum w:abstractNumId="6">
    <w:nsid w:val="2901D82"/>
    <w:multiLevelType w:val="hybridMultilevel"/>
    <w:lvl w:ilvl="0">
      <w:lvlJc w:val="left"/>
      <w:lvlText w:val="(%1)"/>
      <w:numFmt w:val="lowerLetter"/>
      <w:start w:val="7"/>
    </w:lvl>
  </w:abstractNum>
  <w:abstractNum w:abstractNumId="7">
    <w:nsid w:val="3A95F874"/>
    <w:multiLevelType w:val="hybridMultilevel"/>
    <w:lvl w:ilvl="0">
      <w:lvlJc w:val="left"/>
      <w:lvlText w:val="(%1)"/>
      <w:numFmt w:val="lowerLetter"/>
      <w:start w:val="14"/>
    </w:lvl>
  </w:abstractNum>
  <w:abstractNum w:abstractNumId="8">
    <w:nsid w:val="8138641"/>
    <w:multiLevelType w:val="hybridMultilevel"/>
    <w:lvl w:ilvl="0">
      <w:lvlJc w:val="left"/>
      <w:lvlText w:val="(%1)"/>
      <w:numFmt w:val="lowerLetter"/>
      <w:start w:val="20"/>
    </w:lvl>
  </w:abstractNum>
  <w:abstractNum w:abstractNumId="9">
    <w:nsid w:val="1E7FF521"/>
    <w:multiLevelType w:val="hybridMultilevel"/>
    <w:lvl w:ilvl="0">
      <w:lvlJc w:val="left"/>
      <w:lvlText w:val="(%1)"/>
      <w:numFmt w:val="lowerLetter"/>
      <w:start w:val="26"/>
    </w:lvl>
  </w:abstractNum>
  <w:abstractNum w:abstractNumId="10">
    <w:nsid w:val="7C3DBD3D"/>
    <w:multiLevelType w:val="hybridMultilevel"/>
    <w:lvl w:ilvl="0">
      <w:lvlJc w:val="left"/>
      <w:lvlText w:val="(%1)"/>
      <w:numFmt w:val="lowerLetter"/>
      <w:start w:val="27"/>
    </w:lvl>
  </w:abstractNum>
  <w:abstractNum w:abstractNumId="11">
    <w:nsid w:val="737B8DDC"/>
    <w:multiLevelType w:val="hybridMultilevel"/>
    <w:lvl w:ilvl="0">
      <w:lvlJc w:val="left"/>
      <w:lvlText w:val="(%1)"/>
      <w:numFmt w:val="lowerLetter"/>
      <w:start w:val="31"/>
    </w:lvl>
  </w:abstractNum>
  <w:abstractNum w:abstractNumId="12">
    <w:nsid w:val="6CEAF087"/>
    <w:multiLevelType w:val="hybridMultilevel"/>
    <w:lvl w:ilvl="0">
      <w:lvlJc w:val="left"/>
      <w:lvlText w:val="(%1)"/>
      <w:numFmt w:val="lowerLetter"/>
      <w:start w:val="35"/>
    </w:lvl>
  </w:abstractNum>
  <w:abstractNum w:abstractNumId="13">
    <w:nsid w:val="22221A70"/>
    <w:multiLevelType w:val="hybridMultilevel"/>
    <w:lvl w:ilvl="0">
      <w:lvlJc w:val="left"/>
      <w:lvlText w:val="(%1)"/>
      <w:numFmt w:val="lowerLetter"/>
      <w:start w:val="39"/>
    </w:lvl>
  </w:abstractNum>
  <w:abstractNum w:abstractNumId="14">
    <w:nsid w:val="4516DDE9"/>
    <w:multiLevelType w:val="hybridMultilevel"/>
    <w:lvl w:ilvl="0">
      <w:lvlJc w:val="left"/>
      <w:lvlText w:val="(%1)"/>
      <w:numFmt w:val="lowerLetter"/>
      <w:start w:val="43"/>
    </w:lvl>
  </w:abstractNum>
  <w:abstractNum w:abstractNumId="15">
    <w:nsid w:val="3006C83E"/>
    <w:multiLevelType w:val="hybridMultilevel"/>
    <w:lvl w:ilvl="0">
      <w:lvlJc w:val="left"/>
      <w:lvlText w:val="(%1)"/>
      <w:numFmt w:val="lowerLetter"/>
      <w:start w:val="44"/>
    </w:lvl>
  </w:abstractNum>
  <w:abstractNum w:abstractNumId="16">
    <w:nsid w:val="614FD4A1"/>
    <w:multiLevelType w:val="hybridMultilevel"/>
    <w:lvl w:ilvl="0">
      <w:lvlJc w:val="left"/>
      <w:lvlText w:val="(%1)"/>
      <w:numFmt w:val="lowerLetter"/>
      <w:start w:val="46"/>
    </w:lvl>
  </w:abstractNum>
  <w:abstractNum w:abstractNumId="17">
    <w:nsid w:val="419AC241"/>
    <w:multiLevelType w:val="hybridMultilevel"/>
    <w:lvl w:ilvl="0">
      <w:lvlJc w:val="left"/>
      <w:lvlText w:val="(%1)"/>
      <w:numFmt w:val="lowerLetter"/>
      <w:start w:val="48"/>
    </w:lvl>
  </w:abstractNum>
  <w:abstractNum w:abstractNumId="18">
    <w:nsid w:val="5577F8E1"/>
    <w:multiLevelType w:val="hybridMultilevel"/>
    <w:lvl w:ilvl="0">
      <w:lvlJc w:val="left"/>
      <w:lvlText w:val="(%1)"/>
      <w:numFmt w:val="lowerLetter"/>
      <w:start w:val="53"/>
    </w:lvl>
  </w:abstractNum>
  <w:abstractNum w:abstractNumId="19">
    <w:nsid w:val="440BADFC"/>
    <w:multiLevelType w:val="hybridMultilevel"/>
    <w:lvl w:ilvl="0">
      <w:lvlJc w:val="left"/>
      <w:lvlText w:val="%1."/>
      <w:numFmt w:val="decimal"/>
      <w:start w:val="7"/>
    </w:lvl>
    <w:lvl w:ilvl="1">
      <w:lvlJc w:val="left"/>
      <w:lvlText w:val="(%2)"/>
      <w:numFmt w:val="lowerLetter"/>
      <w:start w:val="1"/>
    </w:lvl>
  </w:abstractNum>
  <w:abstractNum w:abstractNumId="20">
    <w:nsid w:val="5072367"/>
    <w:multiLevelType w:val="hybridMultilevel"/>
    <w:lvl w:ilvl="0">
      <w:lvlJc w:val="left"/>
      <w:lvlText w:val="(%1)"/>
      <w:numFmt w:val="lowerLetter"/>
      <w:start w:val="2"/>
    </w:lvl>
  </w:abstractNum>
  <w:abstractNum w:abstractNumId="21">
    <w:nsid w:val="3804823E"/>
    <w:multiLevelType w:val="hybridMultilevel"/>
    <w:lvl w:ilvl="0">
      <w:lvlJc w:val="left"/>
      <w:lvlText w:val="(%1)"/>
      <w:numFmt w:val="lowerLetter"/>
      <w:start w:val="6"/>
    </w:lvl>
  </w:abstractNum>
  <w:abstractNum w:abstractNumId="22">
    <w:nsid w:val="77465F01"/>
    <w:multiLevelType w:val="hybridMultilevel"/>
    <w:lvl w:ilvl="0">
      <w:lvlJc w:val="left"/>
      <w:lvlText w:val="%1"/>
      <w:numFmt w:val="lowerRoman"/>
      <w:start w:val="1"/>
    </w:lvl>
    <w:lvl w:ilvl="1">
      <w:lvlJc w:val="left"/>
      <w:lvlText w:val="(%2)"/>
      <w:numFmt w:val="lowerLetter"/>
      <w:start w:val="9"/>
    </w:lvl>
  </w:abstractNum>
  <w:abstractNum w:abstractNumId="23">
    <w:nsid w:val="7724C67E"/>
    <w:multiLevelType w:val="hybridMultilevel"/>
    <w:lvl w:ilvl="0">
      <w:lvlJc w:val="left"/>
      <w:lvlText w:val="(%1)"/>
      <w:numFmt w:val="lowerRoman"/>
      <w:start w:val="1"/>
    </w:lvl>
    <w:lvl w:ilvl="1">
      <w:lvlJc w:val="left"/>
      <w:lvlText w:val="%2"/>
      <w:numFmt w:val="lowerLetter"/>
      <w:start w:val="1"/>
    </w:lvl>
  </w:abstractNum>
  <w:abstractNum w:abstractNumId="24">
    <w:nsid w:val="5C482A97"/>
    <w:multiLevelType w:val="hybridMultilevel"/>
    <w:lvl w:ilvl="0">
      <w:lvlJc w:val="left"/>
      <w:lvlText w:val="(%1)"/>
      <w:numFmt w:val="lowerRoman"/>
      <w:start w:val="4"/>
    </w:lvl>
    <w:lvl w:ilvl="1">
      <w:lvlJc w:val="left"/>
      <w:lvlText w:val="%2"/>
      <w:numFmt w:val="lowerLetter"/>
      <w:start w:val="1"/>
    </w:lvl>
  </w:abstractNum>
  <w:abstractNum w:abstractNumId="25">
    <w:nsid w:val="2463B9EA"/>
    <w:multiLevelType w:val="hybridMultilevel"/>
    <w:lvl w:ilvl="0">
      <w:lvlJc w:val="left"/>
      <w:lvlText w:val="(%1)"/>
      <w:numFmt w:val="lowerLetter"/>
      <w:start w:val="13"/>
    </w:lvl>
  </w:abstractNum>
  <w:abstractNum w:abstractNumId="26">
    <w:nsid w:val="5E884ADC"/>
    <w:multiLevelType w:val="hybridMultilevel"/>
    <w:lvl w:ilvl="0">
      <w:lvlJc w:val="left"/>
      <w:lvlText w:val="(%1)"/>
      <w:numFmt w:val="lowerLetter"/>
      <w:start w:val="15"/>
    </w:lvl>
  </w:abstractNum>
  <w:abstractNum w:abstractNumId="27">
    <w:nsid w:val="51EAD36B"/>
    <w:multiLevelType w:val="hybridMultilevel"/>
    <w:lvl w:ilvl="0">
      <w:lvlJc w:val="left"/>
      <w:lvlText w:val="(%1)"/>
      <w:numFmt w:val="lowerLetter"/>
      <w:start w:val="20"/>
    </w:lvl>
  </w:abstractNum>
  <w:abstractNum w:abstractNumId="28">
    <w:nsid w:val="2D517796"/>
    <w:multiLevelType w:val="hybridMultilevel"/>
    <w:lvl w:ilvl="0">
      <w:lvlJc w:val="left"/>
      <w:lvlText w:val="%1."/>
      <w:numFmt w:val="decimal"/>
      <w:start w:val="8"/>
    </w:lvl>
    <w:lvl w:ilvl="1">
      <w:lvlJc w:val="left"/>
      <w:lvlText w:val="(%2)"/>
      <w:numFmt w:val="lowerLetter"/>
      <w:start w:val="1"/>
    </w:lvl>
  </w:abstractNum>
  <w:abstractNum w:abstractNumId="29">
    <w:nsid w:val="580BD78F"/>
    <w:multiLevelType w:val="hybridMultilevel"/>
    <w:lvl w:ilvl="0">
      <w:lvlJc w:val="left"/>
      <w:lvlText w:val="(%1)"/>
      <w:numFmt w:val="lowerLetter"/>
      <w:start w:val="2"/>
    </w:lvl>
  </w:abstractNum>
  <w:abstractNum w:abstractNumId="30">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8"/>
    </w:lvl>
  </w:abstractNum>
  <w:abstractNum w:abstractNumId="31">
    <w:nsid w:val="3855585C"/>
    <w:multiLevelType w:val="hybridMultilevel"/>
    <w:lvl w:ilvl="0">
      <w:lvlJc w:val="left"/>
      <w:lvlText w:val="%1."/>
      <w:numFmt w:val="decimal"/>
      <w:start w:val="10"/>
    </w:lvl>
    <w:lvl w:ilvl="1">
      <w:lvlJc w:val="left"/>
      <w:lvlText w:val="(%2)"/>
      <w:numFmt w:val="lowerLetter"/>
      <w:start w:val="8"/>
    </w:lvl>
    <w:lvl w:ilvl="2">
      <w:lvlJc w:val="left"/>
      <w:lvlText w:val="(%3)"/>
      <w:numFmt w:val="lowerLetter"/>
      <w:start w:val="1"/>
    </w:lvl>
  </w:abstractNum>
  <w:abstractNum w:abstractNumId="32">
    <w:nsid w:val="70A64E2A"/>
    <w:multiLevelType w:val="hybridMultilevel"/>
    <w:lvl w:ilvl="0">
      <w:lvlJc w:val="left"/>
      <w:lvlText w:val="(%1)"/>
      <w:numFmt w:val="lowerRoman"/>
      <w:start w:val="2"/>
    </w:lvl>
  </w:abstractNum>
  <w:abstractNum w:abstractNumId="33">
    <w:nsid w:val="6A2342EC"/>
    <w:multiLevelType w:val="hybridMultilevel"/>
    <w:lvl w:ilvl="0">
      <w:lvlJc w:val="left"/>
      <w:lvlText w:val="(%1)"/>
      <w:numFmt w:val="lowerLetter"/>
      <w:start w:val="2"/>
    </w:lvl>
  </w:abstractNum>
  <w:abstractNum w:abstractNumId="34">
    <w:nsid w:val="2A487CB0"/>
    <w:multiLevelType w:val="hybridMultilevel"/>
    <w:lvl w:ilvl="0">
      <w:lvlJc w:val="left"/>
      <w:lvlText w:val="(%1)"/>
      <w:numFmt w:val="lowerLetter"/>
      <w:start w:val="3"/>
    </w:lvl>
  </w:abstractNum>
  <w:abstractNum w:abstractNumId="35">
    <w:nsid w:val="1D4ED43B"/>
    <w:multiLevelType w:val="hybridMultilevel"/>
    <w:lvl w:ilvl="0">
      <w:lvlJc w:val="left"/>
      <w:lvlText w:val="(%1)"/>
      <w:numFmt w:val="lowerLetter"/>
      <w:start w:val="5"/>
    </w:lvl>
  </w:abstractNum>
  <w:abstractNum w:abstractNumId="36">
    <w:nsid w:val="725A06FB"/>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37">
    <w:nsid w:val="2CD89A32"/>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38">
    <w:nsid w:val="57E4CCAF"/>
    <w:multiLevelType w:val="hybridMultilevel"/>
    <w:lvl w:ilvl="0">
      <w:lvlJc w:val="left"/>
      <w:lvlText w:val="%1"/>
      <w:numFmt w:val="decimal"/>
      <w:start w:val="1"/>
    </w:lvl>
    <w:lvl w:ilvl="1">
      <w:lvlJc w:val="left"/>
      <w:lvlText w:val="(%2)"/>
      <w:numFmt w:val="lowerLetter"/>
      <w:start w:val="2"/>
    </w:lvl>
  </w:abstractNum>
  <w:abstractNum w:abstractNumId="39">
    <w:nsid w:val="7A6D8D3C"/>
    <w:multiLevelType w:val="hybridMultilevel"/>
    <w:lvl w:ilvl="0">
      <w:lvlJc w:val="left"/>
      <w:lvlText w:val="%1."/>
      <w:numFmt w:val="decimal"/>
      <w:start w:val="13"/>
    </w:lvl>
    <w:lvl w:ilvl="1">
      <w:lvlJc w:val="left"/>
      <w:lvlText w:val="%2"/>
      <w:numFmt w:val="lowerLetter"/>
      <w:start w:val="1"/>
    </w:lvl>
  </w:abstractNum>
  <w:abstractNum w:abstractNumId="40">
    <w:nsid w:val="4B588F54"/>
    <w:multiLevelType w:val="hybridMultilevel"/>
    <w:lvl w:ilvl="0">
      <w:lvlJc w:val="left"/>
      <w:lvlText w:val="%1."/>
      <w:numFmt w:val="decimal"/>
      <w:start w:val="14"/>
    </w:lvl>
  </w:abstractNum>
  <w:abstractNum w:abstractNumId="41">
    <w:nsid w:val="542289EC"/>
    <w:multiLevelType w:val="hybridMultilevel"/>
    <w:lvl w:ilvl="0">
      <w:lvlJc w:val="left"/>
      <w:lvlText w:val="%1."/>
      <w:numFmt w:val="decimal"/>
      <w:start w:val="18"/>
    </w:lvl>
  </w:abstractNum>
  <w:abstractNum w:abstractNumId="42">
    <w:nsid w:val="6DE91B18"/>
    <w:multiLevelType w:val="hybridMultilevel"/>
    <w:lvl w:ilvl="0">
      <w:lvlJc w:val="left"/>
      <w:lvlText w:val="%1."/>
      <w:numFmt w:val="decimal"/>
      <w:start w:val="22"/>
    </w:lvl>
    <w:lvl w:ilvl="1">
      <w:lvlJc w:val="left"/>
      <w:lvlText w:val="(%2)"/>
      <w:numFmt w:val="lowerLetter"/>
      <w:start w:val="1"/>
    </w:lvl>
  </w:abstractNum>
  <w:abstractNum w:abstractNumId="43">
    <w:nsid w:val="38437FDB"/>
    <w:multiLevelType w:val="hybridMultilevel"/>
    <w:lvl w:ilvl="0">
      <w:lvlJc w:val="left"/>
      <w:lvlText w:val="(%1)"/>
      <w:numFmt w:val="lowerRoman"/>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2"/>
    </w:lvl>
  </w:abstractNum>
  <w:abstractNum w:abstractNumId="46">
    <w:nsid w:val="684A481A"/>
    <w:multiLevelType w:val="hybridMultilevel"/>
    <w:lvl w:ilvl="0">
      <w:lvlJc w:val="left"/>
      <w:lvlText w:val="(%1)"/>
      <w:numFmt w:val="lowerRoman"/>
      <w:start w:val="2"/>
    </w:lvl>
  </w:abstractNum>
  <w:abstractNum w:abstractNumId="47">
    <w:nsid w:val="579478FE"/>
    <w:multiLevelType w:val="hybridMultilevel"/>
    <w:lvl w:ilvl="0">
      <w:lvlJc w:val="left"/>
      <w:lvlText w:val="%1."/>
      <w:numFmt w:val="decimal"/>
      <w:start w:val="3"/>
    </w:lvl>
  </w:abstractNum>
  <w:abstractNum w:abstractNumId="48">
    <w:nsid w:val="749ABB43"/>
    <w:multiLevelType w:val="hybridMultilevel"/>
    <w:lvl w:ilvl="0">
      <w:lvlJc w:val="left"/>
      <w:lvlText w:val="%1."/>
      <w:numFmt w:val="decimal"/>
      <w:start w:val="4"/>
    </w:lvl>
  </w:abstractNum>
  <w:abstractNum w:abstractNumId="49">
    <w:nsid w:val="3DC240FB"/>
    <w:multiLevelType w:val="hybridMultilevel"/>
    <w:lvl w:ilvl="0">
      <w:lvlJc w:val="left"/>
      <w:lvlText w:val="%1."/>
      <w:numFmt w:val="decimal"/>
      <w:start w:val="5"/>
    </w:lvl>
  </w:abstractNum>
  <w:abstractNum w:abstractNumId="50">
    <w:nsid w:val="1BA026F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2024-04-26T16:35:02Z</dcterms:created>
  <dcterms:modified xsi:type="dcterms:W3CDTF">2024-04-26T16:35:02Z</dcterms:modified>
</cp:coreProperties>
</file>