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f-3.htm"/>
      <w:bookmarkStart w:id="1" w:name="ksformf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May 12,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F-3</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660"/>
        <w:gridCol w:w="60"/>
        <w:gridCol w:w="1970"/>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Republic of Italy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Pierluigi Paracchi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Olgettina No. 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20132 Milan, Italy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+39-02-2643-4681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+1.800.221.0102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B. Chilstrom,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Fenwick &amp; West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902 Broadway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430-2600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two prospectuses: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base prospectus (the “Base Prospectus”), which covers the offering, issuance and sale by Genenta Science S.p.A. (the “Company”) of up to a maximum aggregate offering price of $100,000,000 of the Company’s ordinary shares; ordinary shares represented by American depositary shares (“ADSs”), each representing one of our ordinary shares; rights exercisable for ordinary shares and/or ordinary shares represented by ADSs (“rights”); or any combination thereof as described in the Base Prospectus;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sales agreement prospectus (the “Sales Agreement Prospectus”) covering the offering, issuance and sale by the Company of up to a maximum aggregate offering price of $30,000,000 of its ordinary shares represented by ADSs (the “Sales Agreement Securities”) that may be issued and sold under a Controlled Equity Offering</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Sales Agreement, dated May 12, 2023 (the “Sales Agreement”), between the Company and Cantor Fitzgerald &amp; Co. (“Cantor”).</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immediately follows this Explanatory Note. The specific terms of any securities to be offered pursuant to the Base Prospectus, other than the shares to be issued and sold under the Sales Agreement, will be specified in a prospectus supplement to the Base Prospectus. The specific terms of the securities to be issued and sold under the Sales Agreement are specified in the Sales Agreement Prospectus immediately following the Base Prospectus. The $30,000,000 of the Sales Agreement Securities that may be offered, issued and sold under the Sales Agreement Prospectus are included in the $100,000,000 of securities that may be offered, issued and sold by the Company under the Base Prospectus. Upon termination of the Sales Agreement with Cantor, any portion of the $30,000,000 included in the Sales Agreement Prospectus that is not sold pursuant to the Sales Agreement will be available for sale in other offerings pursuant to the Base Prospectus and a corresponding prospectus supplement, and if no Sales Agreement Securities are sold under the Sales Agreement, the full $100,000,000 of securities may be sold in other offerings by the Company pursuant to the Base Prospectus and a corresponding prospectus supplement.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May 12,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$100,000,000</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Ordinary Shares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Ordinary Shares Represented by American Depositary Shares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6705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6705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this prospectus, we may offer and sell from time to time, in one or more offerings, together or separately, ordinary shares; ordinary shares represented by American depositary shares (“ADSs”), each ADS representing one of our ordinary shares; rights exercisable for ordinary shares and/or ordinary shares represented by ADSs (“rights”); or any combination thereof as described in this prospectus. The total amount of these securities will have an initial aggregate offering price of up to $100,000,000. You should carefully read this prospectus, any prospectus supplement and any free writing prospectus, as well as any documents incorporated in any of the foregoing by reference, before you invest in our securities. This prospectus may not be used to sell our securities unless accompanied by a prospectus supplement. A prospectus supplement or any related free writing prospectus may also add to, update, supplement or clarify information contained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Capital Market (“Nasdaq”) under the symbol “GNTA.” The last reported sale price of the ADSs on the Nasdaq on May 11, 2023 was $5.95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We are an “emerging growth company” as defined in Section 2(a) of the Securities Act of 1933, as amended, and, as such, have elected to comply with certain reduced disclosure and regulatory requirements. Investing in our securities involves a high degree of risk. Before buying any of our securities, you should carefully read the discussion of material risks of investing in our securities. Please read the section entitled “</w:t>
      </w:r>
      <w:hyperlink w:anchor="toc1_003">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3 of this prospectus, as well as the section entitled “Item 3. Key Information—D. Risk Factors” beginning on page 3 of our Annual Report on Form 20-F for the year ended December 31, 2022, which report is incorporated by reference in this prospectus, before investing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4550"/>
        <w:gridCol w:w="455"/>
      </w:tblGrid>
      <w:tr>
        <w:trPr/>
        <w:tc>
          <w:tcPr>
            <w:tcW w:w="45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550" w:type="dxa"/>
            <w:tcBorders/>
            <w:shd w:fill="CCEEFF" w:val="clear"/>
            <w:vAlign w:val="center"/>
          </w:tcPr>
          <w:p>
            <w:pPr>
              <w:pStyle w:val="TableContents"/>
              <w:bidi w:val="0"/>
              <w:spacing w:before="0" w:after="283"/>
              <w:jc w:val="left"/>
              <w:rPr/>
            </w:pPr>
            <w:hyperlink w:anchor="toc1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550" w:type="dxa"/>
            <w:tcBorders/>
            <w:shd w:fill="FFFFFF" w:val="clear"/>
            <w:vAlign w:val="center"/>
          </w:tcPr>
          <w:p>
            <w:pPr>
              <w:pStyle w:val="TableContents"/>
              <w:bidi w:val="0"/>
              <w:spacing w:before="0" w:after="283"/>
              <w:jc w:val="left"/>
              <w:rPr/>
            </w:pPr>
            <w:hyperlink w:anchor="toc1_002">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4550" w:type="dxa"/>
            <w:tcBorders/>
            <w:shd w:fill="CCEEFF" w:val="clear"/>
            <w:vAlign w:val="center"/>
          </w:tcPr>
          <w:p>
            <w:pPr>
              <w:pStyle w:val="TableContents"/>
              <w:bidi w:val="0"/>
              <w:spacing w:before="0" w:after="283"/>
              <w:jc w:val="left"/>
              <w:rPr/>
            </w:pPr>
            <w:hyperlink w:anchor="toc1_003">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550" w:type="dxa"/>
            <w:tcBorders/>
            <w:shd w:fill="FFFFFF" w:val="clear"/>
            <w:vAlign w:val="center"/>
          </w:tcPr>
          <w:p>
            <w:pPr>
              <w:pStyle w:val="TableContents"/>
              <w:bidi w:val="0"/>
              <w:spacing w:before="0" w:after="283"/>
              <w:jc w:val="left"/>
              <w:rPr/>
            </w:pPr>
            <w:hyperlink w:anchor="toc1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550" w:type="dxa"/>
            <w:tcBorders/>
            <w:shd w:fill="CCEEFF" w:val="clear"/>
            <w:vAlign w:val="center"/>
          </w:tcPr>
          <w:p>
            <w:pPr>
              <w:pStyle w:val="TableContents"/>
              <w:bidi w:val="0"/>
              <w:spacing w:before="0" w:after="283"/>
              <w:jc w:val="left"/>
              <w:rPr/>
            </w:pPr>
            <w:hyperlink w:anchor="toc1_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4550" w:type="dxa"/>
            <w:tcBorders/>
            <w:shd w:fill="FFFFFF" w:val="clear"/>
            <w:vAlign w:val="center"/>
          </w:tcPr>
          <w:p>
            <w:pPr>
              <w:pStyle w:val="TableContents"/>
              <w:bidi w:val="0"/>
              <w:spacing w:before="0" w:after="283"/>
              <w:jc w:val="left"/>
              <w:rPr/>
            </w:pPr>
            <w:hyperlink w:anchor="toc1_006">
              <w:r>
                <w:rPr>
                  <w:rStyle w:val="InternetLink"/>
                  <w:rFonts w:ascii="Times New Roman;Times;Serif" w:hAnsi="Times New Roman;Times;Serif"/>
                  <w:b w:val="false"/>
                  <w:i w:val="false"/>
                  <w:caps w:val="false"/>
                  <w:smallCaps w:val="false"/>
                  <w:sz w:val="20"/>
                </w:rPr>
                <w:t>Description of Share Capital and Governing Documents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4550" w:type="dxa"/>
            <w:tcBorders/>
            <w:shd w:fill="CCEEFF" w:val="clear"/>
            <w:vAlign w:val="center"/>
          </w:tcPr>
          <w:p>
            <w:pPr>
              <w:pStyle w:val="TableContents"/>
              <w:bidi w:val="0"/>
              <w:spacing w:before="0" w:after="283"/>
              <w:jc w:val="left"/>
              <w:rPr/>
            </w:pPr>
            <w:hyperlink w:anchor="toc1_007">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550" w:type="dxa"/>
            <w:tcBorders/>
            <w:shd w:fill="FFFFFF" w:val="clear"/>
            <w:vAlign w:val="center"/>
          </w:tcPr>
          <w:p>
            <w:pPr>
              <w:pStyle w:val="TableContents"/>
              <w:bidi w:val="0"/>
              <w:spacing w:before="0" w:after="283"/>
              <w:jc w:val="left"/>
              <w:rPr/>
            </w:pPr>
            <w:hyperlink w:anchor="toc1_008">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4550" w:type="dxa"/>
            <w:tcBorders/>
            <w:shd w:fill="CCEEFF" w:val="clear"/>
            <w:vAlign w:val="center"/>
          </w:tcPr>
          <w:p>
            <w:pPr>
              <w:pStyle w:val="TableContents"/>
              <w:bidi w:val="0"/>
              <w:spacing w:before="0" w:after="283"/>
              <w:jc w:val="left"/>
              <w:rPr/>
            </w:pPr>
            <w:hyperlink w:anchor="toc1_009">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50" w:type="dxa"/>
            <w:tcBorders/>
            <w:shd w:fill="FFFFFF" w:val="clear"/>
            <w:vAlign w:val="center"/>
          </w:tcPr>
          <w:p>
            <w:pPr>
              <w:pStyle w:val="TableContents"/>
              <w:bidi w:val="0"/>
              <w:spacing w:before="0" w:after="283"/>
              <w:jc w:val="left"/>
              <w:rPr/>
            </w:pPr>
            <w:hyperlink w:anchor="toc1_010">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50" w:type="dxa"/>
            <w:tcBorders/>
            <w:shd w:fill="CCEEFF" w:val="clear"/>
            <w:vAlign w:val="center"/>
          </w:tcPr>
          <w:p>
            <w:pPr>
              <w:pStyle w:val="TableContents"/>
              <w:bidi w:val="0"/>
              <w:spacing w:before="0" w:after="283"/>
              <w:jc w:val="left"/>
              <w:rPr/>
            </w:pPr>
            <w:hyperlink w:anchor="toc1_011">
              <w:r>
                <w:rPr>
                  <w:rStyle w:val="InternetLink"/>
                  <w:rFonts w:ascii="Times New Roman;Times;Serif" w:hAnsi="Times New Roman;Times;Serif"/>
                  <w:b w:val="false"/>
                  <w:i w:val="false"/>
                  <w:caps w:val="false"/>
                  <w:smallCaps w:val="false"/>
                  <w:sz w:val="20"/>
                </w:rPr>
                <w:t>Expenses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50" w:type="dxa"/>
            <w:tcBorders/>
            <w:shd w:fill="FFFFFF" w:val="clear"/>
            <w:vAlign w:val="center"/>
          </w:tcPr>
          <w:p>
            <w:pPr>
              <w:pStyle w:val="TableContents"/>
              <w:bidi w:val="0"/>
              <w:spacing w:before="0" w:after="283"/>
              <w:jc w:val="left"/>
              <w:rPr/>
            </w:pPr>
            <w:hyperlink w:anchor="toc1_012">
              <w:r>
                <w:rPr>
                  <w:rStyle w:val="InternetLink"/>
                  <w:rFonts w:ascii="Times New Roman;Times;Serif" w:hAnsi="Times New Roman;Times;Serif"/>
                  <w:b w:val="false"/>
                  <w:i w:val="false"/>
                  <w:caps w:val="false"/>
                  <w:smallCaps w:val="false"/>
                  <w:sz w:val="20"/>
                </w:rPr>
                <w:t>Enforcement of Civil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550" w:type="dxa"/>
            <w:tcBorders/>
            <w:shd w:fill="CCEEFF" w:val="clear"/>
            <w:vAlign w:val="center"/>
          </w:tcPr>
          <w:p>
            <w:pPr>
              <w:pStyle w:val="TableContents"/>
              <w:bidi w:val="0"/>
              <w:spacing w:before="0" w:after="283"/>
              <w:jc w:val="left"/>
              <w:rPr/>
            </w:pPr>
            <w:hyperlink w:anchor="toc1_013">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550" w:type="dxa"/>
            <w:tcBorders/>
            <w:shd w:fill="FFFFFF" w:val="clear"/>
            <w:vAlign w:val="center"/>
          </w:tcPr>
          <w:p>
            <w:pPr>
              <w:pStyle w:val="TableContents"/>
              <w:bidi w:val="0"/>
              <w:spacing w:before="0" w:after="283"/>
              <w:jc w:val="left"/>
              <w:rPr/>
            </w:pPr>
            <w:hyperlink w:anchor="toc1_014">
              <w:r>
                <w:rPr>
                  <w:rStyle w:val="InternetLink"/>
                  <w:rFonts w:ascii="Times New Roman;Times;Serif" w:hAnsi="Times New Roman;Times;Serif"/>
                  <w:b w:val="false"/>
                  <w:i w:val="false"/>
                  <w:caps w:val="false"/>
                  <w:smallCaps w:val="false"/>
                  <w:sz w:val="20"/>
                </w:rPr>
                <w:t>Incorporation of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responsible for the information contained and incorporated by reference in this prospectus, in any accompanying prospectus supplement,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1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shelf registration statement that we have filed with the U.S.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shelf registration, we may offer our ordinary shares, ordinary shares represented by ADSs, rights or any combination thereof, from time to time in one or more offerings. The total amount of these securities will have an initial aggregate offering price of up to $100,000,000. This prospectus only provides you with a general description of the securities that we may offer. Each time we offer a type of securities under this prospectus, we will provide a prospectus supplement that will contain more specific information about the specific terms of the offering. If any such securities are to be listed or quoted on a securities exchange or quotation system, the applicable prospectus supplement will say so. We may also authorize one or more free writing prospectuses to be provided to you that may contain material information relating to these offerings. This prospectus may not be used to sell our securities unless accompanied by a prospectus supplement. Each such prospectus supplement and any free writing prospectus that we may authorize to be provided to you may also add, update or change information contained in this prospectus or in documents incorporated by reference into this prospectus. We urge you to carefully read this prospectus, any applicable prospectus supplement and any related free writing prospectus, together with the information incorporated herein by reference as described under the headings “Where You Can Find More Information” and “Incorporation of Information by Reference” before you invest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additional information or information different from that contained in or incorporated by reference in this prospectus, any applicable prospectus supplement and any related free writing prospectus filed with the SEC. We take no responsibility for, and can provide no assurances as to the reliability of, any information not contained in this prospectus, any applicable prospectus supplement or any related free writing prospectus that we may authorize to be provided to you. This prospectus is an offer to sell only the securities offered hereby, but only under circumstances and in jurisdictions where offers and sales of the securities are legally permitted. The information contained in this prospectus, any applicable prospectus supplement or any related free writing prospectus we file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that date. We will update this prospectus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 rather than establishing matters of fact. The information in the exhibits should not be read alone and instead should be read in conjunction with the information in this prospectus and other filings that we make with the SEC. Moreover, such representations, warranties or covenants were accurate only as of the date they were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“U.S. dollars” or “$” are to the legal currency of the United States and all references to “€” or “euro” are to the currency introduced at the start of the third stage of the European economic and monetary union pursuant to the treaty establishing the European Community,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included in this prospectus have been rounded for ease of presentation. Percentage figures included in this prospectus have not in all cases been calculated on the basis of such rounded figures but on the basis of such amounts prior to rounding. For this reason, percentage amounts in this prospectus may vary slightly from those obtained by performing the same calculations using the figures in our consolidated financial statements. Certain other amounts that appear in this prospectus may similarly not sum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throughout this prospectus, any applicable prospectus supplement and any related free writing prospectus, the words “Genenta,” “we,” “us,” “our,” “the Company,” “our company” or similar references refer to Genenta Science S.p.A. and its subsidiaries; and the term “securities” refers collectively to our ordinary shares, ordinary shares represented by ADSs, rights, or any combination of the foregoing securities.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7" w:color="000000"/>
        </w:rPr>
      </w:pPr>
      <w:bookmarkStart w:id="3" w:name="toc1_002"/>
      <w:bookmarkEnd w:id="3"/>
      <w:r>
        <w:rPr>
          <w:rFonts w:ascii="Times New Roman;Times;Serif" w:hAnsi="Times New Roman;Times;Serif"/>
          <w:b/>
          <w:i w:val="false"/>
          <w:caps w:val="false"/>
          <w:smallCaps w:val="false"/>
          <w:sz w:val="20"/>
          <w:bdr w:val="single" w:sz="12" w:space="7" w:color="000000"/>
        </w:rPr>
        <w:t>PROSPECTUS SUMMARY</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This summary highlights information contained in other parts of this prospectus or incorporated by reference in this prospectus from our Annual Report on Form 20-F for the year ended December 31, 2022, and our other filings with the SEC listed below under the heading “Incorporation of Information by Reference.” This summary may not contain all the information that you should consider before investing in our securities. You should read the entire prospectus, any applicable prospectus supplement and the information incorporated by reference in this prospectus and any applicable prospectus supplement carefully, including “Risk Factors” and the financial data and related notes and other information incorporated by reference, before making an investment decision. See “Special Note Regarding Forward-Looking Statements.”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Company Overview</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are a clinical-stage biotechnology company engaged in the development of hematopoietic stem cell gene therapies for the treatment of solid tumors. We have developed a novel biologic platform that involves the ex-vivo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Corporate Information</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Genenta was formed as an Italian limited liability company (</w:t>
      </w:r>
      <w:r>
        <w:rPr>
          <w:rFonts w:ascii="Times New Roman;Times;Serif" w:hAnsi="Times New Roman;Times;Serif"/>
          <w:b w:val="false"/>
          <w:i/>
          <w:caps w:val="false"/>
          <w:smallCaps w:val="false"/>
          <w:sz w:val="20"/>
          <w:bdr w:val="single" w:sz="12" w:space="7" w:color="000000"/>
        </w:rPr>
        <w:t>società a responsabilità limitata</w:t>
      </w:r>
      <w:r>
        <w:rPr>
          <w:rFonts w:ascii="Times New Roman;Times;Serif" w:hAnsi="Times New Roman;Times;Serif"/>
          <w:b w:val="false"/>
          <w:i w:val="false"/>
          <w:caps w:val="false"/>
          <w:smallCaps w:val="false"/>
          <w:sz w:val="20"/>
          <w:bdr w:val="single" w:sz="12" w:space="7" w:color="000000"/>
        </w:rPr>
        <w:t>) in 2014. In May 2021, we changed the legal form of our company under Italian law to a joint stock company (</w:t>
      </w:r>
      <w:r>
        <w:rPr>
          <w:rFonts w:ascii="Times New Roman;Times;Serif" w:hAnsi="Times New Roman;Times;Serif"/>
          <w:b w:val="false"/>
          <w:i/>
          <w:caps w:val="false"/>
          <w:smallCaps w:val="false"/>
          <w:sz w:val="20"/>
          <w:bdr w:val="single" w:sz="12" w:space="7" w:color="000000"/>
        </w:rPr>
        <w:t>società per azioni</w:t>
      </w:r>
      <w:r>
        <w:rPr>
          <w:rFonts w:ascii="Times New Roman;Times;Serif" w:hAnsi="Times New Roman;Times;Serif"/>
          <w:b w:val="false"/>
          <w:i w:val="false"/>
          <w:caps w:val="false"/>
          <w:smallCaps w:val="false"/>
          <w:sz w:val="20"/>
          <w:bdr w:val="single" w:sz="12" w:space="7" w:color="000000"/>
        </w:rPr>
        <w:t>).</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Our principal executive offices are located at Via Olgettina No. 58, 20132 Milan, Italy. Our telephone number in Italy is +39.02.2643.6639. Our website address is www.genenta.com. The information contained on, or that can be accessed through, our website is not part of, and is not incorporated by reference into, this prospectus. We have included our website address in this prospectus solely as an inactive textual reference. Investors should not rely on any such information in deciding whether to purchase our securities.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Nasdaq Listing</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The ADSs, each representing one ordinary share of the Company, have been listed on the Nasdaq Capital Market under the symbol “GNTA” since December 2021.</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The Securities We May Offer</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With this prospectus, we may offer ordinary shares, ordinary shares represented by ADSs, rights or any combination thereof. The aggregate offering price of securities that we may offer with this prospectus will not exceed $100,000,000. Each time we offer securities with this prospectus, we will provide offerees with a prospectus supplement that will contain the specific terms of the securities being offered. The following is a summary of the securities we may offer with this prospectus.</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Ordinary Shares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may offer ordinary shares with no par value.</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Ordinary Shares Represented by ADSs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may offer ADSs, each representing one ordinary share of the Company.</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Rights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 xml:space="preserve">We may offer rights exercisable for ordinary shares and/or ordinary shares represented by ADSs. We may issue rights independently or together with other securities, the rights may be attached to or separate from these securities and the rights may or may not be transferable by the shareholder receiving the rights in the rights offering. </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toc1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carefully consider the risks described in “Item 3. Key Information—D. Risk Factors” in our Annual Report on Form 20-F for the year ended December 31, 2022, which is incorporated herein by reference, and other documents we file with the SEC that are incorporated by reference in this prospectus and any applicable prospectus supplement, before making an investment decision. Each of the risks described could materially adversely affect our business, financial condition or results of operations, or the trading price of our securities. In such case, you could lose all or a portion of your original investment. See “Where You Can Find More Information.”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toc1_004"/>
      <w:bookmarkEnd w:id="5"/>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many statements that are “forward-looking” within the meaning of Section 27A of the Securities Act of 1933, as amended (the “Securities Act”), and Section 21E of the Securities Exchange Act of 1934, as amended (the “Exchange Act”),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prospectus, any or all of those assumptions could prove to be inaccurate. As a result, the forward-looking statements based on those assumptions could also be incorrect. The forward-looking statements in this prospectus include, without limitation, statements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revenues, profits, earnings and other estimated financial information;</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strong relationships with our customers and suppliers;</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planned use of proceeds;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governmental policies regarding our industry; and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 factors as set forth under the “Risk Factors” section of this prospectus and under “Item 3. Key Information—D. Risk Factors.” in our Annual Report on Form 20-F for the year ended December 31, 2022, which report is incorporated by reference in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 Comparisons of results for current and any prior periods are not intended to express any future trends or indications of future performance, unless expressed as such, and should only be viewed as historical data. You should, however, review the factors and risks we describe in the reports we will file from time to time with the SEC after the date of this prospectus.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also read carefully the factors described in the “Risk Factors” section of this prospectus, in “Item 3. Key Information—D. Risk Factors” in our Annual Report on Form 20-F for the year ended December 31, 2022 and in the other documents that we file with the SEC after the date of this prospectus that are incorporated by reference into this prospectus to better understand the risks and uncertainties inherent in our business and underlying any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toc1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any prospectus supplement or in any related free writing prospectus that we may authorize to be provided to you, the net proceeds received by us from our sale of the securities described in this prospectus will be used for our general corporate purposes, w</w:t>
      </w:r>
      <w:r>
        <w:rPr>
          <w:rFonts w:ascii="Times New Roman;Times;Serif" w:hAnsi="Times New Roman;Times;Serif"/>
          <w:b w:val="false"/>
          <w:i w:val="false"/>
          <w:caps w:val="false"/>
          <w:smallCaps w:val="false"/>
          <w:sz w:val="20"/>
          <w:shd w:fill="FFFFFF" w:val="clear"/>
        </w:rPr>
        <w:t>hich may include funding research and development, increasing our working capital, reducing indebtedness, acquisitions or investments in businesses, products or technologies that are complementary to our own and capital expenditures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toc1_006"/>
      <w:bookmarkEnd w:id="7"/>
      <w:r>
        <w:rPr>
          <w:rFonts w:ascii="Times New Roman;Times;Serif" w:hAnsi="Times New Roman;Times;Serif"/>
          <w:b/>
          <w:i w:val="false"/>
          <w:caps w:val="false"/>
          <w:smallCaps w:val="false"/>
          <w:sz w:val="20"/>
        </w:rPr>
        <w:t>DESCRIPTION OF SHARE CAPITAL AND GOVERNING DOCUMENTS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capital is composed of ordinary shares with no par value. As of December 31, 2022, our issued share capital consisted of 18,216,858 ordinary shares. All issued shares are fully paid, non-assessable and in registered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preference shares are designated,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information concerning our ordinary shares and bylaws (</w:t>
      </w:r>
      <w:r>
        <w:rPr>
          <w:rFonts w:ascii="Times New Roman;Times;Serif" w:hAnsi="Times New Roman;Times;Serif"/>
          <w:b w:val="false"/>
          <w:i/>
          <w:caps w:val="false"/>
          <w:smallCaps w:val="false"/>
          <w:sz w:val="20"/>
        </w:rPr>
        <w:t>Statuto</w:t>
      </w:r>
      <w:r>
        <w:rPr>
          <w:rFonts w:ascii="Times New Roman;Times;Serif" w:hAnsi="Times New Roman;Times;Serif"/>
          <w:b w:val="false"/>
          <w:i w:val="false"/>
          <w:caps w:val="false"/>
          <w:smallCaps w:val="false"/>
          <w:sz w:val="20"/>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most of the procedures regulating our Company, including certain rights of shareholders, are contained in our bylaws. Amendments to our bylaws must be approved at an extraordinary meeting of shareholders,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and 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not represented by share certificates (</w:t>
      </w:r>
      <w:r>
        <w:rPr>
          <w:rFonts w:ascii="Times New Roman;Times;Serif" w:hAnsi="Times New Roman;Times;Serif"/>
          <w:b w:val="false"/>
          <w:i/>
          <w:caps w:val="false"/>
          <w:smallCaps w:val="false"/>
          <w:sz w:val="20"/>
        </w:rPr>
        <w:t xml:space="preserve">certificati azionari) </w:t>
      </w:r>
      <w:r>
        <w:rPr>
          <w:rFonts w:ascii="Times New Roman;Times;Serif" w:hAnsi="Times New Roman;Times;Serif"/>
          <w:b w:val="false"/>
          <w:i w:val="false"/>
          <w:caps w:val="false"/>
          <w:smallCaps w:val="false"/>
          <w:sz w:val="20"/>
        </w:rPr>
        <w:t xml:space="preserve">as they are dematerialised </w:t>
      </w:r>
      <w:r>
        <w:rPr>
          <w:rFonts w:ascii="Times New Roman;Times;Serif" w:hAnsi="Times New Roman;Times;Serif"/>
          <w:b w:val="false"/>
          <w:i/>
          <w:caps w:val="false"/>
          <w:smallCaps w:val="false"/>
          <w:sz w:val="20"/>
        </w:rPr>
        <w:t>(azioni dematerializzate</w:t>
      </w:r>
      <w:r>
        <w:rPr>
          <w:rFonts w:ascii="Times New Roman;Times;Serif" w:hAnsi="Times New Roman;Times;Serif"/>
          <w:b w:val="false"/>
          <w:i w:val="false"/>
          <w:caps w:val="false"/>
          <w:smallCaps w:val="false"/>
          <w:sz w:val="20"/>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on the right to own or vote our ordinary shares, which applies to non-Italian residents and foreign residents except for “Golden Power” regulations and Italian Antitrust laws (see “Notification of acquisition of shares” below).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where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by the Company of any annual dividend is proposed by the board of directors and is subject to the approval of the shareholders at the annual shareholders’ meeting. Before dividends may be paid out of the Company’s unconsolidated net income in any year, an amount at least equal to 5% of such net income must be allocated to the Company’s legal reserve until such reserve is at least equal to one-fifth of the Company’s issued share capital. If the Company’s share capital is reduced as a result of accumulated losses, no dividends may be paid until the capital is reconstituted or reduced by the amount of such losses. The Company may pay dividends out of available retained earnings from prior years, provided that, after such payment, the Company will have a legal reserve at least equal to the legally required minimum. No interim dividends may be approved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paid in the manner and on the date specified in the shareholders’ resolution approving their payment. Dividends that are not collected within five years of the date on which they become payable are forfeited to the benefit of the Company. Holders of ADSs will be entitled to receive payments in respect of dividends on the underlying shares through The Bank of New York Mellon, as Depositary, in accordance with the Deposit Agreement.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the Company’s ordinary shares are entitled to one vote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registered shareholder of the ordinary shares underlying the ADSs, the Depositary (or its nominee) will be entitled to vote the ordinary shares underlying the ADSs with respect to voting instructions received from ADS holders in accordance with the terms and conditions of the Deposit Agreement. Neither Italian law nor the Company’s bylaws limit the right of non-resident or foreign owners of the Company’s ordinary shares to hold or vote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 Those who exercise their preemptive rights, provided they make such request simultaneously, have a preemptive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shareholders’ equity, taking into account, in the case of shares listed on regulated markets, also the trend in prices over the last six months. The foregoing procedure shall apply also in case of capital increase delegated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Preference shares;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Debt-equity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Times New Roman;Times;Serif" w:hAnsi="Times New Roman;Times;Serif"/>
          <w:b w:val="false"/>
          <w:i/>
          <w:caps w:val="false"/>
          <w:smallCaps w:val="false"/>
          <w:sz w:val="20"/>
        </w:rPr>
        <w:t>valore nominale</w:t>
      </w:r>
      <w:r>
        <w:rPr>
          <w:rFonts w:ascii="Times New Roman;Times;Serif" w:hAnsi="Times New Roman;Times;Serif"/>
          <w:b w:val="false"/>
          <w:i w:val="false"/>
          <w:caps w:val="false"/>
          <w:smallCaps w:val="false"/>
          <w:sz w:val="20"/>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Reduction of equity by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present intention to enter into any such transaction and no such transaction is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of shares by us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if we do not have such available profits or reserves,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limitations do not apply in case we purchase our shares: (i) by giving execution to a shareholders’ meeting resolution authorizing capital reduction through repurchase or cancellation; (ii) for free, to the extent they are fully paid-in; (iii) as a consequence of universal succession, merger or demerger; or (iv) on occasion of foreclosures authorized to satisfy a creditor of our company, to the extent they are fully paid-in.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hold any of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 of the acquisition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we fall under the scope of the Law Decree No. 21 of March 15, 2012 (the so-called Italian “Golden Power” regulations), as subsequently amended and supplemented, (i) certain resolutions of the Company and, if specific thresholds requirements are met, and (ii) certain third-party investors’ purchases of our shares may be subject to </w:t>
      </w:r>
      <w:r>
        <w:rPr>
          <w:rFonts w:ascii="Times New Roman;Times;Serif" w:hAnsi="Times New Roman;Times;Serif"/>
          <w:b w:val="false"/>
          <w:i/>
          <w:caps w:val="false"/>
          <w:smallCaps w:val="false"/>
          <w:sz w:val="20"/>
        </w:rPr>
        <w:t xml:space="preserve">ad hoc </w:t>
      </w:r>
      <w:r>
        <w:rPr>
          <w:rFonts w:ascii="Times New Roman;Times;Serif" w:hAnsi="Times New Roman;Times;Serif"/>
          <w:b w:val="false"/>
          <w:i w:val="false"/>
          <w:caps w:val="false"/>
          <w:smallCaps w:val="false"/>
          <w:sz w:val="20"/>
        </w:rPr>
        <w:t>notifications to the Italian Government which may object to the transaction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in such cases the Government would have,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to veto or to impose specific conditions with respect to the acquisition of certain shareholdings by any foreign entity outside the European Union with respect to companies having assets and business in sectors of strategic importance;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to veto or impose specific conditions with regard to the adoption of specific corporate resolutions, acts or transactions by the same companies.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Minority shareholders’ rights; withdrawal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may bring to the attention of the board of statutory auditors facts or acts which such shareholder deems wrongful. If such shareholders represent at least 5% of our share capital, or in case we are considered an Open Company (as described below)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governed by the corporate laws of Italy, and is legally considered and treated, according to the Italian Civil Code, as a private company because our shares are not listed on a regulated market in Italy or within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under Italian corporate law, while joint-stock companies are all the same type of legal entity, there is a distinction between those companies that do not have access to the capital markets (</w:t>
      </w:r>
      <w:r>
        <w:rPr>
          <w:rFonts w:ascii="Times New Roman;Times;Serif" w:hAnsi="Times New Roman;Times;Serif"/>
          <w:b w:val="false"/>
          <w:i/>
          <w:caps w:val="false"/>
          <w:smallCaps w:val="false"/>
          <w:sz w:val="20"/>
        </w:rPr>
        <w:t>Private Companies</w:t>
      </w:r>
      <w:r>
        <w:rPr>
          <w:rFonts w:ascii="Times New Roman;Times;Serif" w:hAnsi="Times New Roman;Times;Serif"/>
          <w:b w:val="false"/>
          <w:i w:val="false"/>
          <w:caps w:val="false"/>
          <w:smallCaps w:val="false"/>
          <w:sz w:val="20"/>
        </w:rPr>
        <w:t>) and companies that have such access. This latter category comprises both companies listed on European regulated markets (</w:t>
      </w:r>
      <w:r>
        <w:rPr>
          <w:rFonts w:ascii="Times New Roman;Times;Serif" w:hAnsi="Times New Roman;Times;Serif"/>
          <w:b w:val="false"/>
          <w:i/>
          <w:caps w:val="false"/>
          <w:smallCaps w:val="false"/>
          <w:sz w:val="20"/>
        </w:rPr>
        <w:t>Public Companies</w:t>
      </w:r>
      <w:r>
        <w:rPr>
          <w:rFonts w:ascii="Times New Roman;Times;Serif" w:hAnsi="Times New Roman;Times;Serif"/>
          <w:b w:val="false"/>
          <w:i w:val="false"/>
          <w:caps w:val="false"/>
          <w:smallCaps w:val="false"/>
          <w:sz w:val="20"/>
        </w:rPr>
        <w:t>) and companies whose securities are not listed on such markets, insofar as they have completed a significant distribution of their securities among the public (so-called “</w:t>
      </w:r>
      <w:r>
        <w:rPr>
          <w:rFonts w:ascii="Times New Roman;Times;Serif" w:hAnsi="Times New Roman;Times;Serif"/>
          <w:b w:val="false"/>
          <w:i/>
          <w:caps w:val="false"/>
          <w:smallCaps w:val="false"/>
          <w:sz w:val="20"/>
        </w:rPr>
        <w:t>emittenti aventi strumenti finanziari diffusi tra il pubblico in maniera rilevante</w:t>
      </w:r>
      <w:r>
        <w:rPr>
          <w:rFonts w:ascii="Times New Roman;Times;Serif" w:hAnsi="Times New Roman;Times;Serif"/>
          <w:b w:val="false"/>
          <w:i w:val="false"/>
          <w:caps w:val="false"/>
          <w:smallCaps w:val="false"/>
          <w:sz w:val="20"/>
        </w:rPr>
        <w:t>”), according to the relevant provisions set forth in Italian Financials’ Consolidated Act and its implementing provisions (</w:t>
      </w:r>
      <w:r>
        <w:rPr>
          <w:rFonts w:ascii="Times New Roman;Times;Serif" w:hAnsi="Times New Roman;Times;Serif"/>
          <w:b w:val="false"/>
          <w:i/>
          <w:caps w:val="false"/>
          <w:smallCaps w:val="false"/>
          <w:sz w:val="20"/>
        </w:rPr>
        <w:t>Open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2-bis of the Issuer’s Regulation implemented by Consob (</w:t>
      </w:r>
      <w:r>
        <w:rPr>
          <w:rFonts w:ascii="Times New Roman;Times;Serif" w:hAnsi="Times New Roman;Times;Serif"/>
          <w:b w:val="false"/>
          <w:i/>
          <w:caps w:val="false"/>
          <w:smallCaps w:val="false"/>
          <w:sz w:val="20"/>
        </w:rPr>
        <w:t>Regolamento emittenti</w:t>
      </w:r>
      <w:r>
        <w:rPr>
          <w:rFonts w:ascii="Times New Roman;Times;Serif" w:hAnsi="Times New Roman;Times;Serif"/>
          <w:b w:val="false"/>
          <w:i w:val="false"/>
          <w:caps w:val="false"/>
          <w:smallCaps w:val="false"/>
          <w:sz w:val="20"/>
        </w:rPr>
        <w:t>), Open Companies must meet the following requirements: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at least 500 shareholders in addition to the majority shareholders who hold at least 5% of the outstanding share capital;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exceeding at least two out of the following three thresholds:</w:t>
            </w:r>
          </w:p>
        </w:tc>
      </w:tr>
    </w:tbl>
    <w:p>
      <w:pPr>
        <w:pStyle w:val="TextBody"/>
        <w:bidi w:val="0"/>
        <w:spacing w:before="0" w:after="283"/>
        <w:jc w:val="left"/>
        <w:rPr/>
      </w:pPr>
      <w:r>
        <w:rPr/>
        <w:t> </w:t>
      </w:r>
    </w:p>
    <w:tbl>
      <w:tblPr>
        <w:tblW w:w="3760" w:type="dxa"/>
        <w:jc w:val="left"/>
        <w:tblInd w:w="0" w:type="dxa"/>
        <w:tblLayout w:type="fixed"/>
        <w:tblCellMar>
          <w:top w:w="0" w:type="dxa"/>
          <w:left w:w="0" w:type="dxa"/>
          <w:bottom w:w="0" w:type="dxa"/>
          <w:right w:w="0" w:type="dxa"/>
        </w:tblCellMar>
      </w:tblPr>
      <w:tblGrid>
        <w:gridCol w:w="75"/>
        <w:gridCol w:w="80"/>
        <w:gridCol w:w="3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side of €4.4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of €8.8 million;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average of 50 employees during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financial instruments widely distributed among the public, the regulation relating to Open Companies could apply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represented by ADSs under the symbol “GNTA.” Neither the Company’s ordinary shares nor its ADSs are listed on a securities exchange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register is currently kept by Spafid S.p.A., which acts as registrar. The share register reflects only record owners of our ordinary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toc1_007"/>
      <w:bookmarkEnd w:id="8"/>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ordinary shares, ordinary shares represented by ADSs, rights or any combination thereof from time to time in one or more offerings under this prospectus at prices and on terms to be determined at the time of any offering. This prospectus provides you with a general description of the securities we may offer. Each time we offer a type or series of securities under this prospectus, we will provide a prospectus supplement and/or free writing prospectus that will describe the specific amounts, prices and other important terms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ordinary shares, please refer to the Description of Securities, filed as Exhibit 2.4 to our Annual Report on Form 20-F for the year ended December 31, 2022, which is incorporated herein by reference. Because that description is a summary, it may not contain all of the information important to you. Accordingly, that description is qualified entirely by reference to our bylaws (</w:t>
      </w:r>
      <w:r>
        <w:rPr>
          <w:rFonts w:ascii="Times New Roman;Times;Serif" w:hAnsi="Times New Roman;Times;Serif"/>
          <w:b w:val="false"/>
          <w:i/>
          <w:caps w:val="false"/>
          <w:smallCaps w:val="false"/>
          <w:sz w:val="20"/>
        </w:rPr>
        <w:t>statuto</w:t>
      </w:r>
      <w:r>
        <w:rPr>
          <w:rFonts w:ascii="Times New Roman;Times;Serif" w:hAnsi="Times New Roman;Times;Serif"/>
          <w:b w:val="false"/>
          <w:i w:val="false"/>
          <w:caps w:val="false"/>
          <w:smallCaps w:val="false"/>
          <w:sz w:val="20"/>
        </w:rPr>
        <w:t>), a copy of which has been filed as an exhibit to the registration statement of which this prospectus forms a part.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 Representing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ADSs, please refer to the Description of Securities, filed as Exhibit 2.4 to our Annual Report on Form 20-F for the year ended December 31, 2022, which is incorporated herein by reference. Because that description is a summary, it may not contain all of the information important to you. Accordingly, that description is qualified entirely by reference to the Deposit Agreement and the form of American Depositary Receipt, which are filed as exhibits to the registration statement of which this prospectus forms a part.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for the purchase of our ordinary shares and/or ordinary shares represented by ADSs. We may issue rights independently or together with other securities, the rights may be attached to or separate from these securities and the rights may or may not be transferable by the shareholder receiving the rights in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evidence rights by rights certificates that we will issue. Rights may be issued under an applicable rights agreement that we enter into with a rights agent. We will indicate the name and address of the rights agent, if applicable, in the prospectus supplement relating to the rights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the applicable prospectus supplement and any free writing prospectus that we may authorize to be provided to you related to the rights being offered, as well as the complete rights agreements and/or rights certificates that contain the terms of the rights. Forms of the rights agreements and/or forms of rights certificates containing the terms of the rights being offered will be filed as exhibits to the registration statement of which this prospectus is a part or will be incorporated by reference from reports that we file with the SEC.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toc1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from time to time in one or more transactions. We may sell our securities to or through agents, underwriters, dealers, remarketing firms or other third parties or directly to one or more purchasers or through a combination of any of these methods. In some cases, we or dealers acting with us or on our behalf may also purchase our securities and reoffer them to the public. We may also offer and sell, or agree to deliver, securities pursuant to, or in connection with, any option agreement or other contractual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whom we designate may solicit offers to purchase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name any agent involved in offering or selling our securities, and disclose any commissions that we will pay to the agent, in the applicable prospectus supplement.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we indicate otherwise in the applicable prospectus supplement, agents will act on a best efforts basis for the period of their appointment.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Agents may be deemed to be underwriters under the Securities Act of any of our securities that they offer or sell.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an underwriter or underwriters in the offer or sale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use an underwriter or underwriters, we will execute an underwriting agreement with the underwriter or underwriters at the time that we reach an agreement for the sale of our securities.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include the names of the specific managing underwriter or underwriters, as well as the names of any other underwriters, and the terms of the transactions, including the compensation the underwriters and dealers will receive, in the applicable prospectus supplement.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underwriters will use the applicable prospectus supplement, together with the prospectus, to sell our securities.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our ordinary shares (including those represented by ADSs) in a subscription rights offering to our existing shareholders,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a dealer to sell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use a dealer, we will sell our securities to the dealer, as principal.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dealer will then sell our securities to the public at varying prices that the dealer will determine at the time it sells our securities.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include the name of the dealer and the terms of the transactions with the dealer in the applicable prospectus supplement.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solicit directly offers to purchase our securities, and we may directly sell our securities to institutional or other investors. We will describe the terms of direct sales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at-the-market offerings into an existing trading market in accordance with Rule 415(a)(4)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indemnify agents, underwriters and dealers against certain liabilities, including liabilities under the Securities Act. Agents, underwriters and dealers, or their affiliates, may be customers of, engage in transactions with or perform services for us or our respective affiliates,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and underwriters to solicit offers by certain institutions to purchase our securities at the public offering price under delayed delivery contracts.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use delayed delivery contracts, we will disclose that we are using them in the applicable prospectus supplement and will tell you when we will demand payment and when delivery of our securities will be made under the delayed delivery contracts.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delayed delivery contracts will be subject only to the conditions that we describe in the applicable prospectus supplement.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describe in the applicable prospectus supplement the commission that underwriters and agents soliciting purchases of our securities under delayed delivery contracts will be entitled to receive.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connection with a particular underwritten offering of our securities, the underwriters will not be obligated to purchase offered securities unless specified conditions are satisfied, and if the underwriters do purchase any offered securities, they will purchase all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(“FINRA”).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perform other services for us, in the ordinary course of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prices relating to such prevailing market prices or at negotiated or fixed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the lock-up provisions, if any, with respect to any given offering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any offering of our securities will be detailed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identify the specific plan of distribution, including any agents, underwriters, dealers, remarketing firms or other third parties and their compensation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toc1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will be passed upon for us by Giovannelli e Associati, Studio Legale, Italy. Any underwriters, dealers or agents will be advised by their own legal counsel concerning issues relating to any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toc1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Genenta as of December 31, 2022 and for its fiscal year ended December 31, 2022, included in the Company’s Annual Report on Form 20-F for the year ended December 31, 2022, incorporated by reference herein has been audited by Dannible and McKee, LLP, independent registered public accounting firm, as set forth in their report thereon. Such financial statements are incorporated by reference in this prospectus in reliance upon such report given on the authority of such firm as experts in accounting and auditing. The address of Dannible &amp; McKee, LLP is 221 S. Warren Street #500, Syracuse, New York,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Genenta as of December 31, 2021, and for each of its fiscal years in the two-year period ended December 31, 2021, included in the Company’s Annual Report on Form 20-F for the year ended December 31, 2022, incorporated by reference herein has been audited by Mayer Hoffman McCann P.C., independent registered public accounting firm, as set forth in their report thereon. Such financial statements are incorporated by reference in this prospectus in reliance upon such report given on the authority of such firm as experts in accounting and auditing. The address of Mayer Hoffman McCann P.C. is 13500 Evening Creek Drive North #450, San Diego, California,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toc1_011"/>
      <w:bookmarkEnd w:id="12"/>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SEC registration fee and the FINRA filing fee, the following are the estimated expenses related to the filing of the registration statement of which this prospectus forms a part, all of which will be paid by us. In addition, we anticipate incurring additional expenses in the future in connection with the offering of our securities pursuant to this prospectus. Any such additional expenses will be disclosed in a prospectus supplement.</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28" w:type="dxa"/>
          <w:right w:w="0" w:type="dxa"/>
        </w:tblCellMar>
      </w:tblPr>
      <w:tblGrid>
        <w:gridCol w:w="3110"/>
        <w:gridCol w:w="60"/>
        <w:gridCol w:w="146"/>
        <w:gridCol w:w="714"/>
        <w:gridCol w:w="110"/>
      </w:tblGrid>
      <w:tr>
        <w:trPr/>
        <w:tc>
          <w:tcPr>
            <w:tcW w:w="3110" w:type="dxa"/>
            <w:tcBorders>
              <w:bottom w:val="single" w:sz="12" w:space="0" w:color="000000"/>
            </w:tcBorders>
            <w:vAlign w:val="center"/>
          </w:tcPr>
          <w:p>
            <w:pPr>
              <w:pStyle w:val="TableContents"/>
              <w:bidi w:val="0"/>
              <w:spacing w:before="0" w:after="283"/>
              <w:jc w:val="center"/>
              <w:rPr>
                <w:b/>
              </w:rPr>
            </w:pPr>
            <w:r>
              <w:rPr>
                <w:b/>
              </w:rPr>
              <w:t>Expenses</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3110" w:type="dxa"/>
            <w:tcBorders/>
            <w:shd w:fill="CCEEFF" w:val="clear"/>
            <w:tcMar>
              <w:bottom w:w="0" w:type="dxa"/>
            </w:tcMar>
            <w:vAlign w:val="center"/>
          </w:tcPr>
          <w:p>
            <w:pPr>
              <w:pStyle w:val="TableContents"/>
              <w:bidi w:val="0"/>
              <w:spacing w:before="0" w:after="283"/>
              <w:jc w:val="left"/>
              <w:rPr/>
            </w:pPr>
            <w:r>
              <w:rPr/>
              <w:t>SEC registration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11,020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FINRA filing fee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CCEEFF" w:val="clear"/>
            <w:tcMar>
              <w:bottom w:w="0" w:type="dxa"/>
            </w:tcMar>
            <w:vAlign w:val="center"/>
          </w:tcPr>
          <w:p>
            <w:pPr>
              <w:pStyle w:val="TableContents"/>
              <w:bidi w:val="0"/>
              <w:spacing w:before="0" w:after="283"/>
              <w:jc w:val="left"/>
              <w:rPr/>
            </w:pPr>
            <w:r>
              <w:rPr/>
              <w:t>Printing and engraving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110" w:type="dxa"/>
            <w:tcBorders/>
            <w:shd w:fill="FFFFFF" w:val="clear"/>
            <w:tcMar>
              <w:bottom w:w="0" w:type="dxa"/>
            </w:tcMar>
            <w:vAlign w:val="center"/>
          </w:tcPr>
          <w:p>
            <w:pPr>
              <w:pStyle w:val="TableContents"/>
              <w:bidi w:val="0"/>
              <w:spacing w:before="0" w:after="283"/>
              <w:jc w:val="left"/>
              <w:rPr/>
            </w:pPr>
            <w:r>
              <w:rPr/>
              <w:t>Legal fees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110" w:type="dxa"/>
            <w:tcBorders/>
            <w:shd w:fill="CCEEFF" w:val="clear"/>
            <w:tcMar>
              <w:bottom w:w="0" w:type="dxa"/>
            </w:tcMar>
            <w:vAlign w:val="center"/>
          </w:tcPr>
          <w:p>
            <w:pPr>
              <w:pStyle w:val="TableContents"/>
              <w:bidi w:val="0"/>
              <w:spacing w:before="0" w:after="283"/>
              <w:jc w:val="left"/>
              <w:rPr/>
            </w:pPr>
            <w:r>
              <w:rPr/>
              <w:t>Accounting fees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110" w:type="dxa"/>
            <w:tcBorders/>
            <w:shd w:fill="FFFFFF" w:val="clear"/>
            <w:tcMar>
              <w:bottom w:w="0" w:type="dxa"/>
            </w:tcMar>
            <w:vAlign w:val="center"/>
          </w:tcPr>
          <w:p>
            <w:pPr>
              <w:pStyle w:val="TableContents"/>
              <w:bidi w:val="0"/>
              <w:spacing w:before="0" w:after="283"/>
              <w:jc w:val="left"/>
              <w:rPr/>
            </w:pPr>
            <w:r>
              <w:rPr/>
              <w:t>Miscellaneous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714" w:type="dxa"/>
            <w:tcBorders>
              <w:bottom w:val="single" w:sz="12" w:space="0" w:color="000000"/>
            </w:tcBorders>
            <w:shd w:fill="FFFFFF" w:val="clear"/>
            <w:vAlign w:val="center"/>
          </w:tcPr>
          <w:p>
            <w:pPr>
              <w:pStyle w:val="TableContents"/>
              <w:bidi w:val="0"/>
              <w:spacing w:before="0" w:after="283"/>
              <w:jc w:val="right"/>
              <w:rPr/>
            </w:pPr>
            <w:r>
              <w:rPr/>
              <w:t>(1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11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vAlign w:val="center"/>
          </w:tcPr>
          <w:p>
            <w:pPr>
              <w:pStyle w:val="TableContents"/>
              <w:bidi w:val="0"/>
              <w:spacing w:before="0" w:after="283"/>
              <w:jc w:val="left"/>
              <w:rPr/>
            </w:pPr>
            <w:r>
              <w:rPr/>
              <w:t>$</w:t>
            </w:r>
          </w:p>
        </w:tc>
        <w:tc>
          <w:tcPr>
            <w:tcW w:w="714" w:type="dxa"/>
            <w:tcBorders>
              <w:bottom w:val="double" w:sz="6" w:space="0" w:color="000000"/>
            </w:tcBorders>
            <w:shd w:fill="CCEEFF" w:val="cle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fees and expenses depend on the securities offered and the number of issuances, and accordingly cannot be estimated at this time and will be reflected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toc1_012"/>
      <w:bookmarkEnd w:id="13"/>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Times New Roman;Times;Serif" w:hAnsi="Times New Roman;Times;Serif"/>
          <w:b w:val="false"/>
          <w:i/>
          <w:caps w:val="false"/>
          <w:smallCaps w:val="false"/>
          <w:sz w:val="20"/>
        </w:rPr>
        <w:t>without prejudice to the application of the international conventions binding on Italy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of the International Private Law Act provides that a judgment issued in a foreign country is recognized in Italy, without any proceedings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without a rehearing on the merits) being necessary, if all of the following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judge who issued the judgment had the power to decide the case pursuant to the principles on jurisdiction provided by Italian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writ of summons (or equivalent pleading) was duly served upon the defendant in compliance with the applicable provisions of the </w:t>
      </w:r>
      <w:r>
        <w:rPr>
          <w:rFonts w:ascii="Times New Roman;Times;Serif" w:hAnsi="Times New Roman;Times;Serif"/>
          <w:b w:val="false"/>
          <w:i/>
          <w:caps w:val="false"/>
          <w:smallCaps w:val="false"/>
          <w:sz w:val="20"/>
        </w:rPr>
        <w:t xml:space="preserve">lex fori </w:t>
      </w:r>
      <w:r>
        <w:rPr>
          <w:rFonts w:ascii="Times New Roman;Times;Serif" w:hAnsi="Times New Roman;Times;Serif"/>
          <w:b w:val="false"/>
          <w:i w:val="false"/>
          <w:caps w:val="false"/>
          <w:smallCaps w:val="false"/>
          <w:sz w:val="20"/>
        </w:rPr>
        <w:t>(i.e., the application of the rules of the legal system to which the judge belongs);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entered an appearance, or their default was duly declared in compliance with the applicable provisions of the </w:t>
      </w:r>
      <w:r>
        <w:rPr>
          <w:rFonts w:ascii="Times New Roman;Times;Serif" w:hAnsi="Times New Roman;Times;Serif"/>
          <w:b w:val="false"/>
          <w:i/>
          <w:caps w:val="false"/>
          <w:smallCaps w:val="false"/>
          <w:sz w:val="20"/>
        </w:rPr>
        <w:t>lex fori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judgment to be recognized is a final judgment subject to no further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judgment to be recognized does not contrast with a final judgment issued by an Italian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pending proceedings between the same parties and in relation to the same matter, which proceedings were commenced prior to the commencement of the foreign proceedings;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judgment to be recognized does not conflict with Italian public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investors may be able to enforce in Italy judgments in civil and commercial matters that have been obtained from U.S. federal or state courts. Nevertheless, we cannot assure you that those judgments will be recognized or enforceable in Italy.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toc1_013"/>
      <w:bookmarkEnd w:id="1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reports on Form 20-F and other information with the SEC and furnish reports on Form 6-K to the SEC. We are not required to disclose certain other information that is required from U.S. domestic issuers. Also, as a foreign private issuer, we are exempt from the rules of the Exchange Act prescribing the furnishing of proxy statements to shareholders and our directors, senior management and principal shareholders are exempt from the reporting and short-swing profit recovery provisions contained in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website that contains reports and other information regarding issuers that file electronically with the SEC. Our filings with the SEC are also available to the public through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toc1_014"/>
      <w:bookmarkEnd w:id="15"/>
      <w:r>
        <w:rPr>
          <w:rFonts w:ascii="Times New Roman;Times;Serif" w:hAnsi="Times New Roman;Times;Serif"/>
          <w:b/>
          <w:i w:val="false"/>
          <w:caps w:val="false"/>
          <w:smallCaps w:val="false"/>
          <w:sz w:val="20"/>
        </w:rPr>
        <w:t>INCORPORATION OF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Reports on Form 6-K filed with the SEC on </w:t>
            </w:r>
            <w:hyperlink r:id="rId3">
              <w:r>
                <w:rPr>
                  <w:rStyle w:val="InternetLink"/>
                  <w:rFonts w:ascii="Times New Roman;Times;Serif" w:hAnsi="Times New Roman;Times;Serif"/>
                  <w:b w:val="false"/>
                  <w:i w:val="false"/>
                  <w:caps w:val="false"/>
                  <w:smallCaps w:val="false"/>
                  <w:sz w:val="20"/>
                </w:rPr>
                <w:t>February 1, 2023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May 1, 2023</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May 10, 2023</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6">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2022 filed with the SEC on April 21, 2023;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descriptions of our ordinary shares and ADSs contained in </w:t>
            </w:r>
            <w:hyperlink r:id="rId7">
              <w:r>
                <w:rPr>
                  <w:rStyle w:val="InternetLink"/>
                  <w:rFonts w:ascii="Times New Roman;Times;Serif" w:hAnsi="Times New Roman;Times;Serif"/>
                  <w:b w:val="false"/>
                  <w:i w:val="false"/>
                  <w:caps w:val="false"/>
                  <w:smallCaps w:val="false"/>
                  <w:sz w:val="20"/>
                </w:rPr>
                <w:t>Exhibit 2.4</w:t>
              </w:r>
            </w:hyperlink>
            <w:r>
              <w:rPr>
                <w:rFonts w:ascii="Times New Roman;Times;Serif" w:hAnsi="Times New Roman;Times;Serif"/>
                <w:b w:val="false"/>
                <w:i w:val="false"/>
                <w:caps w:val="false"/>
                <w:smallCaps w:val="false"/>
                <w:sz w:val="20"/>
              </w:rPr>
              <w:t xml:space="preserve"> to our Annual Report on Form 20-F for the year ended December 31, 2022 filed by us with the SEC on April 21, 2023, including any amendment or report filed to update such description and any subsequent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annual reports on Form 20-F and any amendment thereto and any report on Form 6-K (or portion thereof) that expressly indicates it is being incorporated by reference in this prospectus, in each case, that we file with or furnish to the SEC prior to the termination or completion of the offering under this prospectus (including all such reports or documents we may file with or furnish to the SEC on or after the date on which the registration statement of which this prospectus is a part is first filed with the SEC and prior to the effectiveness of the registration statement), will also be incorporated by reference into this prospectus and deemed to be part of this prospectus from the date of the filing or furnishing of such reports and documents. Unless expressly incorporated by reference, nothing in this prospectus shall be deemed to incorporate by reference information furnished to, but not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documents that are incorporated by reference are available at the website maintained by the SEC at http://www.sec.gov. In addition, copies of all documents incorporated by reference in this prospectus, other than exhibits to those documents unless such exhibits are specifically incorporated by reference in this prospectus, will be provided at no cost to each person, including any beneficial owner, to whom a copy of this prospectus is delivered on the written or oral request of that person made to: Genenta Science S.p.A., Via Olgettina No. 58, 20132, Milan, Italy, Attention: Pierluigi Paracchi.</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May 12,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670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306705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Up to $30,000,000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American Depositary Shares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Representing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Controlled Equity Offering</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Sales Agreement (the “Sales Agreement”), with Cantor Fitzgerald &amp; Co. (“Cantor”), dated May 12, 2023, relating to the sale of American depositary shares (“ADSs”), each representing one of our ordinary shares, no par value, offered by this prospectus. In accordance with the terms of the Sales Agreement, under this prospectus, we may offer and sell ADSs having an aggregate offering price of up to $30,000,000 from time to time through or to Cantor, acting as our sales agent or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ADSs, if any, under this prospectus, may be made by any method that is deemed to be an “at the market offering” as defined in Rule 415(a)(4) under the Securities Act of 1933, as amended (the “Securities Act”). Cantor is not required to sell any specific number or dollar amount of ADSs, but will act as our sales agent and use commercially reasonable efforts consistent with its normal trading and sales practices, on mutually agreed terms between Cantor and us.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will receive from us a commission of 3.0% of the gross proceeds of any ADSs sold through it under the Sales Agreement. In connection with the sale of ADSs on our behalf, Cantor will be deemed to be an “underwriter” within the meaning of the Securities Act and the compensation of Cantor may be deemed to be underwriting commissions or discounts. We have also agreed to provide indemnification and contribution to Cantor with respect to certain liabilities, including liabilities under the Securities Act. For additional information, see “Plan of Distribution” beginning on page 21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Capital Market (“Nasdaq”) under the symbol “GNTA.” The last reported sale price of the ADSs on the Nasdaq on May 11, 2023 was $5.95 per ADS. The trading price of the ADSs has fluctuated, and is likely to continue to fluctuate due to a variety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We are an “emerging growth company” as defined in Section 2(a) of the Securities Act of 1933, as amended, and, as such, have elected to comply with certain reduced disclosure and regulatory requirements. Investing in our securities involves a high degree of risk. Before buying any of our securities, you should carefully read the discussion of material risks of investing in our securities. Please read the section entitled “</w:t>
      </w:r>
      <w:hyperlink w:anchor="toc2_104">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4 of this prospectus, as well as the section entitled “Item 3. Key Information—D. Risk Factors” beginning on page 3 of our Annual Report on Form 20-F for the year ended December 31, 2022, which report is incorporated by reference in this prospectus, before investing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6700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2667000" cy="495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4550"/>
        <w:gridCol w:w="455"/>
      </w:tblGrid>
      <w:tr>
        <w:trPr/>
        <w:tc>
          <w:tcPr>
            <w:tcW w:w="45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550" w:type="dxa"/>
            <w:tcBorders/>
            <w:shd w:fill="CCEEFF" w:val="clear"/>
            <w:vAlign w:val="center"/>
          </w:tcPr>
          <w:p>
            <w:pPr>
              <w:pStyle w:val="TableContents"/>
              <w:bidi w:val="0"/>
              <w:spacing w:before="0" w:after="283"/>
              <w:jc w:val="left"/>
              <w:rPr/>
            </w:pPr>
            <w:hyperlink w:anchor="toc2_1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550" w:type="dxa"/>
            <w:tcBorders/>
            <w:shd w:fill="FFFFFF" w:val="clear"/>
            <w:vAlign w:val="center"/>
          </w:tcPr>
          <w:p>
            <w:pPr>
              <w:pStyle w:val="TableContents"/>
              <w:bidi w:val="0"/>
              <w:spacing w:before="0" w:after="283"/>
              <w:jc w:val="left"/>
              <w:rPr/>
            </w:pPr>
            <w:hyperlink w:anchor="toc2_102">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4550" w:type="dxa"/>
            <w:tcBorders/>
            <w:shd w:fill="CCEEFF" w:val="clear"/>
            <w:vAlign w:val="center"/>
          </w:tcPr>
          <w:p>
            <w:pPr>
              <w:pStyle w:val="TableContents"/>
              <w:bidi w:val="0"/>
              <w:spacing w:before="0" w:after="283"/>
              <w:jc w:val="left"/>
              <w:rPr/>
            </w:pPr>
            <w:hyperlink w:anchor="toc2_103">
              <w:r>
                <w:rPr>
                  <w:rStyle w:val="InternetLink"/>
                  <w:rFonts w:ascii="Times New Roman;Times;Serif" w:hAnsi="Times New Roman;Times;Serif"/>
                  <w:b w:val="false"/>
                  <w:i w:val="false"/>
                  <w:caps w:val="false"/>
                  <w:smallCaps w:val="false"/>
                  <w:sz w:val="20"/>
                </w:rPr>
                <w:t>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550" w:type="dxa"/>
            <w:tcBorders/>
            <w:shd w:fill="FFFFFF" w:val="clear"/>
            <w:vAlign w:val="center"/>
          </w:tcPr>
          <w:p>
            <w:pPr>
              <w:pStyle w:val="TableContents"/>
              <w:bidi w:val="0"/>
              <w:spacing w:before="0" w:after="283"/>
              <w:jc w:val="left"/>
              <w:rPr/>
            </w:pPr>
            <w:hyperlink w:anchor="toc2_1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550" w:type="dxa"/>
            <w:tcBorders/>
            <w:shd w:fill="CCEEFF" w:val="clear"/>
            <w:vAlign w:val="center"/>
          </w:tcPr>
          <w:p>
            <w:pPr>
              <w:pStyle w:val="TableContents"/>
              <w:bidi w:val="0"/>
              <w:spacing w:before="0" w:after="283"/>
              <w:jc w:val="left"/>
              <w:rPr/>
            </w:pPr>
            <w:hyperlink w:anchor="toc2_105">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550" w:type="dxa"/>
            <w:tcBorders/>
            <w:shd w:fill="FFFFFF" w:val="clear"/>
            <w:vAlign w:val="center"/>
          </w:tcPr>
          <w:p>
            <w:pPr>
              <w:pStyle w:val="TableContents"/>
              <w:bidi w:val="0"/>
              <w:spacing w:before="0" w:after="283"/>
              <w:jc w:val="left"/>
              <w:rPr/>
            </w:pPr>
            <w:hyperlink w:anchor="toc2_1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550" w:type="dxa"/>
            <w:tcBorders/>
            <w:shd w:fill="CCEEFF" w:val="clear"/>
            <w:vAlign w:val="center"/>
          </w:tcPr>
          <w:p>
            <w:pPr>
              <w:pStyle w:val="TableContents"/>
              <w:bidi w:val="0"/>
              <w:spacing w:before="0" w:after="283"/>
              <w:jc w:val="left"/>
              <w:rPr/>
            </w:pPr>
            <w:hyperlink w:anchor="toc2_107">
              <w:r>
                <w:rPr>
                  <w:rStyle w:val="InternetLink"/>
                  <w:rFonts w:ascii="Times New Roman;Times;Serif" w:hAnsi="Times New Roman;Times;Serif"/>
                  <w:b w:val="false"/>
                  <w:i w:val="false"/>
                  <w:caps w:val="false"/>
                  <w:smallCaps w:val="false"/>
                  <w:sz w:val="20"/>
                </w:rPr>
                <w:t>Dividend Policy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550" w:type="dxa"/>
            <w:tcBorders/>
            <w:shd w:fill="FFFFFF" w:val="clear"/>
            <w:vAlign w:val="center"/>
          </w:tcPr>
          <w:p>
            <w:pPr>
              <w:pStyle w:val="TableContents"/>
              <w:bidi w:val="0"/>
              <w:spacing w:before="0" w:after="283"/>
              <w:jc w:val="left"/>
              <w:rPr/>
            </w:pPr>
            <w:hyperlink w:anchor="toc2_108">
              <w:r>
                <w:rPr>
                  <w:rStyle w:val="InternetLink"/>
                  <w:rFonts w:ascii="Times New Roman;Times;Serif" w:hAnsi="Times New Roman;Times;Serif"/>
                  <w:b w:val="false"/>
                  <w:i w:val="false"/>
                  <w:caps w:val="false"/>
                  <w:smallCaps w:val="false"/>
                  <w:sz w:val="20"/>
                </w:rPr>
                <w:t>Dilution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4550" w:type="dxa"/>
            <w:tcBorders/>
            <w:shd w:fill="CCEEFF" w:val="clear"/>
            <w:vAlign w:val="center"/>
          </w:tcPr>
          <w:p>
            <w:pPr>
              <w:pStyle w:val="TableContents"/>
              <w:bidi w:val="0"/>
              <w:spacing w:before="0" w:after="283"/>
              <w:jc w:val="left"/>
              <w:rPr/>
            </w:pPr>
            <w:hyperlink w:anchor="toc2_109">
              <w:r>
                <w:rPr>
                  <w:rStyle w:val="InternetLink"/>
                  <w:rFonts w:ascii="Times New Roman;Times;Serif" w:hAnsi="Times New Roman;Times;Serif"/>
                  <w:b w:val="false"/>
                  <w:i w:val="false"/>
                  <w:caps w:val="false"/>
                  <w:smallCaps w:val="false"/>
                  <w:sz w:val="20"/>
                </w:rPr>
                <w:t>Description of Share Capital and Governing Documents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550" w:type="dxa"/>
            <w:tcBorders/>
            <w:shd w:fill="FFFFFF" w:val="clear"/>
            <w:vAlign w:val="center"/>
          </w:tcPr>
          <w:p>
            <w:pPr>
              <w:pStyle w:val="TableContents"/>
              <w:bidi w:val="0"/>
              <w:spacing w:before="0" w:after="283"/>
              <w:jc w:val="left"/>
              <w:rPr/>
            </w:pPr>
            <w:hyperlink w:anchor="toc2_110">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550" w:type="dxa"/>
            <w:tcBorders/>
            <w:shd w:fill="CCEEFF" w:val="clear"/>
            <w:vAlign w:val="center"/>
          </w:tcPr>
          <w:p>
            <w:pPr>
              <w:pStyle w:val="TableContents"/>
              <w:bidi w:val="0"/>
              <w:spacing w:before="0" w:after="283"/>
              <w:jc w:val="left"/>
              <w:rPr/>
            </w:pPr>
            <w:hyperlink w:anchor="toc2_111">
              <w:r>
                <w:rPr>
                  <w:rStyle w:val="InternetLink"/>
                  <w:rFonts w:ascii="Times New Roman;Times;Serif" w:hAnsi="Times New Roman;Times;Serif"/>
                  <w:b w:val="false"/>
                  <w:i w:val="false"/>
                  <w:caps w:val="false"/>
                  <w:smallCaps w:val="false"/>
                  <w:sz w:val="20"/>
                </w:rPr>
                <w:t>Taxation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550" w:type="dxa"/>
            <w:tcBorders/>
            <w:shd w:fill="FFFFFF" w:val="clear"/>
            <w:vAlign w:val="center"/>
          </w:tcPr>
          <w:p>
            <w:pPr>
              <w:pStyle w:val="TableContents"/>
              <w:bidi w:val="0"/>
              <w:spacing w:before="0" w:after="283"/>
              <w:jc w:val="left"/>
              <w:rPr/>
            </w:pPr>
            <w:hyperlink w:anchor="toc2_112">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550" w:type="dxa"/>
            <w:tcBorders/>
            <w:shd w:fill="CCEEFF" w:val="clear"/>
            <w:vAlign w:val="center"/>
          </w:tcPr>
          <w:p>
            <w:pPr>
              <w:pStyle w:val="TableContents"/>
              <w:bidi w:val="0"/>
              <w:spacing w:before="0" w:after="283"/>
              <w:jc w:val="left"/>
              <w:rPr/>
            </w:pPr>
            <w:hyperlink w:anchor="toc2_113">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550" w:type="dxa"/>
            <w:tcBorders/>
            <w:shd w:fill="FFFFFF" w:val="clear"/>
            <w:vAlign w:val="center"/>
          </w:tcPr>
          <w:p>
            <w:pPr>
              <w:pStyle w:val="TableContents"/>
              <w:bidi w:val="0"/>
              <w:spacing w:before="0" w:after="283"/>
              <w:jc w:val="left"/>
              <w:rPr/>
            </w:pPr>
            <w:hyperlink w:anchor="toc2_114">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550" w:type="dxa"/>
            <w:tcBorders/>
            <w:shd w:fill="CCEEFF" w:val="clear"/>
            <w:vAlign w:val="center"/>
          </w:tcPr>
          <w:p>
            <w:pPr>
              <w:pStyle w:val="TableContents"/>
              <w:bidi w:val="0"/>
              <w:spacing w:before="0" w:after="283"/>
              <w:jc w:val="left"/>
              <w:rPr/>
            </w:pPr>
            <w:hyperlink w:anchor="toc2_115">
              <w:r>
                <w:rPr>
                  <w:rStyle w:val="InternetLink"/>
                  <w:rFonts w:ascii="Times New Roman;Times;Serif" w:hAnsi="Times New Roman;Times;Serif"/>
                  <w:b w:val="false"/>
                  <w:i w:val="false"/>
                  <w:caps w:val="false"/>
                  <w:smallCaps w:val="false"/>
                  <w:sz w:val="20"/>
                </w:rPr>
                <w:t>Expenses of 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550" w:type="dxa"/>
            <w:tcBorders/>
            <w:shd w:fill="FFFFFF" w:val="clear"/>
            <w:vAlign w:val="center"/>
          </w:tcPr>
          <w:p>
            <w:pPr>
              <w:pStyle w:val="TableContents"/>
              <w:bidi w:val="0"/>
              <w:spacing w:before="0" w:after="283"/>
              <w:jc w:val="left"/>
              <w:rPr/>
            </w:pPr>
            <w:hyperlink w:anchor="toc2_116">
              <w:r>
                <w:rPr>
                  <w:rStyle w:val="InternetLink"/>
                  <w:rFonts w:ascii="Times New Roman;Times;Serif" w:hAnsi="Times New Roman;Times;Serif"/>
                  <w:b w:val="false"/>
                  <w:i w:val="false"/>
                  <w:caps w:val="false"/>
                  <w:smallCaps w:val="false"/>
                  <w:sz w:val="20"/>
                </w:rPr>
                <w:t>Enforcement of Civil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4550" w:type="dxa"/>
            <w:tcBorders/>
            <w:shd w:fill="CCEEFF" w:val="clear"/>
            <w:vAlign w:val="center"/>
          </w:tcPr>
          <w:p>
            <w:pPr>
              <w:pStyle w:val="TableContents"/>
              <w:bidi w:val="0"/>
              <w:spacing w:before="0" w:after="283"/>
              <w:jc w:val="left"/>
              <w:rPr/>
            </w:pPr>
            <w:hyperlink w:anchor="toc2_117">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4550" w:type="dxa"/>
            <w:tcBorders/>
            <w:shd w:fill="FFFFFF" w:val="clear"/>
            <w:vAlign w:val="center"/>
          </w:tcPr>
          <w:p>
            <w:pPr>
              <w:pStyle w:val="TableContents"/>
              <w:bidi w:val="0"/>
              <w:spacing w:before="0" w:after="283"/>
              <w:jc w:val="left"/>
              <w:rPr/>
            </w:pPr>
            <w:hyperlink w:anchor="toc2_118">
              <w:r>
                <w:rPr>
                  <w:rStyle w:val="InternetLink"/>
                  <w:rFonts w:ascii="Times New Roman;Times;Serif" w:hAnsi="Times New Roman;Times;Serif"/>
                  <w:b w:val="false"/>
                  <w:i w:val="false"/>
                  <w:caps w:val="false"/>
                  <w:smallCaps w:val="false"/>
                  <w:sz w:val="20"/>
                </w:rPr>
                <w:t>Incorporation of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responsible for the information contained and incorporated by reference in this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toc2_101"/>
      <w:bookmarkEnd w:id="16"/>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using a “shelf” registration process. Under this shelf registration process, we may sell any combination of the securities described in our base prospectus included in the shelf registration statement from time to time in one or more offerings up to a total aggregate offering price of $100,000,000. Under this prospectus, we may from time to time sell ADSs having an aggregate offering price of up to $30,000,000, at prices and on terms to be determined by market conditions at the time of the offering. The $30,000,000 of ADSs that may be sold under this prospectus are included in the $100,000,000 of securities that may be sold under the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specific terms of this offering of ADSs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ADSs that we are offering, we urge you to carefully read this prospectus, and any free writing prospectus that we have authorized for use in connection with this offering, and the information incorporated by reference as described under the headings “Where You Can Find More Information” and “Incorporation of Information by Reference” in this prospectus. These documents contain important information that you should consider when making your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Cantor has authorized anyone to provide you with any information other than that contained or incorporated by reference in this prospectus or any related free writing prospectus to which we have referred you. Neither we nor Cantor takes any responsibility for, and can provide no assurance as to the reliability of, any other information others may give you. Neither we nor Cantor is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the documents incorporated by reference 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herein and any free writing prospectus that we have authorized for use in connection with this offering, in their entirety before making an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ADSs only in jurisdictions where offers and sales are permitted. The distribution of this prospectus and the offering of ADSs in certain jurisdictions may be restricted by law. Persons outside the United States who come into possession of this prospectus must inform themselves about, and observe any restrictions relating to, the offering of ADSs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“U.S. dollars” or “$” are to the legal currency of the United States and all references to “€” or “euro” are to the currency introduced at the start of the third stage of the European economic and monetary union pursuant to the treaty establishing the European Community,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included in this prospectus have been rounded for ease of presentation. Percentage figures included in this prospectus have not in all cases been calculated on the basis of such rounded figures but on the basis of such amounts prior to rounding. For this reason, percentage amounts in this prospectus may vary slightly from those obtained by performing the same calculations using the figures in our consolidated financial statements. Certain other amounts that appear in this prospectus may similarly not sum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throughout this prospectus and any related free writing prospectus, the words “Genenta,” “we,” “us,” “our,” “the Company,” “our company” or similar references refer to Genenta Science S.p.A. and its subsidiaries.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7" w:color="000000"/>
        </w:rPr>
      </w:pPr>
      <w:bookmarkStart w:id="17" w:name="toc2_102"/>
      <w:bookmarkEnd w:id="17"/>
      <w:r>
        <w:rPr>
          <w:rFonts w:ascii="Times New Roman;Times;Serif" w:hAnsi="Times New Roman;Times;Serif"/>
          <w:b/>
          <w:i w:val="false"/>
          <w:caps w:val="false"/>
          <w:smallCaps w:val="false"/>
          <w:sz w:val="20"/>
          <w:bdr w:val="single" w:sz="12" w:space="7" w:color="000000"/>
        </w:rPr>
        <w:t>PROSPECTUS SUMMARY</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7" w:color="000000"/>
        </w:rPr>
      </w:pPr>
      <w:r>
        <w:rPr>
          <w:rFonts w:ascii="Times New Roman;Times;Serif" w:hAnsi="Times New Roman;Times;Serif"/>
          <w:b w:val="false"/>
          <w:i/>
          <w:caps w:val="false"/>
          <w:smallCaps w:val="false"/>
          <w:sz w:val="20"/>
          <w:bdr w:val="single" w:sz="12" w:space="7" w:color="000000"/>
        </w:rPr>
        <w:t>This summary highlights information contained in other parts of this prospectus or incorporated by reference in this prospectus from our Annual Report on Form 20-F for the year ended December 31, 2022, and our other filings with the SEC listed below under the heading “Incorporation of Information by Reference.” This summary may not contain all the information that you should consider before investing in the ADSs. You should read the entire prospectus and the information incorporated by reference in this prospectus carefully, including “Risk Factors” and the financial data and related notes and other information incorporated by reference, before making an investment decision. See “Special Note Regarding Forward-Looking Statements.”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Company Overview</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We are a clinical-stage biotechnology company engaged in the development of hematopoietic stem cell gene therapies for the treatment of solid tumors. We have developed a novel biologic platform that involves the ex-vivo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Corporate Information</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Genenta was formed as an Italian limited liability company (</w:t>
      </w:r>
      <w:r>
        <w:rPr>
          <w:rFonts w:ascii="Times New Roman;Times;Serif" w:hAnsi="Times New Roman;Times;Serif"/>
          <w:b w:val="false"/>
          <w:i/>
          <w:caps w:val="false"/>
          <w:smallCaps w:val="false"/>
          <w:sz w:val="20"/>
          <w:bdr w:val="single" w:sz="12" w:space="7" w:color="000000"/>
        </w:rPr>
        <w:t>società a responsabilità limitata</w:t>
      </w:r>
      <w:r>
        <w:rPr>
          <w:rFonts w:ascii="Times New Roman;Times;Serif" w:hAnsi="Times New Roman;Times;Serif"/>
          <w:b w:val="false"/>
          <w:i w:val="false"/>
          <w:caps w:val="false"/>
          <w:smallCaps w:val="false"/>
          <w:sz w:val="20"/>
          <w:bdr w:val="single" w:sz="12" w:space="7" w:color="000000"/>
        </w:rPr>
        <w:t>) in 2014. In May 2021, we changed the legal form of our company under Italian law to a joint stock company (</w:t>
      </w:r>
      <w:r>
        <w:rPr>
          <w:rFonts w:ascii="Times New Roman;Times;Serif" w:hAnsi="Times New Roman;Times;Serif"/>
          <w:b w:val="false"/>
          <w:i/>
          <w:caps w:val="false"/>
          <w:smallCaps w:val="false"/>
          <w:sz w:val="20"/>
          <w:bdr w:val="single" w:sz="12" w:space="7" w:color="000000"/>
        </w:rPr>
        <w:t>società per azioni</w:t>
      </w:r>
      <w:r>
        <w:rPr>
          <w:rFonts w:ascii="Times New Roman;Times;Serif" w:hAnsi="Times New Roman;Times;Serif"/>
          <w:b w:val="false"/>
          <w:i w:val="false"/>
          <w:caps w:val="false"/>
          <w:smallCaps w:val="false"/>
          <w:sz w:val="20"/>
          <w:bdr w:val="single" w:sz="12" w:space="7" w:color="000000"/>
        </w:rPr>
        <w:t>).</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Our principal executive offices are located at Via Olgettina No. 58, 20132 Milan, Italy. Our telephone number in Italy is +39.02.2643.6639. Our website address is www.genenta.com. The information contained on, or that can be accessed through, our website is not part of, and is not incorporated by reference into, this prospectus. We have included our website address in this prospectus solely as an inactive textual reference. Investors should not rely on any such information in deciding whether to purchase our securities.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Nasdaq Listing</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The ADSs, each representing one ordinary share of the Company, have been listed on the Nasdaq Capital Market under the symbol “GNTA” since December 2021.</w:t>
      </w:r>
    </w:p>
    <w:p>
      <w:pPr>
        <w:pStyle w:val="TextBody"/>
        <w:bidi w:val="0"/>
        <w:spacing w:before="0" w:after="0"/>
        <w:ind w:left="0" w:right="0" w:hanging="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7" w:color="000000"/>
        </w:rPr>
      </w:pPr>
      <w:bookmarkStart w:id="18" w:name="toc2_103"/>
      <w:bookmarkEnd w:id="18"/>
      <w:r>
        <w:rPr>
          <w:rFonts w:ascii="Times New Roman;Times;Serif" w:hAnsi="Times New Roman;Times;Serif"/>
          <w:b/>
          <w:i w:val="false"/>
          <w:caps/>
          <w:sz w:val="20"/>
          <w:bdr w:val="single" w:sz="12" w:space="7" w:color="000000"/>
        </w:rPr>
        <w:t>The Offering</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2033"/>
        <w:gridCol w:w="60"/>
        <w:gridCol w:w="8112"/>
      </w:tblGrid>
      <w:tr>
        <w:trPr/>
        <w:tc>
          <w:tcPr>
            <w:tcW w:w="2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offered by us</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having an aggregate offering price of up to $30,000,000.</w:t>
            </w:r>
          </w:p>
        </w:tc>
      </w:tr>
      <w:tr>
        <w:trPr/>
        <w:tc>
          <w:tcPr>
            <w:tcW w:w="20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to be outstanding immediately after this offering</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23,258,875 shares (as more fully described in the notes following this table), assuming sales of 5,042,017 ADSs in this offering at an offering price of $5.95 per ADS, which was the last reported sale price of the ADSs on the Nasdaq on May 11, 2023. The actual number of ADSs issued will vary depending on the number of ADSs that are sold and the sales price under this offering.</w:t>
            </w:r>
          </w:p>
        </w:tc>
      </w:tr>
      <w:tr>
        <w:trPr/>
        <w:tc>
          <w:tcPr>
            <w:tcW w:w="20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represents one of our ordinary shares, with no par value. The ADSs may be evidenced by American Depositary Receipts (“ADRs”). The depositary will hold in custody the ordinary shares underlying the ADSs and you will have the rights of an ADS holder as provided in the Deposit Agreement among us, the depositary and owners and holders of ADSs from time to time.</w:t>
            </w:r>
          </w:p>
        </w:tc>
      </w:tr>
      <w:tr>
        <w:trPr/>
        <w:tc>
          <w:tcPr>
            <w:tcW w:w="20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offering” that may be made from time to time through or to Cantor as our sales agent or principal. See “Plan of Distribution” on page 21.</w:t>
            </w:r>
          </w:p>
        </w:tc>
      </w:tr>
      <w:tr>
        <w:trPr/>
        <w:tc>
          <w:tcPr>
            <w:tcW w:w="20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if any, from the sale of the ADSs under this prospectus for our pipeline development, general corporate purposes and working capital. See “Use of Proceeds.”</w:t>
            </w:r>
          </w:p>
        </w:tc>
      </w:tr>
      <w:tr>
        <w:trPr/>
        <w:tc>
          <w:tcPr>
            <w:tcW w:w="20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w:t>
            </w:r>
          </w:p>
        </w:tc>
      </w:tr>
      <w:tr>
        <w:trPr/>
        <w:tc>
          <w:tcPr>
            <w:tcW w:w="20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Custodian</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custodian, acting through an office located in the United Kingdom.</w:t>
            </w:r>
          </w:p>
        </w:tc>
      </w:tr>
      <w:tr>
        <w:trPr/>
        <w:tc>
          <w:tcPr>
            <w:tcW w:w="20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ADSs involves significant risks. See the disclosure under the heading “Risk Factors” on page 4 in this prospectus and under similar headings in other documents incorporated by reference into this prospectus.</w:t>
            </w:r>
          </w:p>
        </w:tc>
      </w:tr>
      <w:tr>
        <w:trPr/>
        <w:tc>
          <w:tcPr>
            <w:tcW w:w="20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 symbol</w:t>
            </w:r>
          </w:p>
        </w:tc>
        <w:tc>
          <w:tcPr>
            <w:tcW w:w="60" w:type="dxa"/>
            <w:tcBorders/>
            <w:vAlign w:val="center"/>
          </w:tcPr>
          <w:p>
            <w:pPr>
              <w:pStyle w:val="TableContents"/>
              <w:bidi w:val="0"/>
              <w:spacing w:before="0" w:after="283"/>
              <w:jc w:val="left"/>
              <w:rPr/>
            </w:pPr>
            <w:r>
              <w:rPr/>
              <w:t> </w:t>
            </w:r>
          </w:p>
        </w:tc>
        <w:tc>
          <w:tcPr>
            <w:tcW w:w="811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GNTA”</w:t>
            </w:r>
          </w:p>
        </w:tc>
      </w:tr>
    </w:tbl>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The number of our ordinary shares to be outstanding after this offering as shown above is based on 18,216,858 of our ordinary shares outstanding as of December 31, 2022, and excludes:</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540,523 ordinary shares issuable upon exercise of stock options outstanding as of December 31, 2022 with a weighted-average exercise price of $5.32 per share;</w:t>
            </w:r>
          </w:p>
        </w:tc>
      </w:tr>
    </w:tbl>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23,502 ordinary shares represented by ADSs issuable upon exercise of warrants outstanding as of December 31, 2022 with an exercise price of $14.375 per ADS; and</w:t>
            </w:r>
          </w:p>
        </w:tc>
      </w:tr>
    </w:tbl>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up to </w:t>
            </w:r>
            <w:r>
              <w:rPr>
                <w:rFonts w:ascii="Times New Roman;Times;Serif" w:hAnsi="Times New Roman;Times;Serif"/>
                <w:b w:val="false"/>
                <w:i w:val="false"/>
                <w:caps w:val="false"/>
                <w:smallCaps w:val="false"/>
                <w:sz w:val="20"/>
              </w:rPr>
              <w:t xml:space="preserve">1,281,162 </w:t>
            </w:r>
            <w:r>
              <w:rPr>
                <w:rFonts w:ascii="Times New Roman;Times;Serif" w:hAnsi="Times New Roman;Times;Serif"/>
                <w:b w:val="false"/>
                <w:i w:val="false"/>
                <w:caps w:val="false"/>
                <w:smallCaps w:val="false"/>
                <w:sz w:val="20"/>
                <w:shd w:fill="FFFFFF" w:val="clear"/>
              </w:rPr>
              <w:t xml:space="preserve">ordinary shares reserved for future issuance </w:t>
            </w:r>
            <w:r>
              <w:rPr>
                <w:rFonts w:ascii="Times New Roman;Times;Serif" w:hAnsi="Times New Roman;Times;Serif"/>
                <w:b w:val="false"/>
                <w:i w:val="false"/>
                <w:caps w:val="false"/>
                <w:smallCaps w:val="false"/>
                <w:sz w:val="20"/>
              </w:rPr>
              <w:t>under our 2021 – 2025 Stock Option Plan (the “Stock Option Plan”) as of December 31, 2022.</w:t>
            </w:r>
          </w:p>
        </w:tc>
      </w:tr>
    </w:tbl>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Except as otherwise indicated, all information in this prospectus does not assume or give effect to the grant of any stock options or the exercise of outstanding stock options or warrants after December 31, 2022.</w:t>
      </w:r>
    </w:p>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toc2_104"/>
      <w:bookmarkEnd w:id="19"/>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the ADSs sold in this offering involves risks. You should carefully consider the risk factors described below and in our Annual Report on Form 20-F for the year ended December 31, 2022, incorporated by reference in this prospectus, any amendment or update thereto reflected in subsequent filings with the SEC, and all other information contained or incorporated by reference in this prospectus, as updated by our subsequent filings with the SEC. The occurrence of any of these risks might cause you to lose all or part of your investment in the ADSs offered under this prospectus. The risks and uncertainties previously described and discussed below are not the only ones we face. Additional risks and uncertainties not presently known to us, or that we currently see as immaterial, may also harm our business. If any of these risks actually occurs, our business, financial condition, results of operation or cash flow could be adversely affected. This could cause the trading price of the ADSs to decline, resulting in a loss of all or part of your investment. Please also read carefully the section below titled “Special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the ADSs sold in this offering, you may experience immediate and substantial dilution in the net tangible book value of the ADSs. In addition, we may issue additional equity or convertible debt securities in the future, which may result in additional dilution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ADS of the ADSs being offered pursuant to this prospectus may be higher than the net tangible book value per ADS prior to this offering. Assuming an aggregate gross amount of $30.0 million of ADSs will be sold in this offering at an assumed offering price of $5.95 per ADS, the last reported sale price of the ADSs on the Nasdaq on May 11, 2023, and after deducting commissions and estimated offering expenses payable by us, new investors in this offering will incur immediate dilution of $3.29 per ADS. For a more detailed discussion of the foregoing, see the section entitled “Dilution”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outstanding stock options or warrants are exercised, there will be further dilution to new investors. In addition, to the extent we need to raise additional capital in the future and we issue additional ordinary shares, ordinary shares represented by ADSs or securities convertible or exchangeable for our ordinary shares and/or ordinary shares represented by ADSs, our then existing shareholders may experience dilution and the new securities may have rights senior to those of the ADSs offered in this offering. The price per share or ADS at which we sell additional ordinary shares or ADSs, as applicable, or securities convertible or exchangeable into ordinary shares and/or ADSs, in any future transactions may be higher or lower than the price per ADS paid by investors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not use them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our pipeline development, general corporate purposes and working capital. The failure by our management to apply these funds effectively could harm our business. Pending their use, we plan to invest the net proceeds from this offering in a variety of capital preservation investments, including short-term, investment grade, and interest-bearing instruments and government securities. These investments may not yield a favorable return to our investors. If we do not invest or apply the net proceeds from this offering in ways that enhance value for investors, we may fail to achieve expected financial results, which could cause the price of the ADSs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ADSs that are sold under the Sales Agreement, at any one time or in total,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in compliance with applicable laws and regulations, we have the discretion to deliver a placement notice to Cantor at any time throughout the term of the Sales Agreement. The number of ADSs that are sold, if any, by Cantor after we deliver a placement notice will fluctuate based on the market price of the ADSs during the sales period and limits we set with Cantor. Because the price per ADS sold will fluctuate based on the market price of the ADSs during the sales period, it is not possible at this stage to predict the number of ADSs that will be ultimately issued.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ADSs offered hereby will be sold in “at the market offerings,” and investors who buy shares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ADSs in this offering at different times will likely pay different prices, and so may experience different outcomes in their investment results. We will have discretion, subject to market demand, to vary the timing, prices, and numbers of ADSs sold, and there is no minimum or maximum sales price. Investors may experience a decline in the value of their ADSs as a result of ADS sales made at prices lower than the prices they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paid, and do not intend to pay, dividends on our ordinary shares and, therefore, unless the ADSs appreciate in value, our investors may not benefit from holding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ADSs is likely to be highly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ADSs has fluctuated, ranging from a closing price low of $3.93 to a closing price high of $11.40 during the year ended December 31, 2022, and is likely to continue to be highly volatile. The following factors, in addition to other risk factors described in this section, may have a significant impact on the market price of the ADSs: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results or delays in pre- and non-clinical studies or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of adverse events in other gene therapy products or clinical studies of such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additional funding;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the approvals necessary to commence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unsatisfactory results of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regulatory approval or the failure to obtain it, or specific label indications or patient populations for its use, or changes or delays in the regulatory review process;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therapeutic innovations or new products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actions taken by regulatory authorities with respect to our clinical trials, manufacturing supply chain or sales and marketing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developments in laws or regulations applicable to the treatment of cancer tumors, or any other indication that we may seek to develop;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changes to our relationship with manufacturers or suppliers;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infringement actions in which we may become involved;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concerning our competitors or the biotechnology and pharmaceutical industries in general;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expected product sales and profitability or our failure to meet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commencement of, or involvement in,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changes in our board of directors 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and retain qualified regulatory, research and development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in the United States relating to the sale or pricing of biotechnology or gene therapy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depth of the trading market in the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downturns, recessions, inflation, increasing interest rates, supply chain shortages, rising fuel prices, or political instability in global, U.S. or particular foreign economies and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global or U.S. banking systems or the banking systems of foreign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a local or worldwide pandemic, such as COVID-19, geopolitical actions, including war and terrorism (including the ongoing war in Ukraine), or natural disasters;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granting or exercise of employee stock options or other equity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patents, litigation matters and our ability to obtain patent protection for our technologies;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scientific or management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shareholder litigation;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investors’ and securities analysts’ perception of the business risks and conditions of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the ADS price to decline rapidly and unexpectedly.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substantial risk that we are or will become classified as a passive foreign investment company. If we are or become classified as a passive foreign investment company, our U.S. shareholders may suffer adverse tax consequences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passive foreign investment company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interest income earned by reason of the temporary investment of funds, including those raised in a public offering, and the excess of certain foreign currency gains over certain foreign currency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PFIC will depend on the nature and composition of our income and the nature, composition and value of our assets. Our status may also depend, in part, on how quickly we utilize the cash proceeds from this offering in our business. We have not made the formal analysis necessary to determine whether or not we are currently a PFIC or whether we have ever been a PFIC. Based on preliminary analysis done in connection with this offering, however, we believe that we were likely classified as a PFIC in 2022, and we may be classified as a PFIC for 2023 and future years. In particular, so long as we do not generate revenue from operations for any taxable year and do not receive any research and development grants, or even if we receive a research and development grant, if such grant does not constitute gross income for United States federal income tax purposes, we likely will be classified as a PFIC in any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in any taxable year during which a U.S. taxpayer holds the ADSs, such U.S. taxpayer would be subject to certain adverse U.S. federal income tax rules. In particular, if the U.S. taxpayer did not make an election to treat us as a “qualified electing fund”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(the “IRS”) determines that we are a PFIC for a year with respect to which we have determined that we were not a PFIC, it may be too late for a U.S. taxpayer to make a timely QEF or mark-to-market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taxpayers that have held the ADSs during a period when we were a PFIC will be subject to the foregoing rules, even if we cease to be a PFIC in subsequent years, subject to exceptions for U.S. taxpayer who made a timely QEF or mark-to-market election. At this time, we do not expect to provide U.S. shareholders with the information necessary for a U.S. shareholder to make a QEF election. Prospective investors should assume that a QEF election will not be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“Taxation—U.S. Federal Income Taxation.”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0" w:name="toc2_105"/>
      <w:bookmarkEnd w:id="20"/>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many statements that are “forward-looking” within the meaning of Section 27A of the Securities Act of 1933, as amended (the “Securities Act”), and Section 21E of the Securities Exchange Act of 1934, as amended (the “Exchange Act”),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prospectus, any or all of those assumptions could prove to be inaccurate. As a result, the forward-looking statements based on those assumptions could also be incorrect. The forward-looking statements in this prospectus include, without limitation, statements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application of the net proceeds from this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revenues, profits, earnings and other estimated financial information;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strong relationships with our customers and suppliers;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planned use of proceeds;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governmental policies regarding our industry;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 factors as set forth under the “Risk Factors” section of this prospectus and under “Item 3. Key Information—D. Risk Factors.” in our Annual Report on Form 20-F for the year ended December 31, 2022, which report is incorporated by reference in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 Comparisons of results for current and any prior periods are not intended to express any future trends or indications of future performance, unless expressed as such, and should only be viewed as historical data. You should, however, review the factors and risks we describe in the reports we will file from time to time with the SEC after the date of this prospectus.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also read carefully the factors described in the “Risk Factors” section of this prospectus, in “Item 3. Key Information—D. Risk Factors” in our Annual Report on Form 20-F for the year ended December 31, 2022 and in the other documents that we file with the SEC after the date of this prospectus that are incorporated by reference into this prospectus to better understand the risks and uncertainties inherent in our business and underlying any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toc2_106"/>
      <w:bookmarkEnd w:id="21"/>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ADSs having aggregate sales proceeds of up to $30,000,000 from time to time. Because there is no minimum offering amount required as a condition to close this offering, the actual total public offering amount, commissions and proceeds to us, if any, are not determinable at this time. There can be no assurance that we will sell any ADSs under or fully utilize the Sales Agreement as a source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if any, for our pipeline development, general corporate purposes and working capital. We have not determined the amount of net proceeds to be used specifically for the foregoing purposes. As a result, our management will have broad discretion in the allocation of the net proceeds from this offering. Pending use of the net proceeds, we currently intend to invest any proceeds in a variety of capital preservation instruments, including short-term, investment grade, and interest-bearing instruments and government securities.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toc2_107"/>
      <w:bookmarkEnd w:id="22"/>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toc2_108"/>
      <w:bookmarkEnd w:id="23"/>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the ADSs in this offering, your interest will be diluted to the extent of the difference between the price per ADS you pay in this offering and the net tangible book value per ADS immediately after this offering. The net tangible book value of our ordinary shares as of December 31, 2022 was approximately $33.2 million, or approximately $1.82 per ordinary share, based upon 18,216,858 ordinary shares outstanding as of December 31, 2022. Net tangible book value per ordinary share is equal to our total tangible assets, less our total liabilities, divided by the total number of ordinary shares outstanding as of December 31, 2022. For purposes of illustration, the following discussion assumes that all of our outstanding ordinary shares both before and after this offering are represented by ADSs, each representing one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the ADSs in the aggregate amount of $30.0 million at an assumed offering price of $5.95 per ADS, the last reported sale price of the ADSs on the Nasdaq on May 11, 2023, and after deducting commissions and estimated offering expenses payable by us, our as adjusted net tangible book value as of December 31, 2022 would have been $61.9 million, or $2.66 per ADS. This represents an immediate increase in net tangible book value of $0.84 per ADS to our existing shareholders and an immediate dilution in net tangible book value of $3.29 per ADS to new investors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calculation on a per ADS basis. The as-adjusted information is illustrative only and will adjust based on the actual price to the public, the actual number of ADSs sold and other terms of the offering determined at the time ADSs are sold pursuant to this prospectus. The as-adjusted information assumes that all of the ADSs in the aggregate amount of $30.0 million will be sold at the assumed offering price of $5.95 per ADS, the last reported sale price of the ADSs on the Nasdaq on May 11, 2023. The ADSs sold in this offering, if any, will be sold from time to time at various prices.</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365"/>
        <w:gridCol w:w="60"/>
        <w:gridCol w:w="125"/>
        <w:gridCol w:w="380"/>
        <w:gridCol w:w="60"/>
        <w:gridCol w:w="60"/>
        <w:gridCol w:w="125"/>
        <w:gridCol w:w="380"/>
        <w:gridCol w:w="75"/>
      </w:tblGrid>
      <w:tr>
        <w:trPr/>
        <w:tc>
          <w:tcPr>
            <w:tcW w:w="6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public offering price per ADS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tangible book value per ADS as of December 31, 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net tangible book value per ADS attributable to the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net tangible book value per ADS after giving effect to the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ADS to new investors participating in the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excludes: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540,523 ordinary shares issuable upon exercise of stock options outstanding as of December 31, 2022 with a weighted-average exercise price of $5.32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23,502 ordinary shares represented by ADSs issuable upon exercise of warrants outstanding as of December 31, 2022 with an exercise price of $14.375 per ADS;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up to </w:t>
            </w:r>
            <w:r>
              <w:rPr>
                <w:rFonts w:ascii="Times New Roman;Times;Serif" w:hAnsi="Times New Roman;Times;Serif"/>
                <w:b w:val="false"/>
                <w:i w:val="false"/>
                <w:caps w:val="false"/>
                <w:smallCaps w:val="false"/>
                <w:sz w:val="20"/>
              </w:rPr>
              <w:t xml:space="preserve">1,281,162 </w:t>
            </w:r>
            <w:r>
              <w:rPr>
                <w:rFonts w:ascii="Times New Roman;Times;Serif" w:hAnsi="Times New Roman;Times;Serif"/>
                <w:b w:val="false"/>
                <w:i w:val="false"/>
                <w:caps w:val="false"/>
                <w:smallCaps w:val="false"/>
                <w:sz w:val="20"/>
                <w:shd w:fill="FFFFFF" w:val="clear"/>
              </w:rPr>
              <w:t xml:space="preserve">ordinary shares reserved for future issuance </w:t>
            </w:r>
            <w:r>
              <w:rPr>
                <w:rFonts w:ascii="Times New Roman;Times;Serif" w:hAnsi="Times New Roman;Times;Serif"/>
                <w:b w:val="false"/>
                <w:i w:val="false"/>
                <w:caps w:val="false"/>
                <w:smallCaps w:val="false"/>
                <w:sz w:val="20"/>
              </w:rPr>
              <w:t>under the Stock Option Plan as of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does not assume or give effect to the grant of any stock options or the exercise of outstanding stock options or warrants after December 31, 2022. To the extent stock options are exercised, there may be further dilution to new investors.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toc2_109"/>
      <w:bookmarkEnd w:id="24"/>
      <w:r>
        <w:rPr>
          <w:rFonts w:ascii="Times New Roman;Times;Serif" w:hAnsi="Times New Roman;Times;Serif"/>
          <w:b/>
          <w:i w:val="false"/>
          <w:caps w:val="false"/>
          <w:smallCaps w:val="false"/>
          <w:sz w:val="20"/>
        </w:rPr>
        <w:t>DESCRIPTION OF SHARE CAPITAL AND GOVERNING DOCUMENTS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capital is composed of ordinary shares with no par value. As of December 31, 2022, our issued share capital consisted of 18,216,858 ordinary shares. All issued shares are fully paid, non-assessable and in registered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preference shares are designated,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information concerning our ordinary shares and bylaws (</w:t>
      </w:r>
      <w:r>
        <w:rPr>
          <w:rFonts w:ascii="Times New Roman;Times;Serif" w:hAnsi="Times New Roman;Times;Serif"/>
          <w:b w:val="false"/>
          <w:i/>
          <w:caps w:val="false"/>
          <w:smallCaps w:val="false"/>
          <w:sz w:val="20"/>
        </w:rPr>
        <w:t>Statuto</w:t>
      </w:r>
      <w:r>
        <w:rPr>
          <w:rFonts w:ascii="Times New Roman;Times;Serif" w:hAnsi="Times New Roman;Times;Serif"/>
          <w:b w:val="false"/>
          <w:i w:val="false"/>
          <w:caps w:val="false"/>
          <w:smallCaps w:val="false"/>
          <w:sz w:val="20"/>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most of the procedures regulating our Company, including certain rights of shareholders, are contained in our bylaws. Amendments to our bylaws must be approved at an extraordinary meeting of shareholders,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and 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not represented by share certificates (</w:t>
      </w:r>
      <w:r>
        <w:rPr>
          <w:rFonts w:ascii="Times New Roman;Times;Serif" w:hAnsi="Times New Roman;Times;Serif"/>
          <w:b w:val="false"/>
          <w:i/>
          <w:caps w:val="false"/>
          <w:smallCaps w:val="false"/>
          <w:sz w:val="20"/>
        </w:rPr>
        <w:t xml:space="preserve">certificati azionari) </w:t>
      </w:r>
      <w:r>
        <w:rPr>
          <w:rFonts w:ascii="Times New Roman;Times;Serif" w:hAnsi="Times New Roman;Times;Serif"/>
          <w:b w:val="false"/>
          <w:i w:val="false"/>
          <w:caps w:val="false"/>
          <w:smallCaps w:val="false"/>
          <w:sz w:val="20"/>
        </w:rPr>
        <w:t xml:space="preserve">as they are dematerialised </w:t>
      </w:r>
      <w:r>
        <w:rPr>
          <w:rFonts w:ascii="Times New Roman;Times;Serif" w:hAnsi="Times New Roman;Times;Serif"/>
          <w:b w:val="false"/>
          <w:i/>
          <w:caps w:val="false"/>
          <w:smallCaps w:val="false"/>
          <w:sz w:val="20"/>
        </w:rPr>
        <w:t>(azioni dematerializzate</w:t>
      </w:r>
      <w:r>
        <w:rPr>
          <w:rFonts w:ascii="Times New Roman;Times;Serif" w:hAnsi="Times New Roman;Times;Serif"/>
          <w:b w:val="false"/>
          <w:i w:val="false"/>
          <w:caps w:val="false"/>
          <w:smallCaps w:val="false"/>
          <w:sz w:val="20"/>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on the right to own or vote our ordinary shares, which applies to non-Italian residents and foreign residents except for “Golden Power” regulations and Italian Antitrust laws (see “Notification of acquisition of shares” below).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where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by the Company of any annual dividend is proposed by the board of directors and is subject to the approval of the shareholders at the annual shareholders’ meeting. Before dividends may be paid out of the Company’s unconsolidated net income in any year, an amount at least equal to 5% of such net income must be allocated to the Company’s legal reserve until such reserve is at least equal to one-fifth of the Company’s issued share capital. If the Company’s share capital is reduced as a result of accumulated losses, no dividends may be paid until the capital is reconstituted or reduced by the amount of such losses. The Company may pay dividends out of available retained earnings from prior years, provided that, after such payment, the Company will have a legal reserve at least equal to the legally required minimum. No interim dividends may be approved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paid in the manner and on the date specified in the shareholders’ resolution approving their payment. Dividends that are not collected within five years of the date on which they become payable are forfeited to the benefit of the Company. Holders of ADSs will be entitled to receive payments in respect of dividends on the underlying shares through The Bank of New York Mellon, as Depositary, in accordance with the Deposit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the Company’s ordinary shares are entitled to one vote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registered shareholder, the Depositary (or its nominee) will be entitled to vote the ordinary shares underlying the ADSs with respect to voting instructions received from ADS holders in accordance with the terms and conditions of the Deposit Agreement. Neither Italian law nor the Company’s bylaws limit the right of non-resident or foreign owners of the Company’s ordinary shares to hold or vote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 Those who exercise their preemptive rights, provided they make such request simultaneously, have a preemptive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shareholders’ equity, taking into account, in the case of shares listed on regulated markets, also the trend in prices over the last six months. The foregoing procedure shall apply also in case of capital increase delegated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Preference shares;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Debt-equity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Times New Roman;Times;Serif" w:hAnsi="Times New Roman;Times;Serif"/>
          <w:b w:val="false"/>
          <w:i/>
          <w:caps w:val="false"/>
          <w:smallCaps w:val="false"/>
          <w:sz w:val="20"/>
        </w:rPr>
        <w:t>valore nominale</w:t>
      </w:r>
      <w:r>
        <w:rPr>
          <w:rFonts w:ascii="Times New Roman;Times;Serif" w:hAnsi="Times New Roman;Times;Serif"/>
          <w:b w:val="false"/>
          <w:i w:val="false"/>
          <w:caps w:val="false"/>
          <w:smallCaps w:val="false"/>
          <w:sz w:val="20"/>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Reduction of equity by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present intention to enter into any such transaction and no such transaction is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of shares by us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if we do not have such available profits or reserves,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limitations do not apply in case we purchase our shares: (i) by giving execution to a shareholders’ meeting resolution authorizing capital reduction through repurchase or cancellation; (ii) for free, to the extent they are fully paid-in; (iii) as a consequence of universal succession, merger or demerger; or (iv) on occasion of foreclosures authorized to satisfy a creditor of our company, to the extent they are fully paid-in.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hold any of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 of the acquisition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we fall under the scope of the Law Decree No. 21 of March 15, 2012 (the so-called Italian “Golden Power” regulations), as subsequently amended and supplemented, (i) certain resolutions of the Company and, if specific thresholds requirements are met, and (ii) certain third-party investors’ purchases of our shares may be subject to </w:t>
      </w:r>
      <w:r>
        <w:rPr>
          <w:rFonts w:ascii="Times New Roman;Times;Serif" w:hAnsi="Times New Roman;Times;Serif"/>
          <w:b w:val="false"/>
          <w:i/>
          <w:caps w:val="false"/>
          <w:smallCaps w:val="false"/>
          <w:sz w:val="20"/>
        </w:rPr>
        <w:t xml:space="preserve">ad hoc </w:t>
      </w:r>
      <w:r>
        <w:rPr>
          <w:rFonts w:ascii="Times New Roman;Times;Serif" w:hAnsi="Times New Roman;Times;Serif"/>
          <w:b w:val="false"/>
          <w:i w:val="false"/>
          <w:caps w:val="false"/>
          <w:smallCaps w:val="false"/>
          <w:sz w:val="20"/>
        </w:rPr>
        <w:t>notifications to the Italian Government which may object to the transaction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in such cases the Government would have,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to veto or to impose specific conditions with respect to the acquisition of certain shareholdings by any foreign entity outside the European Union with respect to companies having assets and business in sectors of strategic importance;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to veto or impose specific conditions with regard to the adoption of specific corporate resolutions, acts or transactions by the same companies.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Minority shareholders’ rights; withdrawal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may bring to the attention of the board of statutory auditors facts or acts which such shareholder deems wrongful. If such shareholders represent at least 5% of our share capital, or in case we are considered an Open Company (as described below)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governed by the corporate laws of Italy, and is legally considered and treated, according to the Italian Civil Code, as a private company because our shares are not listed on a regulated market in Italy or within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under Italian corporate law, while joint-stock companies are all the same type of legal entity, there is a distinction between those companies that do not have access to the capital markets (</w:t>
      </w:r>
      <w:r>
        <w:rPr>
          <w:rFonts w:ascii="Times New Roman;Times;Serif" w:hAnsi="Times New Roman;Times;Serif"/>
          <w:b w:val="false"/>
          <w:i/>
          <w:caps w:val="false"/>
          <w:smallCaps w:val="false"/>
          <w:sz w:val="20"/>
        </w:rPr>
        <w:t>Private Companies</w:t>
      </w:r>
      <w:r>
        <w:rPr>
          <w:rFonts w:ascii="Times New Roman;Times;Serif" w:hAnsi="Times New Roman;Times;Serif"/>
          <w:b w:val="false"/>
          <w:i w:val="false"/>
          <w:caps w:val="false"/>
          <w:smallCaps w:val="false"/>
          <w:sz w:val="20"/>
        </w:rPr>
        <w:t>) and companies that have such access. This latter category comprises both companies listed on European regulated markets (</w:t>
      </w:r>
      <w:r>
        <w:rPr>
          <w:rFonts w:ascii="Times New Roman;Times;Serif" w:hAnsi="Times New Roman;Times;Serif"/>
          <w:b w:val="false"/>
          <w:i/>
          <w:caps w:val="false"/>
          <w:smallCaps w:val="false"/>
          <w:sz w:val="20"/>
        </w:rPr>
        <w:t>Public Companies</w:t>
      </w:r>
      <w:r>
        <w:rPr>
          <w:rFonts w:ascii="Times New Roman;Times;Serif" w:hAnsi="Times New Roman;Times;Serif"/>
          <w:b w:val="false"/>
          <w:i w:val="false"/>
          <w:caps w:val="false"/>
          <w:smallCaps w:val="false"/>
          <w:sz w:val="20"/>
        </w:rPr>
        <w:t>) and companies whose securities are not listed on such markets, insofar as they have completed a significant distribution of their securities among the public (so-called “</w:t>
      </w:r>
      <w:r>
        <w:rPr>
          <w:rFonts w:ascii="Times New Roman;Times;Serif" w:hAnsi="Times New Roman;Times;Serif"/>
          <w:b w:val="false"/>
          <w:i/>
          <w:caps w:val="false"/>
          <w:smallCaps w:val="false"/>
          <w:sz w:val="20"/>
        </w:rPr>
        <w:t>emittenti aventi strumenti finanziari diffusi tra il pubblico in maniera rilevante</w:t>
      </w:r>
      <w:r>
        <w:rPr>
          <w:rFonts w:ascii="Times New Roman;Times;Serif" w:hAnsi="Times New Roman;Times;Serif"/>
          <w:b w:val="false"/>
          <w:i w:val="false"/>
          <w:caps w:val="false"/>
          <w:smallCaps w:val="false"/>
          <w:sz w:val="20"/>
        </w:rPr>
        <w:t>”), according to the relevant provisions set forth in Italian Financials’ Consolidated Act and its implementing provisions (</w:t>
      </w:r>
      <w:r>
        <w:rPr>
          <w:rFonts w:ascii="Times New Roman;Times;Serif" w:hAnsi="Times New Roman;Times;Serif"/>
          <w:b w:val="false"/>
          <w:i/>
          <w:caps w:val="false"/>
          <w:smallCaps w:val="false"/>
          <w:sz w:val="20"/>
        </w:rPr>
        <w:t>Open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2-bis of the Issuer’s Regulation implemented by Consob (</w:t>
      </w:r>
      <w:r>
        <w:rPr>
          <w:rFonts w:ascii="Times New Roman;Times;Serif" w:hAnsi="Times New Roman;Times;Serif"/>
          <w:b w:val="false"/>
          <w:i/>
          <w:caps w:val="false"/>
          <w:smallCaps w:val="false"/>
          <w:sz w:val="20"/>
        </w:rPr>
        <w:t>Regolamento emittenti</w:t>
      </w:r>
      <w:r>
        <w:rPr>
          <w:rFonts w:ascii="Times New Roman;Times;Serif" w:hAnsi="Times New Roman;Times;Serif"/>
          <w:b w:val="false"/>
          <w:i w:val="false"/>
          <w:caps w:val="false"/>
          <w:smallCaps w:val="false"/>
          <w:sz w:val="20"/>
        </w:rPr>
        <w:t>), Open Companies must meet the following requirements: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at least 500 shareholders in addition to the majority shareholders who hold at least 5% of the outstanding share capital;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exceeding at least two out of the following three thresholds:</w:t>
            </w:r>
          </w:p>
        </w:tc>
      </w:tr>
    </w:tbl>
    <w:p>
      <w:pPr>
        <w:pStyle w:val="TextBody"/>
        <w:bidi w:val="0"/>
        <w:spacing w:before="0" w:after="283"/>
        <w:jc w:val="left"/>
        <w:rPr/>
      </w:pPr>
      <w:r>
        <w:rPr/>
        <w:t> </w:t>
      </w:r>
    </w:p>
    <w:tbl>
      <w:tblPr>
        <w:tblW w:w="3760" w:type="dxa"/>
        <w:jc w:val="left"/>
        <w:tblInd w:w="0" w:type="dxa"/>
        <w:tblLayout w:type="fixed"/>
        <w:tblCellMar>
          <w:top w:w="0" w:type="dxa"/>
          <w:left w:w="0" w:type="dxa"/>
          <w:bottom w:w="0" w:type="dxa"/>
          <w:right w:w="0" w:type="dxa"/>
        </w:tblCellMar>
      </w:tblPr>
      <w:tblGrid>
        <w:gridCol w:w="75"/>
        <w:gridCol w:w="80"/>
        <w:gridCol w:w="3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side of €4.4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of €8.8 million;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average of 50 employees during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financial instruments widely distributed among the public, the regulation relating to Open Companies could apply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represented by ADSs under the symbol “GNTA.” Neither the Company’s ordinary shares nor its ADSs are listed on a securities exchange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register is currently kept by Spafid S.p.A., which acts as registrar. The share register reflects only record owners of our ordinary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toc2_110"/>
      <w:bookmarkEnd w:id="25"/>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descriptions of our ordinary shares and the ADSs, please refer to the Description of Securities, filed as Exhibit 2.4 to our Annual Report on Form 20-F for the year ended December 31, 2022, which is incorporated herein by reference. Because those descriptions are summaries, they may not contain all of the information important to you. Accordingly, those descriptions are qualified entirely by reference to our bylaws (statuto), the Deposit Agreement and the form of ADR, as applicable, copies of which have been filed as exhibits to the registration statement of which this prospectus forms a part. See “Where You Can Find More Information.”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toc2_111"/>
      <w:bookmarkEnd w:id="26"/>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Italian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should refer to </w:t>
      </w:r>
      <w:r>
        <w:rPr>
          <w:rFonts w:ascii="Times New Roman;Times;Serif" w:hAnsi="Times New Roman;Times;Serif"/>
          <w:b w:val="false"/>
          <w:i w:val="false"/>
          <w:caps w:val="false"/>
          <w:smallCaps w:val="false"/>
          <w:sz w:val="20"/>
          <w:shd w:fill="FFFFFF" w:val="clear"/>
        </w:rPr>
        <w:t xml:space="preserve">“Item 10. Additional Information—E. Taxation—Italian Tax Consequences” in our Annual Report on Form 20-F for the year ended December 31, 2022, which is incorporated herein by reference, for a summary of </w:t>
      </w:r>
      <w:r>
        <w:rPr>
          <w:rFonts w:ascii="Times New Roman;Times;Serif" w:hAnsi="Times New Roman;Times;Serif"/>
          <w:b w:val="false"/>
          <w:i w:val="false"/>
          <w:caps w:val="false"/>
          <w:smallCaps w:val="false"/>
          <w:sz w:val="20"/>
        </w:rPr>
        <w:t>material tax consequences under Italian law relating to the purchase, ownership and disposition of the ADSs to be offered and sold under this prospectus. Such summary is not intended to constitute a complete analysis of all tax consequences relating to the acquisition, ownership, and disposition of the ADSs. You should consult your own tax advisor concerning the tax consequences of your particular situation, as well as any tax consequences that may arise under the laws of any state, local, foreign or other taxing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purposes only and does not purport to be a comprehensive description of all of the U.S. federal income tax considerations that may be relevant to a decision to invest in or dispose of the ADSs. This summary generally considers only U.S. Holders that will own the ADSs as capital assets and who will not hold the ADSs as part of a permanent establishment in Italy.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U.S. federal income tax treatment of partnerships (or other pass-through entities) or persons who hold securities through a partnership or other pass-through entity are not addressed. If a partnership (including any entity treated as a partnership for U.S. federal income tax purposes) holds ADSs, the U.S. federal income tax consequences to the partners of such partnership will depend on the activities of the partnership and the status of the partners.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Paid on Ordinary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U.S. dollar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as capital gain. We do not expect to maintain calculations of our earnings and profits under U.S. federal income tax principles and, therefore, U.S. Holders should expect that the entire amount of any distribution generally will be reported as dividend income. Any dividends we pay with respect to the ADSs or ordinary shares are expected to constitute foreign source income for foreign tax credit purposes.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Italian withholding tax, if any, paid in connection with any distribution with respect to ADSs may be claimed as a credit against a U.S. Holder’s U.S. federal income tax liability if the U.S. Holder elects not to take a deduction for any non-U.S. income taxes for that taxable year; otherwise, such Italian withholding tax may be taken as a deduction. If a U.S. Holder is eligible for benefits under the Treaty or is otherwise entitled to a refund for the taxes withheld, the U.S. Holder will not be entitled to a foreign tax credit or deduction for the amount of any Italian taxes withheld in excess of the maximum rate under the Treaty or for the taxes with respect to which the U.S. Holder can obtain a refund from the Italian taxing authorities. As the relevant rules are very complex, U.S. Holders should consult their own tax advisors concerning the availability and utilization of the foreign tax credit or deductions for non-U.S. taxes in their particular circumstances.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the Disposition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U.S. federal income tax laws apply to U.S. taxpayers who own shares of a corporation that is a PFIC. We will be treated as a PFIC for U.S. federal income tax purposes for any taxable year that either: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or more of our gross income (including our pro rata share of gross income for any company, in which we are considered to own 25% or more of the shares by value), in a taxable year is passive;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purpose, passive income generally consists of dividends, interest, rents, royalties, annuities, the excess of certain foreign currency gains over certain currency losses, and income from certain commodities transactions and from notional principal contracts. Cash is treated as generating passive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PFIC will depend on the nature and composition of our income and the nature, composition and value of our assets. Our status may also depend, in part, on how quickly we utilize the cash proceeds from this offering in our business. We have not made the formal analysis necessary to determine whether or not we are currently a PFIC or whether we have ever been a PFIC. Based on preliminary analysis done in connection with this offering, however, we believe that we were likely classified as a PFIC in 2022, and we may be classified as a PFIC for 2023 and future years. In particular, so long as we do not generate revenue from operations for any taxable year and do not receive any research and development grants, or even if we receive a research and development grant, if such grant does not constitute gross income for United States federal income tax purposes, we likely will be classified as a PFIC for such taxable year. Because the determination of whether we are a PFIC for any taxable year is a factual determination made annually after the end of each taxable year, there can be no assurance that we will not be considered a PFIC in any taxable year.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currently are or become a PFIC during the holding period of a U.S. holder, the U.S. holder would be subject to potentially materially greater amounts of tax and subject to additional U.S. tax form filing requirements. In addition, a non-corporate U.S. holder will not be eligible for qualified dividend income treatment on dividends received from us if we are treated as a PFIC for the taxable year in which the dividends are received or for the preceding taxable year. Specifically,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At this time, we do not expect to calculate our “ordinary earnings” or “net capital gain” under U.S. tax principles or supply U.S. holders with the required “PFIC Annual Information Statement.” If we do not provide this information for any reason, it generally will not be possible for a U.S. Holder to make a QEF election if we are, or if we become, a PFIC. Prospective investors should assume that a QEF election will not be available.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hold our ordinary shares during a period when we are a PFIC will be subject to the foregoing rules, even if we cease to be a PFIC. U.S. Holders are strongly urged to consult their tax advisors about the PFIC rules.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on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Withholding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income tax law requires certain U.S. investors to disclose information relating to investments in securities of a non-U.S. issuer. Failure to comply with applicable disclosure requirements could result in the imposition of substantial penalties. U.S. holders should consult their own tax advisors regarding any disclosure obligations.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oc2_112"/>
      <w:bookmarkEnd w:id="2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Controlled Equity Offering</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Sales Agreement, or the Sales Agreement, with Cantor Fitzgerald &amp; Co., or Cantor. Pursuant to this prospectus, we may offer and sell ADSs having an aggregate gross sales price of up to $30,000,000 from time to time through or to Cantor acting as sales agent or principal. A copy of the Sales Agreement has been filed as an exhibit to our registration statement on Form F-3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and subject to the terms and conditions of the Sales Agreement, Cantor may sell the ADSs by any method permitted by law deemed to be an “at the market offering” as defined in Rule 415(a)(4) promulgated under the Securities Act. We may instruct Cantor not to sell ADSs if the sales cannot be effected at or above the price designated by us from time to time. We or Cantor may suspend the offering of ADSs upon notice and subject to other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Cantor commissions, in cash, for its service in acting as agent in the sale of the ADSs. Cantor will be entitled to compensation at a commission rate equal to 3.0% of the sales price per ADS sold under the Sales Agreement. Because there is no minimum offering amount required as a condition to close this offering, the actual total public offering amount, commissions and proceeds to us, if any, are not determinable at this time. We have also agreed to reimburse Cantor for certain specified expenses, including the fees and disbursements of their legal counsel in an amount not to exceed $75,000. Additionally, pursuant to the terms of the Sales Agreement, we agreed to reimburse Cantor for the fees and costs of its legal counsel reasonably incurred in connection with Cantor’s ongoing diligence arising from the transactions contemplated by the Sales Agreement in an amount not to exceed $25,000 in the aggregate per calendar half year. We estimate that the total expenses for the offering, excluding compensation and reimbursements payable to Cantor under the terms of the Sales Agreement, will be approximately $397,515.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ADSs will occur on the second business day following the date on which any sales are made, or on some other date that is agreed upon by us and Cantor in connection with a particular transaction, in return for payment of the net proceeds to us. Sales of the ADSs as contemplated in this prospectus will be settled through the facilities of The Depository Trust Company or by such other means as we and Cantor may agree upon. There is no arrangement for funds to be received in an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will use its commercially reasonable efforts, consistent with its sales and trading practices, to solicit offers to purchase the ADSs under the terms and subject to the conditions set forth in the Sales Agreement. In connection with the sale of the ADSs on our behalf, Cantor will be deemed to be an “underwriter” within the meaning of the Securities Act and the compensation of Cantor will be deemed to be underwriting commissions or discounts. We have agreed to provide indemnification and contribution to Cantor against certain civil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ADSs pursuant to the Sales Agreement will terminate upon the termination of the Sales Agreement as permitted therein. We and Cantor may each terminate the Sales Agreement at any time upon ten days’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and its affiliates may in the future provide various investment banking, commercial banking and other financial services for us and our affiliates, for which services they may in the future receive customary fees. To the extent required by Regulation M, Cantor will not engage in any market making activities involving the ADSs while the offering is ongoing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be made available in electronic format on a website maintained by Cantor, and Cantor may distribute this prospectus electronically.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toc2_113"/>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concerning this offering will be passed upon for us by Fenwick &amp; West LLP, New York, New York. Certain legal matters with respect to the validity of the ordinary shares represented by ADSs offered by this prospectus will be passed upon for us by Giovannelli e Associati, Studio Legale, Italy. Cantor is being represented in connection with this offering by Duane Morris LLP, New York, New York, with respect to certain U.S. legal matters, and Chiomenti Studio Legale LLC, New York, New York, with respect to certain Italian 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toc2_114"/>
      <w:bookmarkEnd w:id="29"/>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Genenta as of December 31, 2022 and for its fiscal year ended December 31, 2022, included in the Company’s Annual Report on Form 20-F for the year ended December 31, 2022, incorporated by reference herein has been audited by Dannible and McKee, LLP, independent registered public accounting firm, as set forth in their report thereon. Such financial statements are incorporated by reference in this prospectus in reliance upon such report given on the authority of such firm as experts in accounting and auditing. The address of Dannible &amp; McKee, LLP is 221 S. Warren Street #500, Syracuse, New York,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Genenta as of December 31, 2021, and for each of its fiscal years in the two-year period ended December 31, 2021, included in the Company’s Annual Report on Form 20-F for the year ended December 31, 2022, incorporated by reference herein has been audited by Mayer Hoffman McCann P.C., independent registered public accounting firm, as set forth in their report thereon. Such financial statements are incorporated by reference in this prospectus in reliance upon such report given on the authority of such firm as experts in accounting and auditing. The address of Mayer Hoffman McCann P.C. is 13500 Evening Creek Drive North #450, San Diego, California,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toc2_115"/>
      <w:bookmarkEnd w:id="30"/>
      <w:r>
        <w:rPr>
          <w:rFonts w:ascii="Times New Roman;Times;Serif" w:hAnsi="Times New Roman;Times;Serif"/>
          <w:b/>
          <w:i w:val="false"/>
          <w:caps w:val="false"/>
          <w:smallCaps w:val="false"/>
          <w:sz w:val="20"/>
        </w:rPr>
        <w:t>EXPENSES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expenses of this offering payable by us, excluding commissions and reimbursement of expenses, in connection with this offering. All amounts shown are estimated, except the SEC registration fee and the FINRA filing fee.</w:t>
      </w:r>
    </w:p>
    <w:p>
      <w:pPr>
        <w:pStyle w:val="TextBody"/>
        <w:bidi w:val="0"/>
        <w:spacing w:before="0" w:after="0"/>
        <w:ind w:left="0" w:right="0" w:hanging="0"/>
        <w:jc w:val="left"/>
        <w:rPr>
          <w:caps w:val="false"/>
          <w:smallCaps w:val="false"/>
        </w:rPr>
      </w:pPr>
      <w:r>
        <w:rPr>
          <w:caps w:val="false"/>
          <w:smallCaps w:val="false"/>
        </w:rPr>
        <w:t> </w:t>
      </w:r>
    </w:p>
    <w:tbl>
      <w:tblPr>
        <w:tblW w:w="4185" w:type="dxa"/>
        <w:jc w:val="left"/>
        <w:tblInd w:w="0" w:type="dxa"/>
        <w:tblLayout w:type="fixed"/>
        <w:tblCellMar>
          <w:top w:w="0" w:type="dxa"/>
          <w:left w:w="0" w:type="dxa"/>
          <w:bottom w:w="28" w:type="dxa"/>
          <w:right w:w="0" w:type="dxa"/>
        </w:tblCellMar>
      </w:tblPr>
      <w:tblGrid>
        <w:gridCol w:w="3110"/>
        <w:gridCol w:w="60"/>
        <w:gridCol w:w="140"/>
        <w:gridCol w:w="800"/>
        <w:gridCol w:w="75"/>
      </w:tblGrid>
      <w:tr>
        <w:trPr/>
        <w:tc>
          <w:tcPr>
            <w:tcW w:w="3110" w:type="dxa"/>
            <w:tcBorders>
              <w:bottom w:val="single" w:sz="12" w:space="0" w:color="000000"/>
            </w:tcBorders>
            <w:vAlign w:val="center"/>
          </w:tcPr>
          <w:p>
            <w:pPr>
              <w:pStyle w:val="TableContents"/>
              <w:bidi w:val="0"/>
              <w:spacing w:before="0" w:after="283"/>
              <w:jc w:val="center"/>
              <w:rPr>
                <w:b/>
              </w:rPr>
            </w:pPr>
            <w:r>
              <w:rPr>
                <w:b/>
              </w:rPr>
              <w:t>Expenses</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3110" w:type="dxa"/>
            <w:tcBorders/>
            <w:shd w:fill="CCEEFF" w:val="clear"/>
            <w:tcMar>
              <w:bottom w:w="0" w:type="dxa"/>
            </w:tcMar>
            <w:vAlign w:val="center"/>
          </w:tcPr>
          <w:p>
            <w:pPr>
              <w:pStyle w:val="TableContents"/>
              <w:bidi w:val="0"/>
              <w:spacing w:before="0" w:after="283"/>
              <w:jc w:val="left"/>
              <w:rPr/>
            </w:pPr>
            <w:r>
              <w:rPr/>
              <w:t>SEC registration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11,020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FINRA filing fee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CCEEFF" w:val="clear"/>
            <w:tcMar>
              <w:bottom w:w="0" w:type="dxa"/>
            </w:tcMar>
            <w:vAlign w:val="center"/>
          </w:tcPr>
          <w:p>
            <w:pPr>
              <w:pStyle w:val="TableContents"/>
              <w:bidi w:val="0"/>
              <w:spacing w:before="0" w:after="283"/>
              <w:jc w:val="left"/>
              <w:rPr/>
            </w:pPr>
            <w:r>
              <w:rPr/>
              <w:t>Printing and engraving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Legal fees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CCEEFF" w:val="clear"/>
            <w:tcMar>
              <w:bottom w:w="0" w:type="dxa"/>
            </w:tcMar>
            <w:vAlign w:val="center"/>
          </w:tcPr>
          <w:p>
            <w:pPr>
              <w:pStyle w:val="TableContents"/>
              <w:bidi w:val="0"/>
              <w:spacing w:before="0" w:after="283"/>
              <w:jc w:val="left"/>
              <w:rPr/>
            </w:pPr>
            <w:r>
              <w:rPr/>
              <w:t>Accounting fees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Miscellaneous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397,515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toc2_116"/>
      <w:bookmarkEnd w:id="31"/>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Times New Roman;Times;Serif" w:hAnsi="Times New Roman;Times;Serif"/>
          <w:b w:val="false"/>
          <w:i/>
          <w:caps w:val="false"/>
          <w:smallCaps w:val="false"/>
          <w:sz w:val="20"/>
        </w:rPr>
        <w:t>without prejudice to the application of the international conventions binding on Italy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of the International Private Law Act provides that a judgment issued in a foreign country is recognized in Italy, without any proceedings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without a rehearing on the merits) being necessary, if all of the following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judge who issued the judgment had the power to decide the case pursuant to the principles on jurisdiction provided by Italian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writ of summons (or equivalent pleading) was duly served upon the defendant in compliance with the applicable provisions of the </w:t>
      </w:r>
      <w:r>
        <w:rPr>
          <w:rFonts w:ascii="Times New Roman;Times;Serif" w:hAnsi="Times New Roman;Times;Serif"/>
          <w:b w:val="false"/>
          <w:i/>
          <w:caps w:val="false"/>
          <w:smallCaps w:val="false"/>
          <w:sz w:val="20"/>
        </w:rPr>
        <w:t xml:space="preserve">lex fori </w:t>
      </w:r>
      <w:r>
        <w:rPr>
          <w:rFonts w:ascii="Times New Roman;Times;Serif" w:hAnsi="Times New Roman;Times;Serif"/>
          <w:b w:val="false"/>
          <w:i w:val="false"/>
          <w:caps w:val="false"/>
          <w:smallCaps w:val="false"/>
          <w:sz w:val="20"/>
        </w:rPr>
        <w:t>(i.e., the application of the rules of the legal system to which the judge belongs);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entered an appearance, or their default was duly declared in compliance with the applicable provisions of the </w:t>
      </w:r>
      <w:r>
        <w:rPr>
          <w:rFonts w:ascii="Times New Roman;Times;Serif" w:hAnsi="Times New Roman;Times;Serif"/>
          <w:b w:val="false"/>
          <w:i/>
          <w:caps w:val="false"/>
          <w:smallCaps w:val="false"/>
          <w:sz w:val="20"/>
        </w:rPr>
        <w:t>lex fori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judgment to be recognized is a final judgment subject to no further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judgment to be recognized does not contrast with a final judgment issued by an Italian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pending proceedings between the same parties and in relation to the same matter, which proceedings were commenced prior to the commencement of the foreign proceedings;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judgment to be recognized does not conflict with Italian public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investors may be able to enforce in Italy judgments in civil and commercial matters that have been obtained from U.S. federal or state courts. Nevertheless, we cannot assure you that those judgments will be recognized or enforceable in Italy.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toc2_117"/>
      <w:bookmarkEnd w:id="3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reports on Form 20-F and other information with the SEC and furnish reports on Form 6-K to the SEC. We are not required to disclose certain other information that is required from U.S. domestic issuers. Also, as a foreign private issuer, we are exempt from the rules of the Exchange Act prescribing the furnishing of proxy statements to shareholders and our directors, senior management and principal shareholders are exempt from the reporting and short-swing profit recovery provisions contained in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website that contains reports and other information regarding issuers that file electronically with the SEC. Our filings with the SEC are also available to the public through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toc2_118"/>
      <w:bookmarkEnd w:id="33"/>
      <w:r>
        <w:rPr>
          <w:rFonts w:ascii="Times New Roman;Times;Serif" w:hAnsi="Times New Roman;Times;Serif"/>
          <w:b/>
          <w:i w:val="false"/>
          <w:caps w:val="false"/>
          <w:smallCaps w:val="false"/>
          <w:sz w:val="20"/>
        </w:rPr>
        <w:t>INCORPORATION OF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Reports on Form 6-K filed with the SEC on </w:t>
            </w:r>
            <w:hyperlink r:id="rId10">
              <w:r>
                <w:rPr>
                  <w:rStyle w:val="InternetLink"/>
                  <w:rFonts w:ascii="Times New Roman;Times;Serif" w:hAnsi="Times New Roman;Times;Serif"/>
                  <w:b w:val="false"/>
                  <w:i w:val="false"/>
                  <w:caps w:val="false"/>
                  <w:smallCaps w:val="false"/>
                  <w:sz w:val="20"/>
                </w:rPr>
                <w:t>February 1, 2023</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May 1, 2023</w:t>
              </w:r>
            </w:hyperlink>
            <w:r>
              <w:rPr>
                <w:rFonts w:ascii="Times New Roman;Times;Serif" w:hAnsi="Times New Roman;Times;Serif"/>
                <w:b w:val="false"/>
                <w:i w:val="false"/>
                <w:caps w:val="false"/>
                <w:smallCaps w:val="false"/>
                <w:sz w:val="20"/>
              </w:rPr>
              <w:t xml:space="preserve"> and </w:t>
            </w:r>
            <w:hyperlink r:id="rId12">
              <w:r>
                <w:rPr>
                  <w:rStyle w:val="InternetLink"/>
                  <w:rFonts w:ascii="Times New Roman;Times;Serif" w:hAnsi="Times New Roman;Times;Serif"/>
                  <w:b w:val="false"/>
                  <w:i w:val="false"/>
                  <w:caps w:val="false"/>
                  <w:smallCaps w:val="false"/>
                  <w:sz w:val="20"/>
                </w:rPr>
                <w:t>May 10, 2023</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13">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2022 filed with the SEC on April 21, 2023;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descriptions of our ordinary shares and ADSs contained in </w:t>
            </w:r>
            <w:hyperlink r:id="rId14">
              <w:r>
                <w:rPr>
                  <w:rStyle w:val="InternetLink"/>
                  <w:rFonts w:ascii="Times New Roman;Times;Serif" w:hAnsi="Times New Roman;Times;Serif"/>
                  <w:b w:val="false"/>
                  <w:i w:val="false"/>
                  <w:caps w:val="false"/>
                  <w:smallCaps w:val="false"/>
                  <w:sz w:val="20"/>
                </w:rPr>
                <w:t>Exhibit 2.4</w:t>
              </w:r>
            </w:hyperlink>
            <w:r>
              <w:rPr>
                <w:rFonts w:ascii="Times New Roman;Times;Serif" w:hAnsi="Times New Roman;Times;Serif"/>
                <w:b w:val="false"/>
                <w:i w:val="false"/>
                <w:caps w:val="false"/>
                <w:smallCaps w:val="false"/>
                <w:sz w:val="20"/>
              </w:rPr>
              <w:t xml:space="preserve"> to our Annual Report on Form 20-F for the year ended December 31, 2022 filed by us with the SEC on April 21, 2023, including any amendment or report filed to update such description and any subsequent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annual reports on Form 20-F and any amendment thereto and any report on Form 6-K (or portion thereof) that expressly indicates it is being incorporated by reference in this prospectus, in each case, that we file with or furnish to the SEC prior to the termination or completion of the offering under this prospectus (including all such reports or documents we may file with or furnish to the SEC on or after the date on which the registration statement of which this prospectus is a part is first filed with the SEC and prior to the effectiveness of the registration statement), will also be incorporated by reference into this prospectus and deemed to be part of this prospectus from the date of the filing or furnishing of such reports and documents. Unless expressly incorporated by reference, nothing in this prospectus shall be deemed to incorporate by reference information furnished to, but not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documents that are incorporated by reference are available at the website maintained by the SEC at http://www.sec.gov. In addition, copies of all documents incorporated by reference in this prospectus, other than exhibits to those documents unless such exhibits are specifically incorporated by reference in this prospectus, will be provided at no cost to each person, including any beneficial owner, to whom a copy of this prospectus is delivered on the written or oral request of that person made to: Genenta Science S.p.A., Via Olgettina No. 58, 20132, Milan, Italy, Attention: Pierluigi Paracchi.</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6705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3067050" cy="695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Up to $30,000,000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American Depositary Shares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Representing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67000"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2667000" cy="4953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2023</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requires directors and members of any committee designated by the board of directors to perform their duties with the degree of diligence required by the nature of their office and according to their specific level of competence. Liability should never arise from business judgments under the circumstances, even if the decisions made entail significant economic risks, but be attributable only to lack of diligence by the director in appreciating in advance the risk involved in the transaction to be undertaken, and therefore, the omission of possible precautions, assessments or the lack of information normally required for a decision of that type, taken under those circumstances and in that manner. Directors are liable to the company’s creditors when their improper management conduct impairs the company’s assets and prevents the company from satisfying creditors’ claims. If the company cannot repay its creditors, and a court determines that the directors did not adequately perform their duties relating to the preservation of assets, the court may find directors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enhanced liability protection for its directors and to attract and retain highly qualified individuals to act as directors, our board of directors has agreed to indemnify each current and future member of the board of directors to the maximum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 xml:space="preserve">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on page II-3 for a list of exhibits filed as part of this Registration Statement on 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(ii), and (iii)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w:t>
      </w:r>
      <w:r>
        <w:rPr>
          <w:rFonts w:ascii="Times New Roman;Times;Serif" w:hAnsi="Times New Roman;Times;Serif"/>
          <w:b w:val="false"/>
          <w:i w:val="false"/>
          <w:caps w:val="false"/>
          <w:smallCaps w:val="false"/>
          <w:sz w:val="20"/>
          <w:shd w:fill="FFFFFF" w:val="clear"/>
        </w:rPr>
        <w:t xml:space="preserve">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for the purpose of determining liability under the Securities Act to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4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1-2.htm">
              <w:r>
                <w:rPr>
                  <w:rStyle w:val="InternetLink"/>
                  <w:rFonts w:ascii="Times New Roman;Times;Serif" w:hAnsi="Times New Roman;Times;Serif"/>
                  <w:b w:val="false"/>
                  <w:i w:val="false"/>
                  <w:caps w:val="false"/>
                  <w:smallCaps w:val="false"/>
                  <w:sz w:val="20"/>
                </w:rPr>
                <w:t>Controlled Equity Offering</w:t>
              </w:r>
            </w:hyperlink>
            <w:hyperlink w:anchor="ex1-2.htm">
              <w:r>
                <w:rPr>
                  <w:rStyle w:val="InternetLink"/>
                  <w:rFonts w:ascii="Times New Roman;Times;Serif" w:hAnsi="Times New Roman;Times;Serif"/>
                  <w:b w:val="false"/>
                  <w:i w:val="false"/>
                  <w:caps w:val="false"/>
                  <w:smallCaps w:val="false"/>
                  <w:position w:val="7"/>
                  <w:sz w:val="16"/>
                  <w:sz w:val="20"/>
                </w:rPr>
                <w:t>SM</w:t>
              </w:r>
            </w:hyperlink>
            <w:hyperlink w:anchor="ex1-2.htm">
              <w:r>
                <w:rPr>
                  <w:rStyle w:val="InternetLink"/>
                  <w:rFonts w:ascii="Times New Roman;Times;Serif" w:hAnsi="Times New Roman;Times;Serif"/>
                  <w:b w:val="false"/>
                  <w:i w:val="false"/>
                  <w:caps w:val="false"/>
                  <w:smallCaps w:val="false"/>
                  <w:sz w:val="20"/>
                </w:rPr>
                <w:t xml:space="preserve"> Sales Agreement, dated May 12, 2023, by and between the Company and Cantor Fitzgerald &amp; Co.</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Deed of Incorporation of Genenta Science S.p.A. (incorporated by reference to Exhibit 3.1 to the Company’s Registration Statement on Form F-1 (File No. 333-260923))</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Amended and Restated Bylaws of Genenta Science S.p.A. (incorporated by reference to Exhibit 3.2 to the Company’s Annual Report on Form 20-F for the year ended December 31, 2022)</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shd w:fill="FFFFFF" w:val="clear"/>
                </w:rPr>
                <w:t>Deposit Agreement dated December 17, 2021 between the Company and The Bank of New York Mellon, as depositary (incorporated by reference to Exhibit 4.1 to the Company’s Registration Statement on Form F-1 (File No. 333-260923))</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American Depositary Receipt (included in Exhibit 4.1)</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Form of Rights Agreement (including Rights Certificate)</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Underwriter Warrants dated December 17, 2021(incorporated by reference to Exhibit 4.3 to the Company’s Annual Report on Form 20-F for the year ended December 31, 2021)</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 xml:space="preserve">Opinion of </w:t>
              </w:r>
            </w:hyperlink>
            <w:hyperlink w:anchor="ex5-1.htm">
              <w:r>
                <w:rPr>
                  <w:rStyle w:val="InternetLink"/>
                  <w:rFonts w:ascii="Times New Roman;Times;Serif" w:hAnsi="Times New Roman;Times;Serif"/>
                  <w:b w:val="false"/>
                  <w:i w:val="false"/>
                  <w:caps w:val="false"/>
                  <w:smallCaps w:val="false"/>
                  <w:sz w:val="20"/>
                  <w:shd w:fill="FFFFFF" w:val="clear"/>
                </w:rPr>
                <w:t>Giovanelli and Associates, Italian counsel to the Company</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shd w:fill="FFFFFF" w:val="clear"/>
                </w:rPr>
                <w:t>Consent of Dannible &amp; McKee, LLP.</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shd w:fill="FFFFFF" w:val="clear"/>
                </w:rPr>
                <w:t>Consent of Mayer Hoffman McCann, P.C.</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Giovanelli and Associates (included in Exhibit 5.1)</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toc2_119">
              <w:r>
                <w:rPr>
                  <w:rStyle w:val="InternetLink"/>
                  <w:rFonts w:ascii="Times New Roman;Times;Serif" w:hAnsi="Times New Roman;Times;Serif"/>
                  <w:b w:val="false"/>
                  <w:i w:val="false"/>
                  <w:caps w:val="false"/>
                  <w:smallCaps w:val="false"/>
                  <w:sz w:val="20"/>
                </w:rPr>
                <w:t>Powers of Attorney (included on the signature page)</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filed, if necessary, as an exhibit to a post-effective amendment to this registration statement or as an exhibit to a report filed under the Securities Exchange Act of 1934, as amended, and incorporated herein by reference.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Milan, Italy on the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2023.</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toc2_119"/>
      <w:bookmarkEnd w:id="34"/>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Pierluigi Paracchi and Richard Slansky and each of them, as his attorney-in-fact and agent, with full power of substitution and resubstitution for him in any and all capacities, to sign any or all amendments or post-effective amendments to this registration statement, or any registration statement for the same offering that is to be effective upon filing pursuant to Rule 462(b) under the Securities Act of 1933, as amended, and to file the same, with exhibits thereto and other documents in connection therewith, with the Securities and Exchange Commission, granting unto such attorney-in-fact and agent full power and authority to do and perform each and every act and thing requisite and necessary in connection with such matters and hereby ratifying and confirming all that such attorney-in-fact and agent or his substitutes may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495" w:type="dxa"/>
        <w:jc w:val="left"/>
        <w:tblInd w:w="0" w:type="dxa"/>
        <w:tblLayout w:type="fixed"/>
        <w:tblCellMar>
          <w:top w:w="0" w:type="dxa"/>
          <w:left w:w="0" w:type="dxa"/>
          <w:bottom w:w="28" w:type="dxa"/>
          <w:right w:w="0" w:type="dxa"/>
        </w:tblCellMar>
      </w:tblPr>
      <w:tblGrid>
        <w:gridCol w:w="380"/>
        <w:gridCol w:w="1805"/>
        <w:gridCol w:w="60"/>
        <w:gridCol w:w="5015"/>
        <w:gridCol w:w="60"/>
        <w:gridCol w:w="1175"/>
      </w:tblGrid>
      <w:tr>
        <w:trPr/>
        <w:tc>
          <w:tcPr>
            <w:tcW w:w="21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8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Slanksy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Sirgo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Sirgo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Roger Abravenel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Abravanel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Guido Guidi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Guido Guidi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Marucci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tc>
      </w:tr>
      <w:tr>
        <w:trPr/>
        <w:tc>
          <w:tcPr>
            <w:tcW w:w="3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Marucci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Cogency Global Inc., the duly authorized representative in the United States of Genenta Science S.p.A., has signed this registration statement on May 12, 2023.</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590"/>
        <w:gridCol w:w="4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2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Cogency Global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2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U.S. Representative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5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Colleen A. De Vries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Colleen A. De Vries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Vice-President on behalf of Cogency Global Inc.</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5" w:name="ex1-2.htm"/>
      <w:bookmarkStart w:id="36" w:name="ksex12"/>
      <w:bookmarkEnd w:id="35"/>
      <w:bookmarkEnd w:id="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GENENTA SCIENCE S.P.A.</w:t>
      </w:r>
      <w:r>
        <w:rPr>
          <w:rFonts w:ascii="Times New Roman;Times;Serif" w:hAnsi="Times New Roman;Times;Serif"/>
          <w:b w:val="false"/>
          <w:i w:val="false"/>
          <w:caps w:val="false"/>
          <w:smallCaps w:val="false"/>
          <w:sz w:val="20"/>
        </w:rPr>
        <w:br/>
        <w:t>American Depositary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representing one ordinary share, no par value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Equity Offering</w:t>
      </w:r>
      <w:r>
        <w:rPr>
          <w:rFonts w:ascii="Times New Roman;Times;Serif" w:hAnsi="Times New Roman;Times;Serif"/>
          <w:b/>
          <w:i w:val="false"/>
          <w:caps w:val="false"/>
          <w:smallCaps w:val="false"/>
          <w:position w:val="7"/>
          <w:sz w:val="16"/>
          <w:sz w:val="20"/>
        </w:rPr>
        <w:t>SM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5760" w:right="57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5760" w:right="57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 Park Avenue</w:t>
      </w:r>
    </w:p>
    <w:p>
      <w:pPr>
        <w:pStyle w:val="TextBody"/>
        <w:bidi w:val="0"/>
        <w:spacing w:before="0" w:after="0"/>
        <w:ind w:left="5760" w:right="57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6480" w:right="648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S.p.A., a Republic of Italy joint stock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with Cantor Fitzgerald &amp; Co. (the “</w:t>
      </w:r>
      <w:r>
        <w:rPr>
          <w:rFonts w:ascii="Times New Roman;Times;Serif" w:hAnsi="Times New Roman;Times;Serif"/>
          <w:b/>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sell to or through the Agent, as sales agent or principal, American depositary shares (“</w:t>
      </w:r>
      <w:r>
        <w:rPr>
          <w:rFonts w:ascii="Times New Roman;Times;Serif" w:hAnsi="Times New Roman;Times;Serif"/>
          <w:b/>
          <w:i w:val="false"/>
          <w:caps w:val="false"/>
          <w:smallCaps w:val="false"/>
          <w:sz w:val="20"/>
          <w:u w:val="single"/>
        </w:rPr>
        <w:t>ADSs</w:t>
      </w:r>
      <w:r>
        <w:rPr>
          <w:rFonts w:ascii="Times New Roman;Times;Serif" w:hAnsi="Times New Roman;Times;Serif"/>
          <w:b w:val="false"/>
          <w:i w:val="false"/>
          <w:caps w:val="false"/>
          <w:smallCaps w:val="false"/>
          <w:sz w:val="20"/>
        </w:rPr>
        <w:t>”), each representing one (1) ordinary share with no par value in the capital of the Company (the “</w:t>
      </w:r>
      <w:r>
        <w:rPr>
          <w:rFonts w:ascii="Times New Roman;Times;Serif" w:hAnsi="Times New Roman;Times;Serif"/>
          <w:b/>
          <w:i w:val="false"/>
          <w:caps w:val="false"/>
          <w:smallCaps w:val="false"/>
          <w:sz w:val="20"/>
          <w:u w:val="single"/>
        </w:rPr>
        <w:t>Ordinary Shares</w:t>
      </w:r>
      <w:r>
        <w:rPr>
          <w:rFonts w:ascii="Times New Roman;Times;Serif" w:hAnsi="Times New Roman;Times;Serif"/>
          <w:b w:val="false"/>
          <w:i w:val="false"/>
          <w:caps w:val="false"/>
          <w:smallCaps w:val="false"/>
          <w:sz w:val="20"/>
        </w:rPr>
        <w:t>”), and such ADSs to be offered hereby, the “</w:t>
      </w:r>
      <w:r>
        <w:rPr>
          <w:rFonts w:ascii="Times New Roman;Times;Serif" w:hAnsi="Times New Roman;Times;Serif"/>
          <w:b/>
          <w:i w:val="false"/>
          <w:caps w:val="false"/>
          <w:smallCaps w:val="false"/>
          <w:sz w:val="20"/>
          <w:u w:val="single"/>
        </w:rPr>
        <w:t>Placement ADSs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shall the Company sell through the Agent such number or dollar amount of Placement ADSs that would (a) exceed the number or dollar amount of Ordinary Shares represented by ADSs registered on the effective Registration Statement (defined below) pursuant to which the offering is being made, (b) exceed the number of authorized but unissued Ordinary Shares (less Ordinary Shares issuable upon exercise, conversion or exchange of any outstanding securities of the Company or otherwise reserved from the Company’s authorized share capital), (c) exceed the number or dollar amount of ADSs permitted to be sold under Form F-3 (including General Instruction I.B.5 thereof, if applicable) or (d) exceed the number or dollar amount of ADSs for which the Company has filed a Prospectus (defined below) (the lesser of (a), (b), (c) and (d), the “</w:t>
      </w:r>
      <w:r>
        <w:rPr>
          <w:rFonts w:ascii="Times New Roman;Times;Serif" w:hAnsi="Times New Roman;Times;Serif"/>
          <w:b/>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amount of Placement ADSs issued and sold under this Agreement shall be the sole responsibility of the Company and that the Agent shall have no obligation in connection with such compliance. The offer and sale of Placement ADSs through the Agent will be effected pursuant to the Registration Statement (as defined below) filed by the Company and which will be declared effective by the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u w:val="single"/>
        </w:rPr>
        <w:t>SEC</w:t>
      </w:r>
      <w:r>
        <w:rPr>
          <w:rFonts w:ascii="Times New Roman;Times;Serif" w:hAnsi="Times New Roman;Times;Serif"/>
          <w:b w:val="false"/>
          <w:i w:val="false"/>
          <w:caps w:val="false"/>
          <w:smallCaps w:val="false"/>
          <w:sz w:val="20"/>
        </w:rPr>
        <w:t>”), although nothing in this Agreement shall be construed as requiring the Company to use the Registration Statement to issue ADSs. The Company will deposit pursuant to the Deposit Agreement dated as of December 17, 2021, as amended, among the Company, The Bank of New York Mellon, as depositary (the “</w:t>
      </w:r>
      <w:r>
        <w:rPr>
          <w:rFonts w:ascii="Times New Roman;Times;Serif" w:hAnsi="Times New Roman;Times;Serif"/>
          <w:b/>
          <w:i w:val="false"/>
          <w:caps w:val="false"/>
          <w:smallCaps w:val="false"/>
          <w:sz w:val="20"/>
          <w:u w:val="single"/>
        </w:rPr>
        <w:t>Depositary</w:t>
      </w:r>
      <w:r>
        <w:rPr>
          <w:rFonts w:ascii="Times New Roman;Times;Serif" w:hAnsi="Times New Roman;Times;Serif"/>
          <w:b w:val="false"/>
          <w:i w:val="false"/>
          <w:caps w:val="false"/>
          <w:smallCaps w:val="false"/>
          <w:sz w:val="20"/>
        </w:rPr>
        <w:t>”), and owners and holders of the ADSs issued thereunder (the “</w:t>
      </w:r>
      <w:r>
        <w:rPr>
          <w:rFonts w:ascii="Times New Roman;Times;Serif" w:hAnsi="Times New Roman;Times;Serif"/>
          <w:b/>
          <w:i w:val="false"/>
          <w:caps w:val="false"/>
          <w:smallCaps w:val="false"/>
          <w:sz w:val="20"/>
          <w:u w:val="single"/>
        </w:rPr>
        <w:t>Deposit Agreement</w:t>
      </w:r>
      <w:r>
        <w:rPr>
          <w:rFonts w:ascii="Times New Roman;Times;Serif" w:hAnsi="Times New Roman;Times;Serif"/>
          <w:b w:val="false"/>
          <w:i w:val="false"/>
          <w:caps w:val="false"/>
          <w:smallCaps w:val="false"/>
          <w:sz w:val="20"/>
        </w:rPr>
        <w:t>”), a number of Ordinary Shares equal to the Placement ADSs. Upon deposit of such Ordinary Shares, the Depositary will issue ADSs representing the Ordinary Shares so deposited.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or will file, in accordance with the provisions of the Securities Act of 1933, as amended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and the rules and regulations thereunder (the “</w:t>
      </w:r>
      <w:r>
        <w:rPr>
          <w:rFonts w:ascii="Times New Roman;Times;Serif" w:hAnsi="Times New Roman;Times;Serif"/>
          <w:b/>
          <w:i w:val="false"/>
          <w:caps w:val="false"/>
          <w:smallCaps w:val="false"/>
          <w:sz w:val="20"/>
          <w:u w:val="single"/>
        </w:rPr>
        <w:t>Securities Act Regulations</w:t>
      </w:r>
      <w:r>
        <w:rPr>
          <w:rFonts w:ascii="Times New Roman;Times;Serif" w:hAnsi="Times New Roman;Times;Serif"/>
          <w:b w:val="false"/>
          <w:i w:val="false"/>
          <w:caps w:val="false"/>
          <w:smallCaps w:val="false"/>
          <w:sz w:val="20"/>
        </w:rPr>
        <w:t>”), with the Commission a registration statement on Form F-3, including (i) a base prospectus, relating to certain securities, including the Ordinary Shares, Ordinary Shares represented by ADSs and rights exercisable for Ordinary Shares and/or Ordinary Shares represented by ADSs, to be offered from time to time by the Company, and which incorporates by reference documents that the Company has filed or will file in accordance with the provisions of the Securities Exchange Act of 1934, as amended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thereunder and (ii) a prospectus specifically relating to the Placement ADSs to be offered from time to time pursuant to this Agreement (the “</w:t>
      </w:r>
      <w:r>
        <w:rPr>
          <w:rFonts w:ascii="Times New Roman;Times;Serif" w:hAnsi="Times New Roman;Times;Serif"/>
          <w:b/>
          <w:i w:val="false"/>
          <w:caps w:val="false"/>
          <w:smallCaps w:val="false"/>
          <w:sz w:val="20"/>
          <w:u w:val="single"/>
        </w:rPr>
        <w:t>Placement ADSs Prospectus</w:t>
      </w:r>
      <w:r>
        <w:rPr>
          <w:rFonts w:ascii="Times New Roman;Times;Serif" w:hAnsi="Times New Roman;Times;Serif"/>
          <w:b w:val="false"/>
          <w:i w:val="false"/>
          <w:caps w:val="false"/>
          <w:smallCaps w:val="false"/>
          <w:sz w:val="20"/>
        </w:rPr>
        <w:t>. The Company will furnish to the Agent, for use by the Agent, copies of the Placement ADSs Prospectus included in such registration statement at the time it becomes effective.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F-3 from time to time that will contain a prospectus , if applicable (which shall be a Placement ADSs Prospectus), with respect to the Placement ADSs, is herein called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The Placement ADSs Prospectus, including all documents incorporated therein by reference, included in the Registration Statement, as it may be supplemented, if necessary, by a prospectus supplement specifically related to the Placement ADSs to be offered from time to time pursuant to this Agreement, in the form in which such prospectus and/or any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Registration Statement, the Prospectus or any Issuer Free Writing Prospectus shall be deemed to refer to and include the documents, if any, incorporated by reference therein (the “</w:t>
      </w:r>
      <w:r>
        <w:rPr>
          <w:rFonts w:ascii="Times New Roman;Times;Serif" w:hAnsi="Times New Roman;Times;Serif"/>
          <w:b/>
          <w:i w:val="false"/>
          <w:caps w:val="false"/>
          <w:smallCaps w:val="false"/>
          <w:sz w:val="20"/>
          <w:u w:val="single"/>
        </w:rPr>
        <w:t>Incorporated Documents</w:t>
      </w:r>
      <w:r>
        <w:rPr>
          <w:rFonts w:ascii="Times New Roman;Times;Serif" w:hAnsi="Times New Roman;Times;Serif"/>
          <w:b w:val="false"/>
          <w:i w:val="false"/>
          <w:caps w:val="false"/>
          <w:smallCaps w:val="false"/>
          <w:sz w:val="20"/>
        </w:rPr>
        <w:t>”), including, unless the context otherwise requires, the documents, if any, filed as exhibits to such Incorporated Documents. Any reference herein to the terms “amend,” “amendment” or “supplement” with respect to the Registration Statement, the Prospectus or any Issuer Free Writing Prospectus shall be deemed to refer to and include the filing of any document under the Exchange Act on or after the most-recent effective date of the Registration Statement, or the date of the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sell Placement ADSs hereunder (each, a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it will notify the Agent by email notice (or other method mutually agreed to by the parties) of the number of Placement ADSs to be issued, the time period during which sales are requested to be made, any limitation on the number of Placement ADSs that may be sold in any one day and any minimum price below which sales may not be made (a “</w:t>
      </w:r>
      <w:r>
        <w:rPr>
          <w:rFonts w:ascii="Times New Roman;Times;Serif" w:hAnsi="Times New Roman;Times;Serif"/>
          <w:b/>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the form of which is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the Agent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may be amended from time to time. The Placement Notice shall be effective unless and until (i) the Agent declines to accept the terms contained therein for any reason, in its sole discretion (which declination must occur within two (2) Business Days (as defined below) of the receipt of the Placement Notice), (ii) the entire amount of the Placement ADSs thereunder have been sold, (iii) the Company suspends or terminates the Placement Notice or (iv) this Agreement has been terminated under the provisions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The amount of any discount, commission or other compensation to be paid by the Company to the Agent in connection with the sale of the Placement ADSs shall be calculated in accordance with the terms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It is expressly acknowledged and agreed that neither the Company nor the Agent will have any obligation whatsoever with respect to a Placement or any Placement ADSs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Sale of Placement ADSs by the Agent</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the Agent, for the period specified in the Placement Notice, will use its commercially reasonable efforts consistent with its normal trading and sales practices and applicable state and federal laws, rules and regulations and the rules of the Nasdaq Capital Market (the “</w:t>
      </w:r>
      <w:r>
        <w:rPr>
          <w:rFonts w:ascii="Times New Roman;Times;Serif" w:hAnsi="Times New Roman;Times;Serif"/>
          <w:b/>
          <w:i w:val="false"/>
          <w:caps w:val="false"/>
          <w:smallCaps w:val="false"/>
          <w:sz w:val="20"/>
          <w:u w:val="single"/>
        </w:rPr>
        <w:t>Exchange</w:t>
      </w:r>
      <w:r>
        <w:rPr>
          <w:rFonts w:ascii="Times New Roman;Times;Serif" w:hAnsi="Times New Roman;Times;Serif"/>
          <w:b w:val="false"/>
          <w:i w:val="false"/>
          <w:caps w:val="false"/>
          <w:smallCaps w:val="false"/>
          <w:sz w:val="20"/>
        </w:rPr>
        <w:t xml:space="preserve">”), to sell the Placement ADSs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ADSs hereunder setting forth the number of Placement ADSs sold on such day, the compensation payable by the Company to the Agent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with an itemization of the deductions made by the Agent (as set forth in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from the gross proceeds that it receives from such sales. Subject to the terms of the Placement Notice, the Agent may sell Placement ADSs by any method permitted by law deemed to be an “at the market offering” as defined in Rule 415(a)(4) of the Securities Act Regulations.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ADSs are traded on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xml:space="preserve">. The Company or the Agent may, upon notice to the other party in writing (including by email correspondence to each of the individuals of the other party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suspend any sale of Placement ADSs (a “</w:t>
      </w:r>
      <w:r>
        <w:rPr>
          <w:rFonts w:ascii="Times New Roman;Times;Serif" w:hAnsi="Times New Roman;Times;Serif"/>
          <w:b/>
          <w:i w:val="false"/>
          <w:caps w:val="false"/>
          <w:smallCaps w:val="false"/>
          <w:sz w:val="20"/>
          <w:u w:val="single"/>
        </w:rPr>
        <w:t>Suspension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Suspension shall not affect or impair any party’s obligations with respect to any Placement ADSs sold hereunder prior to the receipt of such notice. While a Suspension is in effect any obligation under </w:t>
      </w:r>
      <w:r>
        <w:rPr>
          <w:rFonts w:ascii="Times New Roman;Times;Serif" w:hAnsi="Times New Roman;Times;Serif"/>
          <w:b w:val="false"/>
          <w:i w:val="false"/>
          <w:caps w:val="false"/>
          <w:smallCaps w:val="false"/>
          <w:sz w:val="20"/>
          <w:u w:val="single"/>
        </w:rPr>
        <w:t>Sections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with respect to the delivery of certificates, opinions, or comfort letters to the Agent, shall be waived.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any other party unless it is made to one of the individuals named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hereto, as such Schedule may be amended from time to time. Notwithstanding any other provision of this Agreement, during any period in which the Company is in possession of material non-public information, the Company and the Agent agree that (i) no sale of Placement ADSs will take place, (ii) the Company shall not request the sale of any Placement ADSs, and (iii) the Agent shall not be obligated to sell or offer to sell any Placement ADSs.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Sale and Delivery to the Agent;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 of Placement ADSs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On the basis of the representations and warranties herein contained and subject to the terms and conditions herein set forth, upon the Agent’s acceptance of the terms of a Placement Notice, and unless the sale of the Placement ADSs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and regulations to sell such Placement ADSs up to the amount specified, and otherwise in accordance with the terms of such Placement Notice. The Company acknowledges and agrees that (i) there can be no assurance that the Agent will be successful in selling Placement ADSs, (ii) the Agent will incur no liability or obligation to the Company or any other person or entity if it does not sell Placement ADSs for any reason other than a failure by the Agent to use its commercially reasonable efforts consistent with its normal trading and sales practices and applicable law and regulations to sell such Placement ADSs as required under this Agreement and (iii) the Agent shall be under no obligation to purchase Placement ADSs on a principal basis pursuant to this Agreement, except as otherwise agreed by the Agent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Settlement of Placement ADSs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Unless otherwise specified in the applicable Placement Notice, settlement for sales of Placement ADSs will occur on the second (2nd) Trading Day (or such earlier day as is industry practice for regular-way trading) following the date on which such sales are made (each, a “</w:t>
      </w:r>
      <w:r>
        <w:rPr>
          <w:rFonts w:ascii="Times New Roman;Times;Serif" w:hAnsi="Times New Roman;Times;Serif"/>
          <w:b/>
          <w:i w:val="false"/>
          <w:caps w:val="false"/>
          <w:smallCaps w:val="false"/>
          <w:sz w:val="20"/>
          <w:u w:val="single"/>
        </w:rPr>
        <w:t>Settlement Date</w:t>
      </w:r>
      <w:r>
        <w:rPr>
          <w:rFonts w:ascii="Times New Roman;Times;Serif" w:hAnsi="Times New Roman;Times;Serif"/>
          <w:b w:val="false"/>
          <w:i w:val="false"/>
          <w:caps w:val="false"/>
          <w:smallCaps w:val="false"/>
          <w:sz w:val="20"/>
        </w:rPr>
        <w:t>”). The Agent shall notify the Company of each sale of Placement ADSs no later than the opening of the Trading Day immediately following the Trading Day on which it has made sales of Placement ADSs hereunder. The amount of proceeds to be delivered to the Company on a Settlement Date against receipt of the Placement ADSs sold (the “</w:t>
      </w:r>
      <w:r>
        <w:rPr>
          <w:rFonts w:ascii="Times New Roman;Times;Serif" w:hAnsi="Times New Roman;Times;Serif"/>
          <w:b/>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received by the Agent, after deduction for (i) the Agent’s commission, discount or other compensation for such sales payable by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and (ii) any transaction fees imposed by any Governmental Authority in respect of such sales.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Placement ADSs</w:t>
      </w:r>
      <w:r>
        <w:rPr>
          <w:rFonts w:ascii="Times New Roman;Times;Serif" w:hAnsi="Times New Roman;Times;Serif"/>
          <w:b w:val="false"/>
          <w:i w:val="false"/>
          <w:caps w:val="false"/>
          <w:smallCaps w:val="false"/>
          <w:sz w:val="20"/>
        </w:rPr>
        <w:t xml:space="preserve">. On or before each Settlement Date, the Company will, or will cause its transfer agent to, issue and register in the name of the Depositary the amount of Ordinary Shares to be represented by the Placement ADSs and deliver those Ordinary Shares to the Depositary’s custodian under the Deposit Agreement, and instruct the Depositary to deliver the Placement ADSs issuable in respect of that deposit by crediting the Agent’s or its designee’s account (provided the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ADSs in good deliverable form. On each Settlement Date, the Agent will deliver the related Net Proceeds in same day funds to an account designated by the Company on, or prior to, the Settlement Date. The Company agrees that if the Company, its transfer agent (if applicable) or the Depositary, defaults in its obligation to deliver Placement ADSs on a Settlement Date, through no fault of the Agent, the Company agrees that in addition to and in no way limiting the rights and obligations set forth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hereto, it will (i) hold the Agent harmless against any loss, claim, damage, or expense (including reasonable and documented legal fees and expenses), as incurred, arising out of or in connection with such default by the Company or its transfer agent (if applicable) and (ii) pay to the Agent any commission, discount, or other compensation to which it would otherwise have been entitled absent such default.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Denominations; Registration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Placement ADSs will be uncertificated and will be registered in the name of the nominee of The Depository Trust Company (DTC).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Under no circumstances shall the Company cause or request the offer or sale of any Placement ADSs if, after giving effect to the sale of such Placement ADSs, the aggregate gross sales proceeds of Placement ADSs sold pursuant to this Agreement would exceed the lesser of (A) together with all sales of Placement ADSs under this Agreement, the Maximum Amount and (B)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ADSs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ADSs sold pursuant to this Agreement to exceed the Maximum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and agrees with the Agent that as of the date of this Agreement and as of each Applicable Time (as defined below), unless such representation, warranty or agreement specifies a different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transactions contemplated by this Agreement meet the requirements for and comply with the applicable conditions set forth in Form F-3 (including General Instructions I.A and I.B) under the Securities Act. The Registration Statement has been or will be filed with the Commission and has been or will be declared effective by the Commission under the Securities Act prior to the issuance of any Placement Notices by the Company. As of each Applicable Time, the Registration Statement is effective. The Prospectus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ADSs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ADSs, will not distribute any offering material in connection with the offering or sale of the Placement ADSs other than the Registration Statement and the Prospectus and any Issuer Free Writing Prospectus to which the Agent has consented, provided that any such consent shall not be unreasonably withheld, conditioned or delayed. The ADSs are registered pursuant to Section 12(b) of the Exchange Act and are currently listed on the Exchange under the trading symbol “GNTA.” The Company has taken no action designed to, or likely to have the effect of, terminating the registration of the ADSs under the Exchange Act, delisting the ADSs from the Exchange, nor has the Company received any notification that the Commission or the Exchange is contemplating terminating such registration or listing. To the Company’s knowledge, it is in compliance with all applicable listing requirements of the Exchange.</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in writing specifically for use in the preparation thereof, it being understood and agreed that the only such information furnished by the Agent to the Company consists of “Agent Information” as defined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registration statement on Form F-6 (File No. 333-261223) covering the registration of the Placement ADSs has been filed with the Commission. Such registration statement in the form heretofore delivered to the Agent has been declared effective by the Commission in such form. No other document with respect to such registration statement has heretofore been filed with the Commission. No stop order suspending the effectiveness of such registration statement has been issued and, to the Company’s knowledge, no proceeding for that purpose has been initiated or threatened by the Commission (the various parts of such registration statement, including all exhibits thereto, each as amended at the time such part of the registration statement became effective, being hereinafter referred to as the “</w:t>
      </w:r>
      <w:r>
        <w:rPr>
          <w:rFonts w:ascii="Times New Roman;Times;Serif" w:hAnsi="Times New Roman;Times;Serif"/>
          <w:b/>
          <w:i w:val="false"/>
          <w:caps w:val="false"/>
          <w:smallCaps w:val="false"/>
          <w:sz w:val="20"/>
          <w:u w:val="single"/>
        </w:rPr>
        <w:t>ADS Registration Statement</w:t>
      </w:r>
      <w:r>
        <w:rPr>
          <w:rFonts w:ascii="Times New Roman;Times;Serif" w:hAnsi="Times New Roman;Times;Serif"/>
          <w:b w:val="false"/>
          <w:i w:val="false"/>
          <w:caps w:val="false"/>
          <w:smallCaps w:val="false"/>
          <w:sz w:val="20"/>
        </w:rPr>
        <w:t>”). The ADS Registration Statement when it became effective conformed, and any further amendments thereto will conform, in all material respects to the requirements of the Securities Act and the rules and regulations of the Commission thereunder, and did not, as of the applicable effective date, contain an untrue statement of a material fact or omit to state a material fact required to be stated therein or necessary to make the statements therein not misleading.</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been duly established and is validly existing as a joint stock company (</w:t>
      </w:r>
      <w:r>
        <w:rPr>
          <w:rFonts w:ascii="Times New Roman;Times;Serif" w:hAnsi="Times New Roman;Times;Serif"/>
          <w:b w:val="false"/>
          <w:i/>
          <w:caps w:val="false"/>
          <w:smallCaps w:val="false"/>
          <w:sz w:val="20"/>
        </w:rPr>
        <w:t>società per azionì</w:t>
      </w:r>
      <w:r>
        <w:rPr>
          <w:rFonts w:ascii="Times New Roman;Times;Serif" w:hAnsi="Times New Roman;Times;Serif"/>
          <w:b w:val="false"/>
          <w:i w:val="false"/>
          <w:caps w:val="false"/>
          <w:smallCaps w:val="false"/>
          <w:sz w:val="20"/>
        </w:rPr>
        <w:t>) in good standing under the laws of the Republic of Italy with a registered office at Via Olgettina No. 58, 20132 Milan, Italy, Fiscal Code and number of registration in the Companies Register of Milan No. 08738490963. The Company does not own an interest in any corporation, partnership, joint venture, limited liability company, trust or other business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issuance by the Depositary of Placement ADSs against deposit of the underlying Ordinary Shares in accordance with the provisions of the Deposit Agreement, such Placement ADSs will be duly and validly issued and persons in whose names the Placement ADSs are registered will be entitled to the rights specified in the Placement ADSs and in the Deposit Agreement; and upon the sale and delivery to the purchasers of the Placement ADSs, and payment therefor, pursuant to this Agreement, the purchasers will acquire good, marketable and valid title to such Placement ADSs, free and clear of all pledges, liens, security interests, charges, claims or encumbrances of any kind.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Provided that (i) the Agent is not resident in Italy for tax purposes and (ii) the Agent is a resident of a jurisdiction for the purposes of a double tax treaty between Italy and the jurisdiction, is entitled to the benefits of the treaty and does not, and is not deemed to, carry on business through a permanent establishment in Italy, no stamp, registration, issuance, transfer taxes or other similar taxes, duties, fees or charges (“</w:t>
      </w:r>
      <w:r>
        <w:rPr>
          <w:rFonts w:ascii="Times New Roman;Times;Serif" w:hAnsi="Times New Roman;Times;Serif"/>
          <w:b/>
          <w:i w:val="false"/>
          <w:caps w:val="false"/>
          <w:smallCaps w:val="false"/>
          <w:sz w:val="20"/>
          <w:u w:val="single"/>
        </w:rPr>
        <w:t>Transfer Taxes</w:t>
      </w:r>
      <w:r>
        <w:rPr>
          <w:rFonts w:ascii="Times New Roman;Times;Serif" w:hAnsi="Times New Roman;Times;Serif"/>
          <w:b w:val="false"/>
          <w:i w:val="false"/>
          <w:caps w:val="false"/>
          <w:smallCaps w:val="false"/>
          <w:sz w:val="20"/>
        </w:rPr>
        <w:t>”) are payable by or on behalf of the Agent in connection with (A) the issuance of the Ordinary Shares underlying the Placement ADSs and the delivery of the Placement ADSs in the manner contemplated by this Agreement, (B) the deposit with the Depositary of the Ordinary Shares underlying the Placement ADSs against issuance of the Placement ADSs or (C) the sale and delivery by the Agent of the Placement ADSs as contemplated herein. For the avoidance of doubt, income taxes, withholding taxes, capital gains taxes and taxes on dividends shall not be considered “Transfer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At the time the Registration Statement was or will be originally declared effective, and at the time the Company’s most recent Annual Report on Form 20-F was filed with the Commission, the Company met or will meet the then applicable requirements for the use of Form F-3 under the Securities Act, including, but not limited to, General Instruction I.B.1 of Form F-3. The aggregate market value of the outstanding voting and non-voting common equity (as 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w:t>
      </w:r>
      <w:r>
        <w:rPr>
          <w:rFonts w:ascii="Times New Roman;Times;Serif" w:hAnsi="Times New Roman;Times;Serif"/>
          <w:b/>
          <w:i w:val="false"/>
          <w:caps w:val="false"/>
          <w:smallCaps w:val="false"/>
          <w:sz w:val="20"/>
          <w:u w:val="single"/>
        </w:rPr>
        <w:t>Non-Affiliate Shares</w:t>
      </w:r>
      <w:r>
        <w:rPr>
          <w:rFonts w:ascii="Times New Roman;Times;Serif" w:hAnsi="Times New Roman;Times;Serif"/>
          <w:b w:val="false"/>
          <w:i w:val="false"/>
          <w:caps w:val="false"/>
          <w:smallCaps w:val="false"/>
          <w:sz w:val="20"/>
        </w:rPr>
        <w:t>”), was greater than $75.0 million (calculated by multiplying (x) the highest price at which the ADSs of the Company closed on the Exchange within 60 days of the date of this Agreement times (y) the number of Non-Affiliate Shares).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I.B.5 of Form F-3) with the Commission at least 12 calendar months previously reflecting its status as an entity that is not a shell company.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described in the Prospectus, all dividends and other distributions declared and payable on the Ordinary Shares may under current Italian law and regulations be paid to the Depositary and to the holders of Ordinary Shares or ADSs, as the case may be, in Euros and may be converted into foreign currency that may be transferred out of Italy in accordance with the Deposit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SEC nor, to the Company’s knowledge, any state regulatory authority has issued any order preventing or suspending the use of the Prospectus or has instituted or, to the Company’s knowledge, threatened to institute, any proceedings with respect to such an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At the time of filing of the Registration Statement and (ii) as of the Applicable Time (with such date being used as the determination date for purposes of this clause (ii)), the Company was not and is not an Ineligible Issuer (as defined in Rule 405), without taking account of any determination by the SEC pursuant to Rule 405 that it is not necessary that the Company be considered an Ineligible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From the time of filing of the Registration Statement with the SEC through the date hereof, the Company has been and is an “emerging growth company,” as defined in Section 2(a) of the Securities Act (an “</w:t>
      </w:r>
      <w:r>
        <w:rPr>
          <w:rFonts w:ascii="Times New Roman;Times;Serif" w:hAnsi="Times New Roman;Times;Serif"/>
          <w:b/>
          <w:i w:val="false"/>
          <w:caps w:val="false"/>
          <w:smallCaps w:val="false"/>
          <w:sz w:val="20"/>
          <w:u w:val="single"/>
        </w:rPr>
        <w:t>Emerging Growth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Issuer Free Writing Prospectus includes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the Agent specifically for use therein, it being understood and agreed that the only such information furnished by or on behalf of the Agent consists of Agent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This Agreement has been duly authorized, executed and delivered by the Company. The execution, delivery and performance by the Company of this Agreement does not violate its Articles of Association (i.e., </w:t>
      </w:r>
      <w:r>
        <w:rPr>
          <w:rFonts w:ascii="Times New Roman;Times;Serif" w:hAnsi="Times New Roman;Times;Serif"/>
          <w:b w:val="false"/>
          <w:i/>
          <w:caps w:val="false"/>
          <w:smallCaps w:val="false"/>
          <w:sz w:val="20"/>
        </w:rPr>
        <w:t>atto costitutivo</w:t>
      </w:r>
      <w:r>
        <w:rPr>
          <w:rFonts w:ascii="Times New Roman;Times;Serif" w:hAnsi="Times New Roman;Times;Serif"/>
          <w:b w:val="false"/>
          <w:i w:val="false"/>
          <w:caps w:val="false"/>
          <w:smallCaps w:val="false"/>
          <w:sz w:val="20"/>
        </w:rPr>
        <w:t xml:space="preserve">), its By-laws (i.e., </w:t>
      </w:r>
      <w:r>
        <w:rPr>
          <w:rFonts w:ascii="Times New Roman;Times;Serif" w:hAnsi="Times New Roman;Times;Serif"/>
          <w:b w:val="false"/>
          <w:i/>
          <w:caps w:val="false"/>
          <w:smallCaps w:val="false"/>
          <w:sz w:val="20"/>
        </w:rPr>
        <w:t>statuto</w:t>
      </w:r>
      <w:r>
        <w:rPr>
          <w:rFonts w:ascii="Times New Roman;Times;Serif" w:hAnsi="Times New Roman;Times;Serif"/>
          <w:b w:val="false"/>
          <w:i w:val="false"/>
          <w:caps w:val="false"/>
          <w:smallCaps w:val="false"/>
          <w:sz w:val="20"/>
        </w:rPr>
        <w:t>) or any law, rule, regulation, judgment, decree or order of any court applicable to it. No consents or approvals and no licenses or orders from, or any registration or filings with, any Republic of Italy court, government department or other regulatory body (with the exception of all filing requirements with the Companies Register of Como which, to our knowledge, have been fully complied with other than filings which are required to and will be made post-closing in connection with the transactions contemplated herein) are required for the due authorization, execution, delivery or performance by the Company of this Agreement or the consummation of the transactions contemplated by this Agreement, except such as have been obtained under the Securities Act and such as may be required by FINRA and under state securities, Blue Sky or foreign laws in connection with the placement and distribution of the Placement ADSs by the Agent.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and each of its Subsidiaries (as defined below) have been duly incorporated and are validly existing as a corporation in good standing under the laws of the jurisdiction in which it is incorporated with full corporate power and authority to own or lease, as the case may be, and to operate its properties and conduct its business as described in the Prospectus, and is duly qualified to do business as a foreign corporation and is in good standing under the laws of each jurisdiction which requires such qualification, except in each case where such failure would not reasonably be expected to have a Material Adverse Effect (as defined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The subsidiaries set forth on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are the Company’s only significant subsidiaries (as such term is defined in Rule 1-02 of Regulation S-X promulgated by the Commission).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There is no franchise, contract or other document of a character required to be described in the Registration Statement or Prospectus, or to be filed as an exhibit thereto, which is not described or filed as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has full legal capacity and power to enter into this Agreement and the Deposit Agreement, and each of this Agreement and the Deposit Agreement has been duly authorized, executed and delivered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is not and, after giving effect to the offering and sale of the Placement ADSs and the application of the proceeds thereof as described in the Registration Statement and the Prospectus, will not be an “investment company” as defined in the Investment Company Act of 1940,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No consent, approval, authorization, filing with or order of any court or governmental agency or body is required in connection with the transactions contemplated herein or in the Deposit Agreement, except such as have been obtained under the Securities Act and such as may be required under the listing rules of the Exchange, applicable rules of the Financial Industry Regulatory Authority, Inc. and under the applicable state and foreign securities laws of any jurisdiction in connection with the placement and distribution of the Placement ADSs by the Agent in the manner contemplated herein and in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Neither the sale of the Placement ADSs nor the consummation of any other of the transactions herein contemplated nor the fulfillment of the terms hereof or of the Deposit Agreement will conflict with, result in a breach or violation of, or imposition of any lien, charge or encumbrance upon any property or assets of the Company pursuant to, (i) the constitution of the Company, (ii) the terms of any indenture, contract, lease, mortgage, deed of trust, note agreement, loan agreement or other agreement, obligation, condition, covenant or instrument to which the Company is a party or bound or to which its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 (ii) and (iii) above, for any such conflict, breach, violation, default, lien, charge or encumbrance that would not, individually or in the aggregate, reasonably be expected to have a Material Adverse Effect (as defined below).</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holders of securities of the Company have rights to the registration of such securities under the Registration Statement or the issuance of the Placement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consolidated historical financial statements and schedules of the Company included in the Prospectus and the Registration Statement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accordance with accounting principles generally accepted in the United States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action, suit or proceeding by or before any court or governmental agency, authority or body or any arbitrator involving the Company, any Subsidiary or its property is pending or, to the knowledge of the Company, threatened that (i) would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whether or not arising from transactions in the ordinary course of business (a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 except as set forth in or contemplated in the Prospectus (exclusive of any amendment or supplement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Company leases all such real properties as are reasonably necessary to the conduct of its operations as presently conducted. The Company does not own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Neither the Company nor any Subsidiary is in violation or default of (i) any provision of its constitution,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its Subsidiaries or any of its properties, as applicable, except in case of clauses (ii) and (iii), for any such violation or default as would not reasonably expected,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Dannible &amp; McKee LLP and Mayer Hoffman McCann P.C., who have issued their respective audit reports with respect to the consolidated financial statements of the Company and its affiliates included in the Prospectus, are, or were at the time of issuance of their respective audit reports, each an independent public accountant with respect to the Company and its affiliates within the meaning of the Securities Act and the applicable published rules and regulations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and each of its Subsidiaries has filed all tax returns that are required to be filed or has requested extensions thereof, except in any case in which the failure so to file would not have a Material Adverse Effect, except as set forth in or contemplated in the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that would not have a Material Adverse Effect, except as set forth in or contemplated in the Prospectus (exclusive of any amendment or supplement thereto).</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With respect to the Company and its Subsidiaries, except as set forth in or contemplated in the Prospectus (exclusive of any amendment or supplement thereto): (i) no labor problem, dispute, slowdown, work stoppage or disturbance involving any employees of it exists or, to the Company’s knowledge is threatened or imminent, and it is not aware of any existing or imminent labor problem, dispute, slowdown, work stoppage or disturbance by the employees of any of its or its principal suppliers, contractors or customers, that could have a Material Adverse Effect; and (ii) compliance subsists for all its obligations under employment contracts, industrial agreements and awards and with all codes of conduct and practice relevant to conditions of service and to the relations between it and the employees employed by it, except as would not, individually or in the aggregate, reasonably be expected to have a Material Adverse Effect. The term “taxes” mean all net income, gross income, gross receipts, sales, use, ad valorem, transfer, franchise, profits, license, lease, withholding, payroll, employment, excise, severance, stamp, occupation, premium, property, windfall profits, customs, duties or other taxes, fees, assessments, or charges of any kind whatever imposed by the U.S., the European Union, Italy or any Italian subdivision or local authority, together with any interest and any penalties, additions to tax, or additional amounts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and each of its Subsidiaries are insured by insurers of recognized financial responsibility against such losses and risks and in such amounts as the Company and each of its Subsidiaries reasonably believes are prudent and customary in the business in which it is engaged; all policies of insurance insuring the Company, each Subsidiaries or its respective business, assets, employees, officers and directors are in full force and effect; each of the Company and its Subsidiaries is in compliance with the terms of such policies and instruments in all material respects; and there are no material claims by the Company or its Subsidiaries under any such policy or instrument as to which any insurance company is denying liability or defending under a reservation of rights clause; neither the Company nor any Subsidiary has been refused any insurance coverage sought or applied for; and neither the Company nor any Subsidiary has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Prospectus (exclusive of any amendment or supplement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The Company and its Subsidiaries possess all licenses, sub-licenses, certificates, permits and other authorizations issued by, and have made all declarations and filings with, all applicable federal, state, local or foreign governmental or other authorities that are necessary to conduct its businesses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possess such Permit would not, individually or in the aggregate, reasonably be expected to have a Material Adverse Effect. Neither the Company or any Subsidiary is in violation of, or in default under, any of the Permits nor has received any revocation, suspension or modification of any such Permit which, singly or in the aggregate, if the subject of an unfavorable decision, ruling or finding, would reasonably be expected to have a Material Adverse Effect, except as set forth in or contemplated in the Prospectus (exclusive of any amendment or supplement thereto). Neither the Company nor any Subsidiary has received any notice that any such Permit will not be renewed in the ordinary course, and, except as would not, individually or in the aggregate, reasonably be expected to have a Material Adverse Effect, all Permits are valid and in full force.</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Prospectus, the Company’s internal controls over financial reporting are effective and the Company is not aware of any material weakness in its internal controls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The Company maintains “disclosure controls and procedures” (as such term is defined in Rule 13a-15(e) under the Exchange Act and the rules and regulations promulgated thereunder);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Each of the Company and its Subsidiaries is (i) in compliance with any and all applicable foreign, federal, state and local laws and regulations relating to the protection of human health and safety, the environment or hazardous or toxic substances or wastes, pollutants or contaminants (collectively,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(ii) has received and is in compliance with all permits, licenses or other approvals required of them under applicable Environmental Laws to conduct its business and (iii) has not received notice of any actual or potential liability under any environmental law, except in each case where such non-compliance with Environmental Laws, failure to receive required permits, licenses or other approvals, or liability would not, individually or in the aggregate, have a Material Adverse Effect, except as set forth in or contemplated in the Prospectus (exclusive of any amendment or supplement thereto). Except as set forth in the Prospectus, neither the Company not any Subsidiary has been named as a “potentially responsible party” under the Comprehensive Environmental Response, Compensation, and Liability Act of 1980,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is and has been no failure on the part of the Company and any of the Company’s directors or officers, in their capacities as such, to comply with any provision of the Sarbanes-Oxley Act of 2002, as amended, and the rules and regulations promulgated in connection thereunder, that are then in effect and with which the Company is required to comply as of the effectiveness of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Neither the Company nor any Subsidiary nor, to the knowledge of the Company, any director, officer, agent, employee, affiliate or other person acting on behalf of the Company or any Subsidiary (i) has used any corporate funds for any unlawful contribution, gift, entertainment or other unlawful expense relating to political activity; (ii) has made any direct or indirect unlawful payment to any foreign or domestic government official or employee (including of any government owned or controlled entity, or any person acting in an official capacity for or on behalf of any of the foregoing) from corporate funds; or (iii) has made any bribe, rebate, payoff, influence payment, kickback or other unlawful payment, or (iv) is aware of or has taken any action, directly or indirectly, that could result in a violation or a sanction for violation by such persons of the U.S. Foreign Corrupt Practices Act of 1977, the U.K. Bribery Act 2010, OECD Convention on Combating Bribery of Foreign Public Officials in International Business Transactions, or any other applicable anti-bribery or anti-corruption law, each as may be amended, or the rules or regulations thereunder (collectively, the “</w:t>
      </w:r>
      <w:r>
        <w:rPr>
          <w:rFonts w:ascii="Times New Roman;Times;Serif" w:hAnsi="Times New Roman;Times;Serif"/>
          <w:b/>
          <w:i w:val="false"/>
          <w:caps w:val="false"/>
          <w:smallCaps w:val="false"/>
          <w:sz w:val="20"/>
          <w:u w:val="single"/>
        </w:rPr>
        <w:t>Anti-Corruption Laws</w:t>
      </w:r>
      <w:r>
        <w:rPr>
          <w:rFonts w:ascii="Times New Roman;Times;Serif" w:hAnsi="Times New Roman;Times;Serif"/>
          <w:b w:val="false"/>
          <w:i w:val="false"/>
          <w:caps w:val="false"/>
          <w:smallCaps w:val="false"/>
          <w:sz w:val="20"/>
        </w:rPr>
        <w:t>”); and each of the Company and its Subsidiaries has instituted and maintains policies and procedures to ensure compliance with the Anti-Corruption Laws. No part of the proceeds of the offering will be used, directly or indirectly, in violation of the Anti-Corruption Laws.</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The operations of the Company and its Subsidiaries are and have been conducted at all times in compliance with applicable financial recordkeeping and reporting requirements and the money laundering statutes of all jurisdictions where the Company or its Subsidiaries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Subsidiary with respect to the Money Laundering Laws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Neither the Company nor any of its Subsidiaries (collectively, the “</w:t>
      </w:r>
      <w:r>
        <w:rPr>
          <w:rFonts w:ascii="Times New Roman;Times;Serif" w:hAnsi="Times New Roman;Times;Serif"/>
          <w:b/>
          <w:i w:val="false"/>
          <w:caps w:val="false"/>
          <w:smallCaps w:val="false"/>
          <w:sz w:val="20"/>
          <w:u w:val="single"/>
        </w:rPr>
        <w:t>Entity</w:t>
      </w:r>
      <w:r>
        <w:rPr>
          <w:rFonts w:ascii="Times New Roman;Times;Serif" w:hAnsi="Times New Roman;Times;Serif"/>
          <w:b w:val="false"/>
          <w:i w:val="false"/>
          <w:caps w:val="false"/>
          <w:smallCaps w:val="false"/>
          <w:sz w:val="20"/>
        </w:rPr>
        <w:t>”) nor, to the knowledge of the Company, any director, officer, agent, employee or affiliate of the Entity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and the Italian Department of the Treasury) or other relevant sanctions authority (collectively,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 and such persons, “</w:t>
      </w:r>
      <w:r>
        <w:rPr>
          <w:rFonts w:ascii="Times New Roman;Times;Serif" w:hAnsi="Times New Roman;Times;Serif"/>
          <w:b/>
          <w:i w:val="false"/>
          <w:caps w:val="false"/>
          <w:smallCaps w:val="false"/>
          <w:sz w:val="20"/>
          <w:u w:val="single"/>
        </w:rPr>
        <w:t>Sanctioned Persons</w:t>
      </w:r>
      <w:r>
        <w:rPr>
          <w:rFonts w:ascii="Times New Roman;Times;Serif" w:hAnsi="Times New Roman;Times;Serif"/>
          <w:b w:val="false"/>
          <w:i w:val="false"/>
          <w:caps w:val="false"/>
          <w:smallCaps w:val="false"/>
          <w:sz w:val="20"/>
        </w:rPr>
        <w:t>” and each such person, a “</w:t>
      </w:r>
      <w:r>
        <w:rPr>
          <w:rFonts w:ascii="Times New Roman;Times;Serif" w:hAnsi="Times New Roman;Times;Serif"/>
          <w:b/>
          <w:i w:val="false"/>
          <w:caps w:val="false"/>
          <w:smallCaps w:val="false"/>
          <w:sz w:val="20"/>
          <w:u w:val="single"/>
        </w:rPr>
        <w:t>Sanctioned Person</w:t>
      </w:r>
      <w:r>
        <w:rPr>
          <w:rFonts w:ascii="Times New Roman;Times;Serif" w:hAnsi="Times New Roman;Times;Serif"/>
          <w:b w:val="false"/>
          <w:i w:val="false"/>
          <w:caps w:val="false"/>
          <w:smallCaps w:val="false"/>
          <w:sz w:val="20"/>
        </w:rPr>
        <w:t>”), (ii) is located, organized or resident in a country or territory that is, or whose government is, the subject of Sanctions that broadly prohibit dealings with that country or territory (currently, the Crimea region, Cuba, Iran, North Korea, and Syria) (collectively, “</w:t>
      </w:r>
      <w:r>
        <w:rPr>
          <w:rFonts w:ascii="Times New Roman;Times;Serif" w:hAnsi="Times New Roman;Times;Serif"/>
          <w:b/>
          <w:i w:val="false"/>
          <w:caps w:val="false"/>
          <w:smallCaps w:val="false"/>
          <w:sz w:val="20"/>
          <w:u w:val="single"/>
        </w:rPr>
        <w:t>Sanctioned Countries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u w:val="single"/>
        </w:rPr>
        <w:t>Sanctioned Country</w:t>
      </w:r>
      <w:r>
        <w:rPr>
          <w:rFonts w:ascii="Times New Roman;Times;Serif" w:hAnsi="Times New Roman;Times;Serif"/>
          <w:b w:val="false"/>
          <w:i w:val="false"/>
          <w:caps w:val="false"/>
          <w:smallCaps w:val="false"/>
          <w:sz w:val="20"/>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The Entity has not engaged in any dealings or transactions with or for the benefit of a Sanctioned Person, or with or in a Sanctioned Country, in the preceding three years, nor does the Entity have any plans to engage in dealings or transactions with or for the benefit of a Sanctioned Person, or with or in a Sanctioned Country.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Except as would not reasonably be expected to result in a Material Adverse Effect, the Company and its Subsidiaries own, possess, license or has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their respective businesses as now conducted or as proposed in Prospectus to be conducted. Except as set forth in the Prospectus or as would not reasonably be expected to result in a Material Adverse Effect, (a) there are no rights of third parties to any such Intellectual Property; (b) to the Company’s knowledge, there is no material infringement by third parties of any such Intellectual Property; (c) there is no pending or, to the knowledge of the Company, threatened action, suit, proceeding or claim by others challenging rights of the Company and its Subsidiaries in or to any such Intellectual Property, and the Company is unaware of any facts which would form a reasonable basis for any such claim; (d)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or any Subsidiary infringes or otherwise violates any patent, trademark, copyright, trade secret or other proprietary rights of others, and the Company is unaware of any other fact which would form a reasonable basis for any such claim; (f) to the Company’s knowledge, there is no prior art of which the Company or any Subsidiary is aware that may render any U.S. patent held by the Company or any Subsidiary invalid or any U.S. patent application held by the Company or any Subsidiary un-patentable which has not been disclosed to the U.S. Patent and Trademark Office.</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Except as disclosed in the Registration Statement and the Prospectus, the Company (i) does not have any material lending or other relationship with any bank or lending affiliate of Cantor Fitzgerald &amp; Co. and (ii) does not intend to use any of the proceeds from the sale of the Placement ADSs hereunder to repay any outstanding debt owed to any affiliate of Cantor Fitzgerald &amp; Co.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Neither the Company, its Subsidiaries nor any of its properties or assets has any immunity from the jurisdiction of any court or from any legal process (whether through service or notice, attachment prior to judgment, attachment in aid of execution or otherwise) under the laws of Italy.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Each of the Company and its Subsidiaries are, and at all times have been, in material compliance with all applicable Health Care Laws. For purposes of this Agreement, “</w:t>
      </w:r>
      <w:r>
        <w:rPr>
          <w:rFonts w:ascii="Times New Roman;Times;Serif" w:hAnsi="Times New Roman;Times;Serif"/>
          <w:b/>
          <w:i w:val="false"/>
          <w:caps w:val="false"/>
          <w:smallCaps w:val="false"/>
          <w:sz w:val="20"/>
          <w:u w:val="single"/>
        </w:rPr>
        <w:t>Health Care Laws</w:t>
      </w:r>
      <w:r>
        <w:rPr>
          <w:rFonts w:ascii="Times New Roman;Times;Serif" w:hAnsi="Times New Roman;Times;Serif"/>
          <w:b w:val="false"/>
          <w:i w:val="false"/>
          <w:caps w:val="false"/>
          <w:smallCaps w:val="false"/>
          <w:sz w:val="20"/>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(vi) all other local, state, federal, national, supranational and foreign laws, relating to the clinical drug development activities conducted by the Company and its Subsidiaries, and (vii) the directives and regulations promulgated pursuant to such statutes and any state or non-U.S. counterpart thereof. Neither the Company nor any Subsidiary has received any United States Food and Drug Administration (the “</w:t>
      </w:r>
      <w:r>
        <w:rPr>
          <w:rFonts w:ascii="Times New Roman;Times;Serif" w:hAnsi="Times New Roman;Times;Serif"/>
          <w:b/>
          <w:i w:val="false"/>
          <w:caps w:val="false"/>
          <w:smallCaps w:val="false"/>
          <w:sz w:val="20"/>
          <w:u w:val="single"/>
        </w:rPr>
        <w:t>FDA</w:t>
      </w:r>
      <w:r>
        <w:rPr>
          <w:rFonts w:ascii="Times New Roman;Times;Serif" w:hAnsi="Times New Roman;Times;Serif"/>
          <w:b w:val="false"/>
          <w:i w:val="false"/>
          <w:caps w:val="false"/>
          <w:smallCaps w:val="false"/>
          <w:sz w:val="20"/>
        </w:rPr>
        <w:t>”) Form 483, notice of adverse finding, warning letter, untitled letter or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or were corrected or supplemented by a subsequent submission, except as would not cause a Material Adverse Effect. Neither the Company nor its Subsidiaries are a party to any corporate integrity agreement, monitoring agreement, consent decree, settlement order, or similar agreement with or imposed by any governmental or regulatory authority. Additionally, neither the Company, its Subsidiaries nor any of its employees, officers, directors or, to the Company’s knowledge, agents, has been excluded, suspended or debarred from participation in any U.S. federal health care program or human clinical research or, to Company’s knowledge, is subject to a governmental inquiry, investigation, proceeding, or other similar action that could reasonably be expected to result in debarment, suspension, or exclusion.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The Company’s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u w:val="single"/>
        </w:rPr>
        <w:t>IT Systems and Data</w:t>
      </w:r>
      <w:r>
        <w:rPr>
          <w:rFonts w:ascii="Times New Roman;Times;Serif" w:hAnsi="Times New Roman;Times;Serif"/>
          <w:b w:val="false"/>
          <w:i w:val="false"/>
          <w:caps w:val="false"/>
          <w:smallCaps w:val="false"/>
          <w:sz w:val="20"/>
        </w:rPr>
        <w:t>”) are adequate for, and operate and perform as required in connection with the operation of the business of the Company and its Subsidiaries as currently conducted, free and clear of all bugs, errors, defects, Trojan horses, time bombs, malware and other corruptants, except as would not reasonably be expected to result in a Material Adverse Effect. The Company and its Subsidiaries have implemented and maintain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its business.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Personal Data, except for those that have been remedied without material cost or liability or the duty to notify any other person, nor any incidents under internal review or investigations relating to the same. The Company and its Subsidiaries have been and are presently in material compliance with all applicable laws, directives, or statutes and all judgments, orders, rules and regulations of any court or arbitrator or governmental or regulatory authority, internal policies and contractual obligations relating to the privacy and security of IT Systems and Data, including Personal Data and to the protection of such IT Systems and Data and Personal Data from unauthorized use, access, misappropriation or modification, except as would not reasonably be expected to result in a Material Adverse Effect. There has been no security breach or other material compromise of or relating to any of the Company’s or its Subsidiaries’ IT Systems and Data, and neither the Company nor its Subsidiaries have been notified of, or have any knowledge of, any event or condition that would reasonably be expected to result in, any security breach or other material compromise to their respective IT Systems and Data, except for any breaches or compromises that would not, individually or in the aggregate,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The Company and its Subsidiaries are, and have at all times been, in material compliance with all applicable data privacy and security laws and regulations of any court or arbitrator or governmental or regulatory authority, internal policies and contractual obligations regarding the privacy and security of IT Systems and Data and Personal Data (collectively, the “</w:t>
      </w:r>
      <w:r>
        <w:rPr>
          <w:rFonts w:ascii="Times New Roman;Times;Serif" w:hAnsi="Times New Roman;Times;Serif"/>
          <w:b/>
          <w:i w:val="false"/>
          <w:caps w:val="false"/>
          <w:smallCaps w:val="false"/>
          <w:sz w:val="20"/>
          <w:u w:val="single"/>
        </w:rPr>
        <w:t>Privacy Laws</w:t>
      </w:r>
      <w:r>
        <w:rPr>
          <w:rFonts w:ascii="Times New Roman;Times;Serif" w:hAnsi="Times New Roman;Times;Serif"/>
          <w:b w:val="false"/>
          <w:i w:val="false"/>
          <w:caps w:val="false"/>
          <w:smallCaps w:val="false"/>
          <w:sz w:val="20"/>
        </w:rPr>
        <w:t>”), except as would not, individually or in the aggregate, result in a Material Adverse Effect. To ensure compliance with the Privacy Laws, the Company and its Subsidiaries have in place, comply with, and take appropriate steps reasonably designed to ensure compliance in all material respects with its policies and contractual obligations governing the collection, storage, use, disclosure, handling and analysis of Personal Data. The Company and its Subsidiaries have at all times made all material disclosures to users or customers required by the Privacy Laws, except as would not, individually or in the aggregate, result in a Material Adverse Effect. The Company further certifies that neither the Company nor any Subsidiary: (i) has received notice of, any actual or potential liability under or relating to, or actual or potential violation of, any of the Privacy Laws, and has knowledge of any event or condition that would reasonably be expected to result in, any such notice; (ii) is currently conducting or paying for, in whole or in part, any investigation, remediation, or other corrective action pursuant to any Privacy Laws; or (iii) is a party to any order, decree, or agreement that imposes any obligation or liability under any Privacy Law, except with respect to subsection (i), (ii) and (iii) as would not, individually or in the aggregate, result in a Material Adverse Effect.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The preclinical studies and clinical trials that are described in the Registration Statement or the Prospectus (collectively, “</w:t>
      </w:r>
      <w:r>
        <w:rPr>
          <w:rFonts w:ascii="Times New Roman;Times;Serif" w:hAnsi="Times New Roman;Times;Serif"/>
          <w:b/>
          <w:i w:val="false"/>
          <w:caps w:val="false"/>
          <w:smallCaps w:val="false"/>
          <w:sz w:val="20"/>
          <w:u w:val="single"/>
        </w:rPr>
        <w:t>Studies</w:t>
      </w:r>
      <w:r>
        <w:rPr>
          <w:rFonts w:ascii="Times New Roman;Times;Serif" w:hAnsi="Times New Roman;Times;Serif"/>
          <w:b w:val="false"/>
          <w:i w:val="false"/>
          <w:caps w:val="false"/>
          <w:smallCaps w:val="false"/>
          <w:sz w:val="20"/>
        </w:rPr>
        <w:t>”) were conducted by or, to the knowledge of the Company, on behalf of the Company and its Subsidiaries were and, if still ongoing, are being conducted in all material respects in accordance with the protocols, procedures and controls designed for such Studies and pursuant to, where applicable, accepted professional scientific standards; the descriptions of the results of such studies contained in the Registration Statement or the Prospectus are accurate and complete and fairly present the data derived from such Studies, in each case in all material respects, and the Company has no knowledge of any other Studies the results of which are materially inconsistent with, or otherwise call into question, the results described or referred to in the Registration Statement or the Prospectus; the Company and its Subsidiaries have made all such filings and obtained all such approvals as may be required by the FDA or any committee thereof, the European Medicines Agency (“</w:t>
      </w:r>
      <w:r>
        <w:rPr>
          <w:rFonts w:ascii="Times New Roman;Times;Serif" w:hAnsi="Times New Roman;Times;Serif"/>
          <w:b/>
          <w:i w:val="false"/>
          <w:caps w:val="false"/>
          <w:smallCaps w:val="false"/>
          <w:sz w:val="20"/>
          <w:u w:val="single"/>
        </w:rPr>
        <w:t>EMA</w:t>
      </w:r>
      <w:r>
        <w:rPr>
          <w:rFonts w:ascii="Times New Roman;Times;Serif" w:hAnsi="Times New Roman;Times;Serif"/>
          <w:b w:val="false"/>
          <w:i w:val="false"/>
          <w:caps w:val="false"/>
          <w:smallCaps w:val="false"/>
          <w:sz w:val="20"/>
        </w:rPr>
        <w:t>”) or any committee thereof, or from any other U.S. or foreign government or drug or medical device regulatory agency, or health care facility Institutional Review Board (collectively, the “</w:t>
      </w:r>
      <w:r>
        <w:rPr>
          <w:rFonts w:ascii="Times New Roman;Times;Serif" w:hAnsi="Times New Roman;Times;Serif"/>
          <w:b/>
          <w:i w:val="false"/>
          <w:caps w:val="false"/>
          <w:smallCaps w:val="false"/>
          <w:sz w:val="20"/>
          <w:u w:val="single"/>
        </w:rPr>
        <w:t>Regulatory Agencies</w:t>
      </w:r>
      <w:r>
        <w:rPr>
          <w:rFonts w:ascii="Times New Roman;Times;Serif" w:hAnsi="Times New Roman;Times;Serif"/>
          <w:b w:val="false"/>
          <w:i w:val="false"/>
          <w:caps w:val="false"/>
          <w:smallCaps w:val="false"/>
          <w:sz w:val="20"/>
        </w:rPr>
        <w:t>”), except as would not, individually or in the aggregate, reasonably be expected to result in a Material Adverse Effect; neither the Company nor its Subsidiaries have received any notice from, or correspondence from, any Regulatory Agency requiring the termination, suspension or material modification of any Studies conducted by or on behalf of the Company or its Subsidiaries; and the Company and its Subsidiaries are in compliance in all material respects with all applicable rules, regulations and policies of the Regulatory Agencies.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The Company and its Subsidiaries have generally enjoyed a satisfactory employer-employee relationship with their respective employees and are in compliance in all material respects with all collective and individual contracts with or involving their respective employees and with all European Union laws applicable to Italian companies and Italian national, and local laws and regulations respecting the employment of their respective employees and employment practices, terms and conditions of employment and wages and hours relating thereto and, to the knowledge of the Company, there is no dispute with any employee existing or threatened, which dispute would have a Material Adverse Effect. There are no pending investigations involving the Company, its Subsidiaries, their respective employees or any collective bargaining organization by any other governmental agency responsible for the enforcement of European Union, Italian national, and local laws and regulations or collective bargaining agreements. There is no unfair labor practice charge or complaint against the Company, any Subsidiary or any officer of the Company or any Subsidiary, pending before any regulatory authority, or any strike, picketing, boycott, dispute, slowdown or stoppage pending or threatened against or involving the Company, any Subsidiary or any officer of the Company or any Subsidiary, or any predecessor entity, and none has ever occurred. No question concerning representation exists respecting the employees of the Company or any Subsidiary and no collective bargaining agreement or modification thereof is currently being negotiated by the Company or any Subsidiary. No grievance or arbitration proceeding is pending under any expired or existing collective bargaining agreements of the Company or any Subsidiary,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All translations of each agreement, document or other writing provided by the Company for use by the Representatives or for use as exhibits to the Registration Statement which the Company reasonably believes (i) have been provided by parties whom the Company believes are reliable in their capacity to fairly and accurately translate such documents, and (ii) fairly and accurately represent the provisions of the original versions of the documents which they represent. To the extent such translations were provided by others, nothing has come to attention of officers of the Company familiar with such documents that causes them to believe the translations provided are inaccurate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The choice of laws of the State of New York as the governing law of this Agreement is a valid choice of law under the laws of Italy and will be honored by the courts of Italy, subject to the restrictions described under the caption “Enforcement of Civil Liabilities” in the Registration Statement and the Prospectus.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recognized by the courts of Italy, without reconsideration or reexamination of the merits, subject to the restrictions described under the caption “Enforcement of Civil Liabilities” in the Registration Statement and the Prospectus, and the applicable bankruptcy, insolvency, reorganization or similar laws affecting the rights of creditors and secured parties in general.</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Except as provided by laws or statutes generally applicable to transactions of the type described in this Agreement, neither the Company, its Subsidiaries nor any of their respective properties, assets or revenues has any right of immunity under Italian, New York or United States law, from any legal action, suit or proceeding, from the giving of any relief in any such legal action, suit or proceeding, from set-off or counterclaim, from the jurisdiction of any Italian,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its Subsidiaries or any of their respective properties, assets or revenues may have or may hereafter become entitled to any such right of immunity in any such court in which proceedings may at any time be commenced, the Company and its Subsidiaries waive or will waive such right to the extent permitted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The Company is a “foreign private issuer” as defined in Rule 405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The Company is not a party to any agreement with an agent or underwriter for any other “at the market” or continuous equity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The Company acknowledges and agrees that the Agent has informed the Company that the Agent may, to the extent permitted under the Securities Act and the Exchange Act, purchase and sell Ordinary Shares or ADSs for its own account while this Agreement is in effect, provided, that (i) no such purchase or sales shall take place while a Placement Notice is in effect (except to the extent the Agent may engage in sales of Placement ADSs purchased or deemed purchased from the Company as a “riskless principal” or in a similar capacity) and (ii) the Company shall not be deemed to have authorized or consented to any such purchases or sales by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Agent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ADSs is required to be delivered by the Agent under the Securities Act (including in circumstances where such requirement may be satisfied pursuant to Rule 172 under the Securities Act or similar rule), (i) 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ADSs by the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ADSs unless a copy thereof has been submitted to Agent within a reasonable period of time before the filing and the Agent has not objected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failure of the Agent to make such objection shall not relieve the Company of any obligation or liability hereunder, or affect the Agent’s right to rely on the representations and warranties made by the Company in this Agreement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relating to the Placement ADSs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based on the Company’s reasonable opinion or reasonable objections, shall be made exclusively by the Company).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ADSs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ADSs or for additional information related to the Registration Statement, the Prospectus or any Issuer Free Writing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any period in which a Prospectus relating to the Placement ADSs is required to be delivered by the Agent under the Securities Act with respect to the offer and sale of the Placement ADSs, (including in circumstances where such requirement may be satisfied pursuant to Rule 172 under the Securities Act or similar rule), the Company will comply in all material respects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 promptly of all such filings relating to the Placement ADSs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ADSs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delay such amendment or supplement if, in the reasonable judgment of the Company, it is in the best interest of the Company to do 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Listing of Placement ADSs</w:t>
      </w:r>
      <w:r>
        <w:rPr>
          <w:rFonts w:ascii="Times New Roman;Times;Serif" w:hAnsi="Times New Roman;Times;Serif"/>
          <w:b w:val="false"/>
          <w:i w:val="false"/>
          <w:caps w:val="false"/>
          <w:smallCaps w:val="false"/>
          <w:sz w:val="20"/>
        </w:rPr>
        <w:t>. The Company will use its reasonable best efforts to maintain the listing of its ADSs on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ADSs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ADSs may be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furnish any document (other than the Prospectus) to the Agent to the extent such document is available on EDGAR.</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Earning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w:t>
      </w:r>
      <w:r>
        <w:rPr>
          <w:rFonts w:ascii="Times New Roman;Times;Serif" w:hAnsi="Times New Roman;Times;Serif"/>
          <w:b w:val="false"/>
          <w:i/>
          <w:caps w:val="false"/>
          <w:smallCaps w:val="false"/>
          <w:sz w:val="20"/>
        </w:rPr>
        <w:t>; provided</w:t>
      </w:r>
      <w:r>
        <w:rPr>
          <w:rFonts w:ascii="Times New Roman;Times;Serif" w:hAnsi="Times New Roman;Times;Serif"/>
          <w:b w:val="false"/>
          <w:i w:val="false"/>
          <w:caps w:val="false"/>
          <w:smallCaps w:val="false"/>
          <w:sz w:val="20"/>
        </w:rPr>
        <w:t xml:space="preserve"> that the Company will be deemed to have furnished such statement to its security holders to the extent it is available on EDGAR.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Without the prior written consent of the Agent, the Company will not, directly or indirectly, offer to sell, sell, contract to sell, grant any option to sell or otherwise dispose of any Ordinary Shares or ADSs (other than the Placement ADSs offered pursuant to this Agreement) or securities convertible into or exchangeable for Ordinary Shares or ADSs, warrants or any rights to purchase or acquire, Ordinary Shares or ADSs during the period beginning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prior to the date on which any Placement Notice is delivered to the Agent hereunder and ending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following the final Settlement Date with respect to Placement ADSs sold pursuant to such Placement Notice (or, if the Placement Notice has been terminated or suspended prior to the sale of all Placement ADSs covered by a Placement Notice, the date of such suspension or termination); and will not directly or indirectly in any other “at the market” or continuous equity transaction offer to sell, sell, contract to sell, grant any option to sell or otherwise dispose of any Ordinary Shares or ADSs (other than the Placement ADSs offered pursuant to this Agreement) or securities convertible into or exchangeable for Ordinary Shares or ADSs, warrants or any rights to purchase or acquire, Ordinary Shares or ADSs prior to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immediately following the termination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restrictions will not be required in connection with the Company’s issuance or sale of (i) Ordinary Shares or ADSs, warrants or options to purchase Ordinary Shares or ADSs or Ordinary Shares or ADSs issuable upon the exercise of options or warrants, pursuant to any employee or director stock option or benefits plan, stock ownership plan or dividend reinvestment plan (but not Ordinary Shares or ADSs subject to a waiver to exceed plan limits in its dividend reinvestment plan) of the Company whether now in effect or hereafter implemented or pursuant to any inducement award in accordance with Exchange rules, (ii) Ordinary Shares or ADSs issuable upon conversion or redemption of securities or the exercise or redemption of warrants, options or other rights in effect or outstanding, and disclosed in filings by the Company available on EDGAR or otherwise in writing to the Agent, (iii) Ordinary Shares or ADSs or securities convertible into or exchangeable or redeemable for shares of Ordinary Shares or ADSs as consideration for mergers, acquisitions, other business combinations, joint ventures, collaborations, licensing arrangements or strategic alliances occurring after the date of this Agreement which are not issued for capital raising purposes, and (iv) </w:t>
      </w:r>
      <w:r>
        <w:rPr>
          <w:rFonts w:ascii="Times New Roman;Times;Serif" w:hAnsi="Times New Roman;Times;Serif"/>
          <w:b w:val="false"/>
          <w:i w:val="false"/>
          <w:caps w:val="false"/>
          <w:smallCaps w:val="false"/>
          <w:sz w:val="20"/>
          <w:shd w:fill="FFFFFF" w:val="clear"/>
        </w:rPr>
        <w:t>for the avoidance of doubt, non-public discussions or negotiations with respect to any of the foregoing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Required Filings Relating to Placement of Placement ADSs</w:t>
      </w:r>
      <w:r>
        <w:rPr>
          <w:rFonts w:ascii="Times New Roman;Times;Serif" w:hAnsi="Times New Roman;Times;Serif"/>
          <w:b w:val="false"/>
          <w:i w:val="false"/>
          <w:caps w:val="false"/>
          <w:smallCaps w:val="false"/>
          <w:sz w:val="20"/>
        </w:rPr>
        <w:t>. The Company shall disclose, in its reports on Form 6-K reporting its interim results for the first six months of its financial year and in its annual report on Form 20-F to be filed by the Company with the Commission from time to time, the number of the Placement ADSs sold through the Agent under this Agreement, and the net proceeds to the Company from the sale of the Placement ADSs pursuant to this Agreement during the relevant six-month period or fiscal year, as applicable.</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(1) On or prior to the date of the first Placement Notice and (2) each time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files the Prospectus relating to the Placement ADSs or amends or supplements (other than a prospectus supplement relating solely to an offering of securities other than the Placement ADSs) the Registration Statement or the Prospectus relating to the Placement ADSs by means of a post-effective amendment, sticker, or supplement but not by means of incorporation of documents by reference into the Registration Statement or the Prospectus relating to the Placement ADSs;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files an annual report on Form 20-F under the Exchange Act (including any Form 20-F/A containing amended financial information or a material amendment to the previously filed Form 20-F);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furnishes a report on Form 6-K under the Exchange Act containing its unaudited interim financial statements for the first six months of its financial year, which report shall indicate that it is incorporated by reference into the Registration Statement and Prospectus;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furnishes a report on Form 6-K under the Exchange Act containing amended financial information under the Exchange Act that is material to the offering of securities of the Company in the reasonable discretion of the Agent, in which case such report shall indicate that it is incorporated by reference into the Registration Statement and Prospectus (each date of filing of one or more of the documents referred to in clauses (i) through (iv) shall be a “</w:t>
      </w:r>
      <w:r>
        <w:rPr>
          <w:rFonts w:ascii="Times New Roman;Times;Serif" w:hAnsi="Times New Roman;Times;Serif"/>
          <w:b/>
          <w:i w:val="false"/>
          <w:caps w:val="false"/>
          <w:smallCaps w:val="false"/>
          <w:sz w:val="20"/>
          <w:u w:val="single"/>
        </w:rPr>
        <w:t>Representation Date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furnish the Agent (but in the case of clause (iv) above only if the Agent reasonably determines that the information contained in such Form 6-K is material)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shall be waived for any Representation Date occurring at a time a Suspension is in effect or there is no Placement Notice in effect, which waiver shall continue until the earlier to occur of the date the Company delivers instructions for the sale of Placement ADSs hereunder (which for such calendar quarter shall be considered a Representation Date) and the next occurring Representation Date. Notwithstanding the foregoing, if the Company subsequently decides to sell Placement ADSs following a Representation Date when a Suspension was in effect or there was no Placement Notice in effect and did not provide the Agent with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then before the Company delivers the instructions for the sale of Placement ADSs or the Agent sells any Placement ADSs pursuant to such instructions, the Company shall provide the Agent with a certificate in conformity with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dated as of the date that the instructions for the sale of Placement ADSs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xml:space="preserve">. (1) Prior to the date of the first Placement Notice and (2) on or prior to each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for which no waiver is applicable and excluding the date of this Agreement, the Company shall cause to be furnished to the Agent (i) a written opinion and negative assurance letter of Fenwick &amp; West LLP (“</w:t>
      </w:r>
      <w:r>
        <w:rPr>
          <w:rFonts w:ascii="Times New Roman;Times;Serif" w:hAnsi="Times New Roman;Times;Serif"/>
          <w:b/>
          <w:i w:val="false"/>
          <w:caps w:val="false"/>
          <w:smallCaps w:val="false"/>
          <w:sz w:val="20"/>
          <w:u w:val="single"/>
        </w:rPr>
        <w:t>Company U.S. Counsel</w:t>
      </w:r>
      <w:r>
        <w:rPr>
          <w:rFonts w:ascii="Times New Roman;Times;Serif" w:hAnsi="Times New Roman;Times;Serif"/>
          <w:b w:val="false"/>
          <w:i w:val="false"/>
          <w:caps w:val="false"/>
          <w:smallCaps w:val="false"/>
          <w:sz w:val="20"/>
        </w:rPr>
        <w:t>”), (ii) a written opinion of Giovannelli e Associati Studio Legale (“</w:t>
      </w:r>
      <w:r>
        <w:rPr>
          <w:rFonts w:ascii="Times New Roman;Times;Serif" w:hAnsi="Times New Roman;Times;Serif"/>
          <w:b/>
          <w:i w:val="false"/>
          <w:caps w:val="false"/>
          <w:smallCaps w:val="false"/>
          <w:sz w:val="20"/>
          <w:u w:val="single"/>
        </w:rPr>
        <w:t>Company Italian Counsel</w:t>
      </w:r>
      <w:r>
        <w:rPr>
          <w:rFonts w:ascii="Times New Roman;Times;Serif" w:hAnsi="Times New Roman;Times;Serif"/>
          <w:b w:val="false"/>
          <w:i w:val="false"/>
          <w:caps w:val="false"/>
          <w:smallCaps w:val="false"/>
          <w:sz w:val="20"/>
        </w:rPr>
        <w:t>”) and (iii) a written opinion of D. Young (“</w:t>
      </w:r>
      <w:r>
        <w:rPr>
          <w:rFonts w:ascii="Times New Roman;Times;Serif" w:hAnsi="Times New Roman;Times;Serif"/>
          <w:b/>
          <w:i w:val="false"/>
          <w:caps w:val="false"/>
          <w:smallCaps w:val="false"/>
          <w:sz w:val="20"/>
          <w:u w:val="single"/>
        </w:rPr>
        <w:t>Company Intellectual Property Counsel</w:t>
      </w:r>
      <w:r>
        <w:rPr>
          <w:rFonts w:ascii="Times New Roman;Times;Serif" w:hAnsi="Times New Roman;Times;Serif"/>
          <w:b w:val="false"/>
          <w:i w:val="false"/>
          <w:caps w:val="false"/>
          <w:smallCaps w:val="false"/>
          <w:sz w:val="20"/>
        </w:rPr>
        <w:t>”, and together with Company U.S. Counsel and Company Italian Counsel, “</w:t>
      </w:r>
      <w:r>
        <w:rPr>
          <w:rFonts w:ascii="Times New Roman;Times;Serif" w:hAnsi="Times New Roman;Times;Serif"/>
          <w:b/>
          <w:i w:val="false"/>
          <w:caps w:val="false"/>
          <w:smallCaps w:val="false"/>
          <w:sz w:val="20"/>
          <w:u w:val="single"/>
        </w:rPr>
        <w:t>Company Counsel</w:t>
      </w:r>
      <w:r>
        <w:rPr>
          <w:rFonts w:ascii="Times New Roman;Times;Serif" w:hAnsi="Times New Roman;Times;Serif"/>
          <w:b w:val="false"/>
          <w:i w:val="false"/>
          <w:caps w:val="false"/>
          <w:smallCaps w:val="false"/>
          <w:sz w:val="20"/>
        </w:rPr>
        <w:t xml:space="preserve">”), or other counsel reasonably satisfactory to the Agent, in each case in form and substance satisfactory to the Agent and its counsel, substantially similar to the form previously provided to the Agent and its counsel, modified, as necessary, to relate to the Registration Statement and the Prospectus as then amended or supplemented;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lieu of such opinions and negative assurance letters for subsequent periodic filings under the Exchange Act, counsel may furnish the Agent with a letter (a “</w:t>
      </w:r>
      <w:r>
        <w:rPr>
          <w:rFonts w:ascii="Times New Roman;Times;Serif" w:hAnsi="Times New Roman;Times;Serif"/>
          <w:b/>
          <w:i w:val="false"/>
          <w:caps w:val="false"/>
          <w:smallCaps w:val="false"/>
          <w:sz w:val="20"/>
          <w:u w:val="single"/>
        </w:rPr>
        <w:t>Reliance Letter</w:t>
      </w:r>
      <w:r>
        <w:rPr>
          <w:rFonts w:ascii="Times New Roman;Times;Serif" w:hAnsi="Times New Roman;Times;Serif"/>
          <w:b w:val="false"/>
          <w:i w:val="false"/>
          <w:caps w:val="false"/>
          <w:smallCaps w:val="false"/>
          <w:sz w:val="20"/>
        </w:rPr>
        <w:t xml:space="preserve">”) to the effect that the Agent may rely on a prior opinion or negative assurance letter delivered under this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to the same extent as if it were dated the date of such letter (except that statements in such prior opinion or negative assurance letter shall be deemed to relate to the Registration Statement and the Prospectus as amended or supplemented as of the date of the Reliance Letter).</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(1) Prior to the date of the first Placement Notice and (2) on or prior to each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for which no waiver is applicable and excluding the date of this Agreement, the Company shall cause its independent registered public accounting firm to furnish the Agent letters (the “</w:t>
      </w:r>
      <w:r>
        <w:rPr>
          <w:rFonts w:ascii="Times New Roman;Times;Serif" w:hAnsi="Times New Roman;Times;Serif"/>
          <w:b/>
          <w:i w:val="false"/>
          <w:caps w:val="false"/>
          <w:smallCaps w:val="false"/>
          <w:sz w:val="20"/>
          <w:u w:val="single"/>
        </w:rPr>
        <w:t>Comfort Letters</w:t>
      </w:r>
      <w:r>
        <w:rPr>
          <w:rFonts w:ascii="Times New Roman;Times;Serif" w:hAnsi="Times New Roman;Times;Serif"/>
          <w:b w:val="false"/>
          <w:i w:val="false"/>
          <w:caps w:val="false"/>
          <w:smallCaps w:val="false"/>
          <w:sz w:val="20"/>
        </w:rPr>
        <w:t xml:space="preserve">”), dated the date the Comfort Letter is delivered, which shall meet the requirements set forth in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reasonably requested by the Agent, the Company shall cause a Comfort Letter to be furnished to the Agent within ten (10) Trading Days of the date of occurrence of any material transaction or event requiring the filing of a report on Form 6-K containing financial information (including the restatement of the Company’s financial statements). The Comfort Letter from the Company’s independent registered public accounting firm shall be in a form and substance satisfactory to the Agent, (i) confirming that they are an independent registered public accounting firm within the meaning of the Securities Act and the Public Company Accounting Oversight Board (“</w:t>
      </w:r>
      <w:r>
        <w:rPr>
          <w:rFonts w:ascii="Times New Roman;Times;Serif" w:hAnsi="Times New Roman;Times;Serif"/>
          <w:b/>
          <w:i w:val="false"/>
          <w:caps w:val="false"/>
          <w:smallCaps w:val="false"/>
          <w:sz w:val="20"/>
          <w:u w:val="single"/>
        </w:rPr>
        <w:t>PCAOB</w:t>
      </w:r>
      <w:r>
        <w:rPr>
          <w:rFonts w:ascii="Times New Roman;Times;Serif" w:hAnsi="Times New Roman;Times;Serif"/>
          <w:b w:val="false"/>
          <w:i w:val="false"/>
          <w:caps w:val="false"/>
          <w:smallCaps w:val="false"/>
          <w:sz w:val="20"/>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Company Tax Opinion</w:t>
      </w:r>
      <w:r>
        <w:rPr>
          <w:rFonts w:ascii="Times New Roman;Times;Serif" w:hAnsi="Times New Roman;Times;Serif"/>
          <w:b w:val="false"/>
          <w:i w:val="false"/>
          <w:caps w:val="false"/>
          <w:smallCaps w:val="false"/>
          <w:sz w:val="20"/>
        </w:rPr>
        <w:t xml:space="preserve">. (1) Prior to the date of the first Placement Notice and (2) on or prior to each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7(l)(i)</w:t>
      </w:r>
      <w:r>
        <w:rPr>
          <w:rFonts w:ascii="Times New Roman;Times;Serif" w:hAnsi="Times New Roman;Times;Serif"/>
          <w:b w:val="false"/>
          <w:i w:val="false"/>
          <w:caps w:val="false"/>
          <w:smallCaps w:val="false"/>
          <w:sz w:val="20"/>
        </w:rPr>
        <w:t xml:space="preserve"> for which no waiver is applicable and excluding the date of this Agreement, the Company shall cause to be furnished to the Agent a written opinion of Dr. Negonda (“</w:t>
      </w:r>
      <w:r>
        <w:rPr>
          <w:rFonts w:ascii="Times New Roman;Times;Serif" w:hAnsi="Times New Roman;Times;Serif"/>
          <w:b/>
          <w:i w:val="false"/>
          <w:caps w:val="false"/>
          <w:smallCaps w:val="false"/>
          <w:sz w:val="20"/>
          <w:u w:val="single"/>
        </w:rPr>
        <w:t>Company Tax Counsel</w:t>
      </w:r>
      <w:r>
        <w:rPr>
          <w:rFonts w:ascii="Times New Roman;Times;Serif" w:hAnsi="Times New Roman;Times;Serif"/>
          <w:b w:val="false"/>
          <w:i w:val="false"/>
          <w:caps w:val="false"/>
          <w:smallCaps w:val="false"/>
          <w:sz w:val="20"/>
        </w:rPr>
        <w:t>”) or other counsel reasonably satisfactory to the Agent, in each case in form and substance satisfactory to the Agent and its counsel, substantially similar to the form previously provided to the Agent and its counsel, modified, as necessary, to relate to the Registration Statement and the Prospectus as then amended or supplemented.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Depositary Opinion</w:t>
      </w:r>
      <w:r>
        <w:rPr>
          <w:rFonts w:ascii="Times New Roman;Times;Serif" w:hAnsi="Times New Roman;Times;Serif"/>
          <w:b w:val="false"/>
          <w:i w:val="false"/>
          <w:caps w:val="false"/>
          <w:smallCaps w:val="false"/>
          <w:sz w:val="20"/>
        </w:rPr>
        <w:t>. Prior to the date of the first Placement Notice, the Depositary shall have requested and caused Emmet Marvin &amp; Martin, LLC, counsel for the Depositary, to have furnished to the Agent their opinion dated as of the Closing Date and addressed to the Representatives, in form and substance reasonably satisfactory to the Agent and its counsel, substantially similar to the form previously provided to the Agent and its counsel, modified, as necessary, to relate to the Registration Statement and the Prospectus as then amended or supplemented.</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Market Activities; Compliance with Regulation M</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Placement ADSs or (ii) sell, bid for, or purchase Ordinary Shares or ADSs in violation of Regulation M, or pay anyone any compensation for soliciting purchases of the Placement ADSs other than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ADSs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Blue Sky and Other Qualifications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Company will use its commercially reasonable efforts, in cooperation with the Agent, to qualify the Placement ADSs for offering and sale, or to obtain an exemption for the Placement ADSs to be offered and sold, under the applicable securities laws of such states and other jurisdictions (domestic or foreign) as the Agent may designate and to maintain such qualifications and exemptions in effect for so long as required for the distribution of the Placement ADSs (but in no event for less than one year from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ADSs have been so qualified or exempt, the Company will file such statements and reports as may be required by the laws of such jurisdiction to continue such qualification or exemption, as the case may be, in effect for so long as required for the distribution of the Placement ADSs (but in no event for less than one year from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Secretary’s Certificate; Further Documentation</w:t>
      </w:r>
      <w:r>
        <w:rPr>
          <w:rFonts w:ascii="Times New Roman;Times;Serif" w:hAnsi="Times New Roman;Times;Serif"/>
          <w:b w:val="false"/>
          <w:i w:val="false"/>
          <w:caps w:val="false"/>
          <w:smallCaps w:val="false"/>
          <w:sz w:val="20"/>
        </w:rPr>
        <w:t>. On or prior to the date of the first Placement Notice, the Company shall deliver to the Agent a certificate of the Secretary of the Company and attested to by an executive officer of the Company, dated as of such date, certifying as to (i) the Articles of Association of the Company, (ii) the By-laws of the Company, (iii) the resolutions of the Board of Directors of the Company authorizing the execution, delivery and performance of this Agreement and the issuance of the Placement ADSs and (iv) the incumbency of the officers duly authorized to execute this Agreement and the other documents contemplated by this Agreement. Within five (5) Trading Days of each Representation Date with respect to which the Company is obligated to deliver a certificate pursuant to Section 7(l) hereof, the Company shall have furnished to the Agent such further information, certificates and documents as the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Emerging Growth Company Status</w:t>
      </w:r>
      <w:r>
        <w:rPr>
          <w:rFonts w:ascii="Times New Roman;Times;Serif" w:hAnsi="Times New Roman;Times;Serif"/>
          <w:b w:val="false"/>
          <w:i w:val="false"/>
          <w:caps w:val="false"/>
          <w:smallCaps w:val="false"/>
          <w:sz w:val="20"/>
        </w:rPr>
        <w:t>. The Company will promptly notify the Agent if the Company ceases to be an Emerging Growth Company at any time during the term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The Company will pay or cause to be paid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relating to the Placement ADSs, in such number as the Agent shall reasonably deem necessary, (ii) the printing and delivery to the Agent of this Agreement and such other documents as may be required in connection with the offering, purchase, sale, issuance or delivery of the Placement ADSs, (iii) the preparation, issuance and delivery of the certificates, if any, for the Placement ADSs to the Agent, including any stock or other transfer taxes and any capital duties, stamp duties or other duties or taxes payable upon the sale, issuance or delivery of the Placement ADSs to the Agent, (iv) the fees and disbursements of the counsel, accountants and other advisors to the Company, (v) the fees and expenses of the Agent including but not limited to the fees and expenses of the counsel to the Agent, payable upon the execution of this Agreement, (a) in an amount not to exceed $75,000 in connection with the execution of this Agreement, (b) in an amount not to exceed $25,000 per calendar half year thereafter payable in connection with each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for which no waiver is applicable and excluding the date of this Agreement and (c) in an amount not to exceed $25,000 for each program “refresh” (filing of a new registration statement, prospectus or prospectus supplement relating to the Placement ADSs and/or an amendment of this Agreement) executed pursuant to this Agreement, (vi) the qualification or exemption of the Placement ADSs under state securities laws in accordance with the provisions of </w:t>
      </w:r>
      <w:r>
        <w:rPr>
          <w:rFonts w:ascii="Times New Roman;Times;Serif" w:hAnsi="Times New Roman;Times;Serif"/>
          <w:b w:val="false"/>
          <w:i w:val="false"/>
          <w:caps w:val="false"/>
          <w:smallCaps w:val="false"/>
          <w:sz w:val="20"/>
          <w:u w:val="single"/>
        </w:rPr>
        <w:t>Section 7(r)</w:t>
      </w:r>
      <w:r>
        <w:rPr>
          <w:rFonts w:ascii="Times New Roman;Times;Serif" w:hAnsi="Times New Roman;Times;Serif"/>
          <w:b w:val="false"/>
          <w:i w:val="false"/>
          <w:caps w:val="false"/>
          <w:smallCaps w:val="false"/>
          <w:sz w:val="20"/>
        </w:rPr>
        <w:t xml:space="preserve"> hereof, including filing fees, but excluding fees of the Agent’s counsel, (vii) the printing and delivery to the Agent of copies of any Permitted Issuer Free Writing Prospectus and the Prospectus and any amendments or supplements thereto in such number as the Agent shall reasonably deem necessary, (viii) the preparation, printing and delivery to the Agent of copies of the blue sky survey, (ix) the fees and expenses payable upon deposit of the Ordinary Shares with Depositary in accordance with the terms of the Deposit Agreement against the issuance of Placement ADSs evidencing the same, (x) the filing and other fees incident to any review by FINRA of the terms of the sale of the Placement ADSs including the fees of the Agent’s counsel (subject to the cap, set forth in clause (v) above), and (xi) the fees and expenses incurred in connection with the listing of the Placement ADSs on the Exchange. The Company agrees to pay the fees and expenses of counsel to the Agent set forth in clause (v) above by wire transfer of immediately available funds directly to such counsel upon presentation of an invoice containing the requisite payment information prepared by such counsel.</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Conditions to Agent’s Obligations</w:t>
      </w:r>
      <w:r>
        <w:rPr>
          <w:rFonts w:ascii="Times New Roman;Times;Serif" w:hAnsi="Times New Roman;Times;Serif"/>
          <w:b w:val="false"/>
          <w:i w:val="false"/>
          <w:caps w:val="false"/>
          <w:smallCaps w:val="false"/>
          <w:sz w:val="20"/>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have become effective and shall be available for the (i) resale of all Placement ADSs issued to the Agent and not yet sold by the Agent and (ii) sale of all Placement ADSs contemplated to be issued by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ADSs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in any material respect or that requires the making of any changes in the Registration Statement, the Prospectus or material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change in the authorized capital stock of the Company or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ADSs on the terms and in the manner contemplated in the Prospectus.</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xml:space="preserve">. The Agent shall have received the opinions and negative assurance letters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such delivery of such opinions is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The Agent shall have received the Comfort Letter required to be delivered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such delivery of such Comfort Letter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Agent shall have received the certificate required to be delivered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Company Tax Opinion</w:t>
      </w:r>
      <w:r>
        <w:rPr>
          <w:rFonts w:ascii="Times New Roman;Times;Serif" w:hAnsi="Times New Roman;Times;Serif"/>
          <w:b w:val="false"/>
          <w:i w:val="false"/>
          <w:caps w:val="false"/>
          <w:smallCaps w:val="false"/>
          <w:sz w:val="20"/>
        </w:rPr>
        <w:t xml:space="preserve">. The Agent shall have received the opinion required to be delivered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xml:space="preserve"> on or before the date on which such delivery of such opinion is required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Depositary Opinion</w:t>
      </w:r>
      <w:r>
        <w:rPr>
          <w:rFonts w:ascii="Times New Roman;Times;Serif" w:hAnsi="Times New Roman;Times;Serif"/>
          <w:b w:val="false"/>
          <w:i w:val="false"/>
          <w:caps w:val="false"/>
          <w:smallCaps w:val="false"/>
          <w:sz w:val="20"/>
        </w:rPr>
        <w:t xml:space="preserve">. The Agent shall have received the opinion required to be delivered pursuant to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 xml:space="preserve"> on or before the date on which such delivery of such opinion is required pursuant to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ADSs shall not have been suspended on the Exchange and the ADSs shall not have been delisted from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ADSs shall either have been (i) approved for listing on the Exchange, subject only to notice of issuance, or (ii) the Company shall have filed an application for listing of the Placement ADSs on the Exchange at, or prior to, the issuance of any Placement Notice and the Exchange shall have reviewed such application and not provided any objections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If applicable, FINRA shall have raised no objection to the terms of this offering and the amount of compensation allowable or payable to the Agent as described in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the Agent to terminate this Agreement pursuant to </w:t>
      </w:r>
      <w:r>
        <w:rPr>
          <w:rFonts w:ascii="Times New Roman;Times;Serif" w:hAnsi="Times New Roman;Times;Serif"/>
          <w:b w:val="false"/>
          <w:i w:val="false"/>
          <w:caps w:val="false"/>
          <w:smallCaps w:val="false"/>
          <w:sz w:val="20"/>
          <w:u w:val="single"/>
        </w:rPr>
        <w:t>Section 12(a)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the Agent, its affiliates and their respective partners, members, directors, officers, employees and agents and each person, if any, who controls the Agent or any affiliate within the meaning of Section 15 of the Securities Act or Section 20 of the Exchange Act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(subject to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below) any such settlement is effected with the written consent of the Company, which consent shall not unreasonably be delayed or withheld; and</w:t>
      </w:r>
    </w:p>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indemnity agreement shall not apply to any loss, liability, claim, damage or expense to the extent arising out of any untrue statement or omission or alleged untrue statement or omission made solely in reliance upon and in conformity with the Agent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Agent Indemnification</w:t>
      </w:r>
      <w:r>
        <w:rPr>
          <w:rFonts w:ascii="Times New Roman;Times;Serif" w:hAnsi="Times New Roman;Times;Serif"/>
          <w:b w:val="false"/>
          <w:i w:val="false"/>
          <w:caps w:val="false"/>
          <w:smallCaps w:val="false"/>
          <w:sz w:val="20"/>
        </w:rPr>
        <w:t xml:space="preserve">.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 (the “</w:t>
      </w:r>
      <w:r>
        <w:rPr>
          <w:rFonts w:ascii="Times New Roman;Times;Serif" w:hAnsi="Times New Roman;Times;Serif"/>
          <w:b/>
          <w:i w:val="false"/>
          <w:caps w:val="false"/>
          <w:smallCaps w:val="false"/>
          <w:sz w:val="20"/>
          <w:u w:val="single"/>
        </w:rPr>
        <w:t>Agent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Any party that proposes to assert the right to be indemnified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will, promptly after receipt of notice of commencement of any action against such party in respect of which a claim is to be made against an indemnifying party or parties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(ii) any liability that it may have to any indemnified party under the foregoing provision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Settlement Without Consent if Failure to Reimburse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If an indemnified party shall have requested an indemnifying party to reimburse the indemnified party for reasonable and documented fees and expenses of counsel for which it is entitled to reimbursement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such indemnifying party agrees that it shall be liable for any settlement of the nature contemplated by </w:t>
      </w:r>
      <w:r>
        <w:rPr>
          <w:rFonts w:ascii="Times New Roman;Times;Serif" w:hAnsi="Times New Roman;Times;Serif"/>
          <w:b w:val="false"/>
          <w:i w:val="false"/>
          <w:caps w:val="false"/>
          <w:smallCaps w:val="false"/>
          <w:sz w:val="20"/>
          <w:u w:val="single"/>
        </w:rPr>
        <w:t xml:space="preserve">Section 10(a)(ii) </w:t>
      </w:r>
      <w:r>
        <w:rPr>
          <w:rFonts w:ascii="Times New Roman;Times;Serif" w:hAnsi="Times New Roman;Times;Serif"/>
          <w:b w:val="false"/>
          <w:i w:val="false"/>
          <w:caps w:val="false"/>
          <w:smallCaps w:val="false"/>
          <w:sz w:val="20"/>
        </w:rPr>
        <w:t>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ADSs (before deducting expenses) received by the Company bear to the total compensation received by the Agent from the sale of Placement ADSs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shall be deemed to include, for the purpose of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any legal or other expenses reasonably incurred by such indemnified party in connection with investigating or defending any such action or claim to the extent consistent with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hereof. Notwithstanding the foregoing provisions of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the Agent shall not be required to contribute any amount in excess of the commissions received by it under this Agreement and no person found guilty of fraudulent misrepresentation (within the meaning of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of the Securities Act) will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any person who controls a party to this Agreement within the meaning of the Securities Act, any affiliates of the Agent and any officers, directors, partners, employees or agents of the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Times;Serif" w:hAnsi="Times New Roman;Times;Serif"/>
          <w:b w:val="false"/>
          <w:i w:val="false"/>
          <w:caps w:val="false"/>
          <w:smallCaps w:val="false"/>
          <w:sz w:val="20"/>
          <w:u w:val="single"/>
        </w:rPr>
        <w:t>Section 10(e)</w:t>
      </w:r>
      <w:r>
        <w:rPr>
          <w:rFonts w:ascii="Times New Roman;Times;Serif" w:hAnsi="Times New Roman;Times;Serif"/>
          <w:b w:val="false"/>
          <w:i w:val="false"/>
          <w:caps w:val="false"/>
          <w:smallCaps w:val="false"/>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hereof, no party will be liable for contribution with respect to any action or claim settled without its written consent if such consent is required pursuant to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xml:space="preserve">. The indemnity and contribution agreements contained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ADSs and payment therefor or (iii) any termination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Agent is material and adverse and makes it impractical or inadvisable to market the Placement ADSs or to enforce contracts for the sale of the Placement ADSs,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ADSs or to enforce contracts for the sale of the Placement ADSs, (3) if trading in the ADSs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 If the Agent elects to terminate this Agreement as provided in this </w:t>
      </w:r>
      <w:r>
        <w:rPr>
          <w:rFonts w:ascii="Times New Roman;Times;Serif" w:hAnsi="Times New Roman;Times;Serif"/>
          <w:b w:val="false"/>
          <w:i w:val="false"/>
          <w:caps w:val="false"/>
          <w:smallCaps w:val="false"/>
          <w:sz w:val="20"/>
          <w:u w:val="single"/>
        </w:rPr>
        <w:t>Section 12(a)</w:t>
      </w:r>
      <w:r>
        <w:rPr>
          <w:rFonts w:ascii="Times New Roman;Times;Serif" w:hAnsi="Times New Roman;Times;Serif"/>
          <w:b w:val="false"/>
          <w:i w:val="false"/>
          <w:caps w:val="false"/>
          <w:smallCaps w:val="false"/>
          <w:sz w:val="20"/>
        </w:rPr>
        <w:t xml:space="preserve">, the Agent shall provide the required notice as specified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(Notices).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Agreement shall remain in full force and effect unless terminated pursuant to </w:t>
      </w:r>
      <w:r>
        <w:rPr>
          <w:rFonts w:ascii="Times New Roman;Times;Serif" w:hAnsi="Times New Roman;Times;Serif"/>
          <w:b w:val="false"/>
          <w:i w:val="false"/>
          <w:caps w:val="false"/>
          <w:smallCaps w:val="false"/>
          <w:sz w:val="20"/>
          <w:u w:val="single"/>
        </w:rPr>
        <w:t>Sections 12(a)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termination of this Agreement shall be effective on the date specified in such notice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the Agent or the Company, as the case may be. If such termination shall occur prior to the Settlement Date for any sale of Placement ADSs, such Placement ADSs shall settle in accordance with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Agent, shall be delivered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 Park Avenue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Capital Markets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307-3730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 Park Avenue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829-4708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Duane Morris LLP</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 Broadway</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T. Seery</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(973) 424-2088</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jtseery@duanemorris.com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Chiomenti Studio Legale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Rockefeller Plaza Suite 3040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Salvo Arena</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660-6407</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salvo.arena@chiomenti.net</w:t>
      </w:r>
    </w:p>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S.p.A.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Olgettina No. 58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20132 Milan, Italy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Pierluigi Paracchi</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pierluigi.paracchi@genenta.com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Fenwick &amp; West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 Broadway 18th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10010-6035</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Per Chilstrom</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pchilstrom@fenwick.com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Giovannelli e Associati</w:t>
        <w:br/>
        <w:t>Via dei Bossi, 4 20121</w:t>
        <w:br/>
        <w:t>Milano MI, Italy</w:t>
        <w:br/>
        <w:t>Attention: Gianvittorio Giroletti Angeli and Andrea Bartolucci</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gianvittorio.giroletti@galaw.it ; andrea.bartolucci@galaw.it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communication (“</w:t>
      </w:r>
      <w:r>
        <w:rPr>
          <w:rFonts w:ascii="Times New Roman;Times;Serif" w:hAnsi="Times New Roman;Times;Serif"/>
          <w:b/>
          <w:i w:val="false"/>
          <w:caps w:val="false"/>
          <w:smallCaps w:val="false"/>
          <w:sz w:val="20"/>
          <w:u w:val="single"/>
        </w:rPr>
        <w:t>Electronic Notice</w:t>
      </w:r>
      <w:r>
        <w:rPr>
          <w:rFonts w:ascii="Times New Roman;Times;Serif" w:hAnsi="Times New Roman;Times;Serif"/>
          <w:b w:val="false"/>
          <w:i w:val="false"/>
          <w:caps w:val="false"/>
          <w:smallCaps w:val="false"/>
          <w:sz w:val="20"/>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Times;Serif" w:hAnsi="Times New Roman;Times;Serif"/>
          <w:b/>
          <w:i w:val="false"/>
          <w:caps w:val="false"/>
          <w:smallCaps w:val="false"/>
          <w:sz w:val="20"/>
          <w:u w:val="single"/>
        </w:rPr>
        <w:t>Nonelectronic Notic</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which shall be sent to the requesting party within ten (10) days of receipt of the written request for Nonelectronic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Agent may assign its rights and obligations hereunder to an affiliate thereof without obtaining the Company’s consent.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stock split, stock dividend or similar event effected with respect to the Placement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Entire Agreement; Amendment; Severability; Waiver</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GOVERNING LAW AND TIME; WAIVER OF JURY TRIAL</w:t>
      </w:r>
      <w:r>
        <w:rPr>
          <w:rFonts w:ascii="Times New Roman;Times;Serif" w:hAnsi="Times New Roman;Times;Serif"/>
          <w:b/>
          <w:i w:val="false"/>
          <w:caps w:val="false"/>
          <w:smallCaps w:val="false"/>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u w:val="single"/>
        </w:rPr>
        <w:t>CONSENT TO JURISDICTION</w:t>
      </w:r>
      <w:r>
        <w:rPr>
          <w:rFonts w:ascii="Times New Roman;Times;Serif" w:hAnsi="Times New Roman;Times;Serif"/>
          <w:b/>
          <w:i w:val="false"/>
          <w:caps w:val="false"/>
          <w:smallCaps w:val="false"/>
          <w:sz w:val="20"/>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Appointment of Agent for Service. The Company hereby irrevocably appoints Cogency Global Inc., 122 East 42nd Street, 18th Floor, New York, New York 10168 as its agent for service of process in any suit, action or proceeding described in Section 18 and agrees that service of process in any suit, action or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 xml:space="preserve">. The Company represents, warrants and agrees that, unless it obtains the prior written consent of the Agent, which consent shall not be unreasonably withheld, conditioned or delayed, and the Agent represents, warrants and agrees that, unless it obtains the prior written consent of the Company, it has not made and will not make any offer relating to the Placement ADSs that would constitute an Issuer Free Writing Prospectus, or that would otherwise constitute a “free writing prospectus,” as defined in Rule 405, required to be filed with the Commission. Any such free writing prospectus consented to by the Agent or by the Company, which consent shall not be unreasonably withheld, conditioned or delayed,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Times;Serif" w:hAnsi="Times New Roman;Times;Serif"/>
          <w:b w:val="false"/>
          <w:i w:val="false"/>
          <w:caps w:val="false"/>
          <w:smallCaps w:val="false"/>
          <w:sz w:val="20"/>
          <w:u w:val="single"/>
        </w:rPr>
        <w:t>Exhibit 21</w:t>
      </w:r>
      <w:r>
        <w:rPr>
          <w:rFonts w:ascii="Times New Roman;Times;Serif" w:hAnsi="Times New Roman;Times;Serif"/>
          <w:b w:val="false"/>
          <w:i w:val="false"/>
          <w:caps w:val="false"/>
          <w:smallCaps w:val="false"/>
          <w:sz w:val="20"/>
        </w:rPr>
        <w:t xml:space="preserve"> hereto are Permitted Free Writing Prospectuses.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is acting solely as agent in connection with the public offering of the Placement ADSs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capable of evaluating and understanding, and understands and accepts, the terms, risks and conditions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waives, to the fullest extent permitted by law, any claims it may have against the Agent or its affiliates for breach of fiduciary duty or alleged breach of fiduciary duty in connection with the sale of Placement ADSs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(ii) the time of each sale of any Placement ADSs pursuant to this Agreement and (iii) each Settlement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Governmental Authority</w:t>
      </w:r>
      <w:r>
        <w:rPr>
          <w:rFonts w:ascii="Times New Roman;Times;Serif" w:hAnsi="Times New Roman;Times;Serif"/>
          <w:b w:val="false"/>
          <w:i w:val="false"/>
          <w:caps w:val="false"/>
          <w:smallCaps w:val="false"/>
          <w:sz w:val="20"/>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ADSs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ADSs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Rule 164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ADSs by the Agent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581"/>
        <w:gridCol w:w="315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73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first-above written: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739"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73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CANTOR FITZGERALD &amp; CO.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739"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8"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Sage Kelly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Sage Kelly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Head of Investment Banking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Sales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Placement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695"/>
        <w:gridCol w:w="60"/>
        <w:gridCol w:w="1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Notice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Sales Agreement between Genenta Science S.p.A., a ., a Republic of Italy joint stock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Cantor Fitzgerald &amp; Co. (“</w:t>
      </w:r>
      <w:r>
        <w:rPr>
          <w:rFonts w:ascii="Times New Roman;Times;Serif" w:hAnsi="Times New Roman;Times;Serif"/>
          <w:b/>
          <w:i w:val="false"/>
          <w:caps w:val="false"/>
          <w:smallCaps w:val="false"/>
          <w:sz w:val="20"/>
          <w:u w:val="single"/>
        </w:rPr>
        <w:t>Agent</w:t>
      </w:r>
      <w:r>
        <w:rPr>
          <w:rFonts w:ascii="Times New Roman;Times;Serif" w:hAnsi="Times New Roman;Times;Serif"/>
          <w:b w:val="false"/>
          <w:i w:val="false"/>
          <w:caps w:val="false"/>
          <w:smallCaps w:val="false"/>
          <w:sz w:val="20"/>
        </w:rPr>
        <w:t>”), dated May 12, 2023, the Company hereby requests that the Agent sell up to [●] of American depositary shares, each representing one (1) ordinary share, with no par value per share, of the Company, at a minimum market price of $[•] per share, during the time period beginning [month, day, time] and ending [month, day, time].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Agent in cash, upon each sale of Placement ADSs pursuant to this Agreement, an amount equal to 3.0% of the aggregate gross proceeds from each sale of Placement ADSs.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 (pierluigi.paracchi@genenta.com)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Slansky (richard.slansky@genenta.com)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 Regonini (barbara.regonini@genenta.com)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Sameer Vasudev (svasudev@cantor.com)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CFCEO@cantor.com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Exhibit 8.1 of the Company’s most recently filed Form 20-F, as applicable.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Representation Date Certificate Pursuant to Section 7(l)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duly qualified and elected Chief Executive Officer of Genenta Science S.p.A., a Republic of Italy joint stock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does hereby certify in such capacity and on behalf of the Company,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of the Sales Agreement, dated May 12, 2023 (the “</w:t>
      </w:r>
      <w:r>
        <w:rPr>
          <w:rFonts w:ascii="Times New Roman;Times;Serif" w:hAnsi="Times New Roman;Times;Serif"/>
          <w:b w:val="false"/>
          <w:i w:val="false"/>
          <w:caps w:val="false"/>
          <w:smallCaps w:val="false"/>
          <w:sz w:val="20"/>
          <w:u w:val="single"/>
        </w:rPr>
        <w:t>Sales Agreement</w:t>
      </w:r>
      <w:r>
        <w:rPr>
          <w:rFonts w:ascii="Times New Roman;Times;Serif" w:hAnsi="Times New Roman;Times;Serif"/>
          <w:b w:val="false"/>
          <w:i w:val="false"/>
          <w:caps w:val="false"/>
          <w:smallCaps w:val="false"/>
          <w:sz w:val="20"/>
        </w:rPr>
        <w:t>”), between the Company and Cantor Fitzgerald &amp; Co., that to the best of the knowledge of the undersigned: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of the Company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representations and warranties also shall be qualified by the disclosure included or incorporated by reference in the Registration Statement and Prospectus; and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complied with all agreements and satisfied all conditions on its part to be performed or satisfied pursuant to the Sales Agreement at or prior to the date hereof.</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without definition shall have the meanings given to such terms in the Sales Agreement. Each of Fenwick &amp; West LLP, Giovannelli e Associati Studio Legale, D. Young and Dr. Negonda shall be entitled to rely upon the representations and warranties contained herein for purposes of delivering their respective opinions and, if applicable, negative assurance letters pursuant to Section of the Sales Agreement.</w:t>
      </w:r>
    </w:p>
    <w:p>
      <w:pPr>
        <w:pStyle w:val="TextBody"/>
        <w:bidi w:val="0"/>
        <w:spacing w:before="0" w:after="0"/>
        <w:ind w:left="0" w:right="0" w:firstLine="49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75"/>
        <w:gridCol w:w="650"/>
        <w:gridCol w:w="19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GENENTA SCIENCE S.P.A.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By:</w:t>
            </w:r>
          </w:p>
        </w:tc>
        <w:tc>
          <w:tcPr>
            <w:tcW w:w="1955"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Name: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Free Writing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37" w:name="ex5-1.htm"/>
      <w:bookmarkStart w:id="38" w:name="ksex51"/>
      <w:bookmarkEnd w:id="37"/>
      <w:bookmarkEnd w:id="3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5.1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419350" cy="695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2"/>
                    <a:stretch>
                      <a:fillRect/>
                    </a:stretch>
                  </pic:blipFill>
                  <pic:spPr bwMode="auto">
                    <a:xfrm>
                      <a:off x="0" y="0"/>
                      <a:ext cx="2419350" cy="6953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S.p.A.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Olgettina, 58</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20132 - Milan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50"/>
        <w:gridCol w:w="5210"/>
      </w:tblGrid>
      <w:tr>
        <w:trPr/>
        <w:tc>
          <w:tcPr>
            <w:tcW w:w="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5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Genenta Science S.p.A. – Registration Statement on Form F-3 </w:t>
            </w:r>
          </w:p>
        </w:tc>
      </w:tr>
    </w:tbl>
    <w:p>
      <w:pPr>
        <w:pStyle w:val="TextBody"/>
        <w:bidi w:val="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Italian legal advisers to Genenta Science S.p.A., a joint stock company incorporated under Italian law with its registered office at Via Olgettina 58, 20132, Milan, Italy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on certain legal matters of Italian law in connection with the Company’s registration statement on Form F-3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United States Securities and Exchange Commission on May 12, 2023 relating to the registration under the United States Securities Act of 1933, as amended (the “</w:t>
            </w:r>
            <w:r>
              <w:rPr>
                <w:rFonts w:ascii="Times New Roman;Times;Serif" w:hAnsi="Times New Roman;Times;Serif"/>
                <w:b/>
                <w:i w:val="false"/>
                <w:caps w:val="false"/>
                <w:smallCaps w:val="false"/>
                <w:sz w:val="20"/>
              </w:rPr>
              <w:t>Securities Act of 1933</w:t>
            </w:r>
            <w:r>
              <w:rPr>
                <w:rFonts w:ascii="Times New Roman;Times;Serif" w:hAnsi="Times New Roman;Times;Serif"/>
                <w:b w:val="false"/>
                <w:i w:val="false"/>
                <w:caps w:val="false"/>
                <w:smallCaps w:val="false"/>
                <w:sz w:val="20"/>
              </w:rPr>
              <w:t>”), of possible offerings from time to time by the Company of up to USD 100,000,000 in aggregate amount of the Company’s securities, which may include any combination of the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ordinary shares without par value which may be issued by the Company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(including Ordinary Shares to be represented by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representing one of the Ordinary Shares);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rights to purchase the Company’s Ordinary Shares or Ordinary Shares to be represented by ADSs which may be issued by the Company (the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and, together with the Ordinary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Securities may be sold from time to time by the Company as set forth in the Registration Statement, the base prospectus contained within the Registration Statement (the “</w:t>
      </w:r>
      <w:r>
        <w:rPr>
          <w:rFonts w:ascii="Times New Roman;Times;Serif" w:hAnsi="Times New Roman;Times;Serif"/>
          <w:b/>
          <w:i/>
          <w:caps w:val="false"/>
          <w:smallCaps w:val="false"/>
          <w:sz w:val="20"/>
          <w:shd w:fill="FFFFFF" w:val="clear"/>
        </w:rPr>
        <w:t>Base Prospectus</w:t>
      </w:r>
      <w:r>
        <w:rPr>
          <w:rFonts w:ascii="Times New Roman;Times;Serif" w:hAnsi="Times New Roman;Times;Serif"/>
          <w:b w:val="false"/>
          <w:i w:val="false"/>
          <w:caps w:val="false"/>
          <w:smallCaps w:val="false"/>
          <w:sz w:val="20"/>
          <w:shd w:fill="FFFFFF" w:val="clear"/>
        </w:rPr>
        <w:t>”) and supplements to the Base Prospectus.</w:t>
      </w:r>
      <w:r>
        <w:rPr>
          <w:rFonts w:ascii="Times New Roman;Times;Serif" w:hAnsi="Times New Roman;Times;Serif"/>
          <w:b w:val="false"/>
          <w:i w:val="false"/>
          <w:caps w:val="false"/>
          <w:smallCaps w:val="false"/>
          <w:sz w:val="20"/>
        </w:rPr>
        <w:t xml:space="preserve"> In addition, the Registration Statement contains </w:t>
      </w:r>
      <w:r>
        <w:rPr>
          <w:rFonts w:ascii="Times New Roman;Times;Serif" w:hAnsi="Times New Roman;Times;Serif"/>
          <w:b w:val="false"/>
          <w:i w:val="false"/>
          <w:caps w:val="false"/>
          <w:smallCaps w:val="false"/>
          <w:sz w:val="20"/>
          <w:shd w:fill="FFFFFF" w:val="clear"/>
        </w:rPr>
        <w:t>a sales agreement prospectus (the “</w:t>
      </w:r>
      <w:r>
        <w:rPr>
          <w:rFonts w:ascii="Times New Roman;Times;Serif" w:hAnsi="Times New Roman;Times;Serif"/>
          <w:b/>
          <w:i/>
          <w:caps w:val="false"/>
          <w:smallCaps w:val="false"/>
          <w:sz w:val="20"/>
          <w:shd w:fill="FFFFFF" w:val="clear"/>
        </w:rPr>
        <w:t>Sales Agreement Prospectus</w:t>
      </w:r>
      <w:r>
        <w:rPr>
          <w:rFonts w:ascii="Times New Roman;Times;Serif" w:hAnsi="Times New Roman;Times;Serif"/>
          <w:b w:val="false"/>
          <w:i w:val="false"/>
          <w:caps w:val="false"/>
          <w:smallCaps w:val="false"/>
          <w:sz w:val="20"/>
          <w:shd w:fill="FFFFFF" w:val="clear"/>
        </w:rPr>
        <w:t>”) relating to the offer and sale by the Company through Cantor Fitzgerald &amp; Co., as the sales agent (the “</w:t>
      </w:r>
      <w:r>
        <w:rPr>
          <w:rFonts w:ascii="Times New Roman;Times;Serif" w:hAnsi="Times New Roman;Times;Serif"/>
          <w:b/>
          <w:i/>
          <w:caps w:val="false"/>
          <w:smallCaps w:val="false"/>
          <w:sz w:val="20"/>
          <w:shd w:fill="FFFFFF" w:val="clear"/>
        </w:rPr>
        <w:t>Sales Agent</w:t>
      </w:r>
      <w:r>
        <w:rPr>
          <w:rFonts w:ascii="Times New Roman;Times;Serif" w:hAnsi="Times New Roman;Times;Serif"/>
          <w:b w:val="false"/>
          <w:i w:val="false"/>
          <w:caps w:val="false"/>
          <w:smallCaps w:val="false"/>
          <w:sz w:val="20"/>
          <w:shd w:fill="FFFFFF" w:val="clear"/>
        </w:rPr>
        <w:t>”), from time to time of Ordinary Shares (the “</w:t>
      </w:r>
      <w:r>
        <w:rPr>
          <w:rFonts w:ascii="Times New Roman;Times;Serif" w:hAnsi="Times New Roman;Times;Serif"/>
          <w:b/>
          <w:i/>
          <w:caps w:val="false"/>
          <w:smallCaps w:val="false"/>
          <w:sz w:val="20"/>
          <w:shd w:fill="FFFFFF" w:val="clear"/>
        </w:rPr>
        <w:t>Placement Shares</w:t>
      </w:r>
      <w:r>
        <w:rPr>
          <w:rFonts w:ascii="Times New Roman;Times;Serif" w:hAnsi="Times New Roman;Times;Serif"/>
          <w:b w:val="false"/>
          <w:i w:val="false"/>
          <w:caps w:val="false"/>
          <w:smallCaps w:val="false"/>
          <w:sz w:val="20"/>
          <w:shd w:fill="FFFFFF" w:val="clear"/>
        </w:rPr>
        <w:t>”) represented by ADSs (the “</w:t>
      </w:r>
      <w:r>
        <w:rPr>
          <w:rFonts w:ascii="Times New Roman;Times;Serif" w:hAnsi="Times New Roman;Times;Serif"/>
          <w:b/>
          <w:i/>
          <w:caps w:val="false"/>
          <w:smallCaps w:val="false"/>
          <w:sz w:val="20"/>
          <w:shd w:fill="FFFFFF" w:val="clear"/>
        </w:rPr>
        <w:t>Placement ADSs</w:t>
      </w:r>
      <w:r>
        <w:rPr>
          <w:rFonts w:ascii="Times New Roman;Times;Serif" w:hAnsi="Times New Roman;Times;Serif"/>
          <w:b w:val="false"/>
          <w:i w:val="false"/>
          <w:caps w:val="false"/>
          <w:smallCaps w:val="false"/>
          <w:sz w:val="20"/>
          <w:shd w:fill="FFFFFF" w:val="clear"/>
        </w:rPr>
        <w:t xml:space="preserve">”) having an aggregate maximum offering price of up to </w:t>
      </w:r>
      <w:r>
        <w:rPr>
          <w:rFonts w:ascii="Times New Roman;Times;Serif" w:hAnsi="Times New Roman;Times;Serif"/>
          <w:b w:val="false"/>
          <w:i w:val="false"/>
          <w:caps w:val="false"/>
          <w:smallCaps w:val="false"/>
          <w:sz w:val="20"/>
        </w:rPr>
        <w:t xml:space="preserve">USD 30,000,000 </w:t>
      </w:r>
      <w:r>
        <w:rPr>
          <w:rFonts w:ascii="Times New Roman;Times;Serif" w:hAnsi="Times New Roman;Times;Serif"/>
          <w:b w:val="false"/>
          <w:i w:val="false"/>
          <w:caps w:val="false"/>
          <w:smallCaps w:val="false"/>
          <w:sz w:val="20"/>
          <w:shd w:fill="FFFFFF" w:val="clear"/>
        </w:rPr>
        <w:t>pursuant to that certain Controlled Equity Offering Sales Agreement, dated as of May 12, 2023, by and between the Company and the Sales Agent (the “</w:t>
      </w:r>
      <w:r>
        <w:rPr>
          <w:rFonts w:ascii="Times New Roman;Times;Serif" w:hAnsi="Times New Roman;Times;Serif"/>
          <w:b/>
          <w:i/>
          <w:caps w:val="false"/>
          <w:smallCaps w:val="false"/>
          <w:sz w:val="20"/>
          <w:shd w:fill="FFFFFF" w:val="clear"/>
        </w:rPr>
        <w:t>Sales Agreement</w:t>
      </w:r>
      <w:r>
        <w:rPr>
          <w:rFonts w:ascii="Times New Roman;Times;Serif" w:hAnsi="Times New Roman;Times;Serif"/>
          <w:b w:val="false"/>
          <w:i w:val="false"/>
          <w:caps w:val="false"/>
          <w:smallCaps w:val="false"/>
          <w:sz w:val="20"/>
          <w:shd w:fill="FFFFFF" w:val="clear"/>
        </w:rPr>
        <w: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giving the opinion set forth below, we have examined copies of documents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set out in the schedule A attached hereto (the “</w:t>
            </w:r>
            <w:r>
              <w:rPr>
                <w:rFonts w:ascii="Times New Roman;Times;Serif" w:hAnsi="Times New Roman;Times;Serif"/>
                <w:b/>
                <w:i w:val="false"/>
                <w:caps w:val="false"/>
                <w:smallCaps w:val="false"/>
                <w:sz w:val="20"/>
              </w:rPr>
              <w:t>Schedule A</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no searches or enquiries concerning the Company or any other person or entity, and we have examined no corporate records of the foresaid, save for those searches, enquiries, instruments, documents, or corporate records expressly specified as being made or examined in this opinion. Subject to the foregoing, we have reviewed exclusively those provisions of the law of the Republic of Italy that we have considered appropriate for the purpose of this opinion.</w:t>
            </w:r>
          </w:p>
        </w:tc>
      </w:tr>
    </w:tbl>
    <w:p>
      <w:pPr>
        <w:pStyle w:val="TextBody"/>
        <w:bidi w:val="0"/>
        <w:jc w:val="left"/>
        <w:rPr>
          <w:caps w:val="false"/>
          <w:smallCaps w:val="false"/>
        </w:rPr>
      </w:pPr>
      <w:r>
        <w:rPr>
          <w:caps w:val="false"/>
          <w:smallCaps w:val="false"/>
        </w:rPr>
        <w:t> </w:t>
      </w:r>
    </w:p>
    <w:tbl>
      <w:tblPr>
        <w:tblW w:w="5675" w:type="dxa"/>
        <w:jc w:val="left"/>
        <w:tblInd w:w="0" w:type="dxa"/>
        <w:tblLayout w:type="fixed"/>
        <w:tblCellMar>
          <w:top w:w="0" w:type="dxa"/>
          <w:left w:w="0" w:type="dxa"/>
          <w:bottom w:w="0" w:type="dxa"/>
          <w:right w:w="0" w:type="dxa"/>
        </w:tblCellMar>
      </w:tblPr>
      <w:tblGrid>
        <w:gridCol w:w="75"/>
        <w:gridCol w:w="5525"/>
        <w:gridCol w:w="75"/>
      </w:tblGrid>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VIA DEI BOSSI, 4 – 20121 MILANO</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TEL.: +39 02 9769 7800 – FAX: +39 02 8718 1445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CODICE FISCALE E P.IVA (VAT NO.): 08347040969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www.galaw.it</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419350" cy="695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3"/>
                    <a:stretch>
                      <a:fillRect/>
                    </a:stretch>
                  </pic:blipFill>
                  <pic:spPr bwMode="auto">
                    <a:xfrm>
                      <a:off x="0" y="0"/>
                      <a:ext cx="2419350" cy="6953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the opinions given in it, and any non-contractual obligations arising out of or in connection with this letter and/or the opinions given in it, are governed by, and to be construed in accordance with, Italian law and relate only to Italian law as applied by the Italian courts, including the laws of the European Union to the extent having the force of law in Italy, as at today’s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legal opinion, Italian legal concepts are expressed in English terms and not in their original Italian language. The concepts concerned may not be identical to the concepts described by the same English terms as they exist under the laws of other jurisdictions. This legal opinion may, therefore, only be relied upon under the express condition that any issues of interpretation or liability arising hereunder will be governed by Italian law and that any dispute arising out of or in connection with this legal opinion shall be subject to the exclusive jurisdiction of the Court of Milan.</w:t>
            </w:r>
          </w:p>
        </w:tc>
      </w:tr>
    </w:tbl>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335"/>
        <w:gridCol w:w="372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3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assumed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0"/>
        <w:gridCol w:w="9707"/>
      </w:tblGrid>
      <w:tr>
        <w:trPr/>
        <w:tc>
          <w:tcPr>
            <w:tcW w:w="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submitted to us as copy or specimen documents are conformed to their originals, and the originals are genuine, updated and complete;</w:t>
            </w:r>
          </w:p>
        </w:tc>
      </w:tr>
    </w:tbl>
    <w:p>
      <w:pPr>
        <w:pStyle w:val="TextBody"/>
        <w:bidi w:val="0"/>
        <w:spacing w:before="0" w:after="0"/>
        <w:ind w:left="0"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4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stamps and seals on the originals of all Documents submitted to us are genuine;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0"/>
        <w:gridCol w:w="9717"/>
      </w:tblGrid>
      <w:tr>
        <w:trPr/>
        <w:tc>
          <w:tcPr>
            <w:tcW w:w="3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contained in the Registration Statement, the Base Prospectus and the Sales Agreement Prospectus and in the Documents were true and accurate when made and remain true and accurate;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7"/>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warranty by the Company that it is not aware, or has no notice, of any act, matter, thing or circumstance means that the same does not exist or has not occurred;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4"/>
        <w:gridCol w:w="9703"/>
      </w:tblGrid>
      <w:tr>
        <w:trPr/>
        <w:tc>
          <w:tcPr>
            <w:tcW w:w="3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not been any amendment to the bylaws of the Company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referred to and defined in Schedule A under point (i);</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7"/>
        <w:gridCol w:w="9730"/>
      </w:tblGrid>
      <w:tr>
        <w:trPr/>
        <w:tc>
          <w:tcPr>
            <w:tcW w:w="3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of the Company referred to in Schedule A under point (ii) was duly convened and held and all formalities required to be fulfilled prior to the convening of such meeting were fulfilled, and the resolution of the Company referred to in Schedule A under point (ii) was duly passed and up to the date hereof has not been revoked, superseded, challenged, or amended, in full or in part, and is still in force;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0"/>
        <w:gridCol w:w="9737"/>
      </w:tblGrid>
      <w:tr>
        <w:trPr/>
        <w:tc>
          <w:tcPr>
            <w:tcW w:w="3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meeting of the Company referred to in Schedule A under point (ii), the shareholders authorized the Board of Directors, for a five-year period starting from the date of such meeting, to increase the share capital against payment, in one or more instalments and on a divisible basis, up to a maximum amount of EUR 300,000,000 (including premium), by issuance of a maximum number of 30,000,000 new ordinary shares without par value and with regular dividend entitlement, also without pre-emption right or free of charge, or otherwise for the five-year period, also in support of third-party grants of participating interests and/or industrial and intellectual property rights and similar intangible assets (such as patents, marks and know-how) which can be granted and held by the Board of Directors itself in pursuit of the corporate object (the “</w:t>
            </w:r>
            <w:r>
              <w:rPr>
                <w:rFonts w:ascii="Times New Roman;Times;Serif" w:hAnsi="Times New Roman;Times;Serif"/>
                <w:b/>
                <w:i w:val="false"/>
                <w:caps w:val="false"/>
                <w:smallCaps w:val="false"/>
                <w:sz w:val="20"/>
              </w:rPr>
              <w:t>Capital Increase Authorization</w:t>
            </w:r>
            <w:r>
              <w:rPr>
                <w:rFonts w:ascii="Times New Roman;Times;Serif" w:hAnsi="Times New Roman;Times;Serif"/>
                <w:b w:val="false"/>
                <w:i w:val="false"/>
                <w:caps w:val="false"/>
                <w:smallCaps w:val="false"/>
                <w:sz w:val="20"/>
              </w:rPr>
              <w:t>”);</w:t>
            </w:r>
          </w:p>
        </w:tc>
      </w:tr>
    </w:tbl>
    <w:p>
      <w:pPr>
        <w:pStyle w:val="TextBody"/>
        <w:bidi w:val="0"/>
        <w:jc w:val="center"/>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5525"/>
        <w:gridCol w:w="155"/>
      </w:tblGrid>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VIA DEI BOSSI, 4 – 20121 MILANO</w:t>
            </w:r>
          </w:p>
        </w:tc>
        <w:tc>
          <w:tcPr>
            <w:tcW w:w="155" w:type="dxa"/>
            <w:tcBorders/>
            <w:vAlign w:val="center"/>
          </w:tcPr>
          <w:p>
            <w:pPr>
              <w:pStyle w:val="TableContents"/>
              <w:bidi w:val="0"/>
              <w:spacing w:before="0" w:after="283"/>
              <w:jc w:val="right"/>
              <w:rPr/>
            </w:pPr>
            <w:r>
              <w:rPr/>
              <w:t>2</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TEL.: +39 02 9769 7800 – FAX: +39 02 8718 1445</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CODICE FISCALE E P.IVA (VAT NO.): 08347040969</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www.galaw.it</w:t>
            </w:r>
          </w:p>
        </w:tc>
        <w:tc>
          <w:tcPr>
            <w:tcW w:w="15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419350" cy="695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4"/>
                    <a:stretch>
                      <a:fillRect/>
                    </a:stretch>
                  </pic:blipFill>
                  <pic:spPr bwMode="auto">
                    <a:xfrm>
                      <a:off x="0" y="0"/>
                      <a:ext cx="2419350" cy="6953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5"/>
        <w:gridCol w:w="9732"/>
      </w:tblGrid>
      <w:tr>
        <w:trPr/>
        <w:tc>
          <w:tcPr>
            <w:tcW w:w="3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of the Board of Directors of the Company referred to in Schedule A under point (iii) was duly convened and held and all formalities required to be fulfilled prior to the convening of such meeting were fulfilled, and the resolution of the Board of Directors of the Company referred to in Schedule A under point (iii) was duly passed and up to the date hereof has not been revoked, superseded, challenged, or amended, in full or in part, and is still in force;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9"/>
        <w:gridCol w:w="9738"/>
      </w:tblGrid>
      <w:tr>
        <w:trPr/>
        <w:tc>
          <w:tcPr>
            <w:tcW w:w="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7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meeting of the Board of Directors of the Company referred to in Schedule A under point (iii), the Board of Directors resolved, in accordance with the Capital Increase Authorization, to increase the share capital, within the final term of May 31, 2026, up to a maximum amount equal to the equivalent in euros of USD 30,000,000 (including share premium), to be determined according to the exchange rate existing on the date of each transaction carried out pursuant to the Sales Agreement Prospectus, by issuance of a maximum number of new ordinary shares to be determined according to the ratio between the maximum amount of the such capital increase and the price at which the new ordinary shares will be, from time to time, issued, such latter price determined in accordance with methodologies usual applied for this type of transaction, to the service of the Placement Shares provided by the Sales Agreement Prospectus (the “</w:t>
            </w:r>
            <w:r>
              <w:rPr>
                <w:rFonts w:ascii="Times New Roman;Times;Serif" w:hAnsi="Times New Roman;Times;Serif"/>
                <w:b/>
                <w:i w:val="false"/>
                <w:caps w:val="false"/>
                <w:smallCaps w:val="false"/>
                <w:sz w:val="20"/>
              </w:rPr>
              <w:t>Capital Increase Resolution</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40"/>
        <w:gridCol w:w="9627"/>
      </w:tblGrid>
      <w:tr>
        <w:trPr/>
        <w:tc>
          <w:tcPr>
            <w:tcW w:w="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w:t>
            </w:r>
          </w:p>
        </w:tc>
        <w:tc>
          <w:tcPr>
            <w:tcW w:w="96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whatsoever of Ordinary Shares or Rights will take place in the Republic of Italy and/or in the European Union or, in the event such offer takes place in the Republic of Italy and/or in the European Union, the same will not be qualified as offer to the public, pursuant to article 100 of Legislative Decree 58/1998, article 34-ter of the Consob Regulations 11971/99 and article 1, paragraph 4, of Regulation (EU) 2017/1129, as amended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47"/>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the term “non-assessable” used under paragraph 3.1(a) below means that the owner of the Ordinary Shares cannot be required by the Company to pay additional amounts for its Ordinary Shares once the subscription price is fully and duly paid;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54"/>
        <w:gridCol w:w="9613"/>
      </w:tblGrid>
      <w:tr>
        <w:trPr/>
        <w:tc>
          <w:tcPr>
            <w:tcW w:w="3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w:t>
            </w:r>
          </w:p>
        </w:tc>
        <w:tc>
          <w:tcPr>
            <w:tcW w:w="96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facts, documents, circumstances or matters which may be material to the opinions set out herein and which have not been disclosed to us by the Company, notwithstanding our reasonable inquiry.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any laws other than the laws of Italy in force at the date hereof and we have assumed that none of the opinions expressed below will be affected by the laws of any jurisdiction other than the Republic of Italy. “</w:t>
            </w:r>
            <w:r>
              <w:rPr>
                <w:rFonts w:ascii="Times New Roman;Times;Serif" w:hAnsi="Times New Roman;Times;Serif"/>
                <w:b/>
                <w:i w:val="false"/>
                <w:caps w:val="false"/>
                <w:smallCaps w:val="false"/>
                <w:sz w:val="20"/>
              </w:rPr>
              <w:t>Generally Applicable Law</w:t>
            </w:r>
            <w:r>
              <w:rPr>
                <w:rFonts w:ascii="Times New Roman;Times;Serif" w:hAnsi="Times New Roman;Times;Serif"/>
                <w:b w:val="false"/>
                <w:i w:val="false"/>
                <w:caps w:val="false"/>
                <w:smallCaps w:val="false"/>
                <w:sz w:val="20"/>
              </w:rPr>
              <w:t>” means the laws of the Republic of Italy (including the rules or regulations promulgated thereunder or pursuant thereto), that an Italian lawyer exercising customary professional diligence would reasonably be expected to recognize as being applicable to the Company or the Ordinary Shares or the Rights. Without limiting the generality of the foregoing definition of Generally Applicable Law, the term “</w:t>
            </w:r>
            <w:r>
              <w:rPr>
                <w:rFonts w:ascii="Times New Roman;Times;Serif" w:hAnsi="Times New Roman;Times;Serif"/>
                <w:b/>
                <w:i w:val="false"/>
                <w:caps w:val="false"/>
                <w:smallCaps w:val="false"/>
                <w:sz w:val="20"/>
              </w:rPr>
              <w:t>Generally Applicable Law</w:t>
            </w:r>
            <w:r>
              <w:rPr>
                <w:rFonts w:ascii="Times New Roman;Times;Serif" w:hAnsi="Times New Roman;Times;Serif"/>
                <w:b w:val="false"/>
                <w:i w:val="false"/>
                <w:caps w:val="false"/>
                <w:smallCaps w:val="false"/>
                <w:sz w:val="20"/>
              </w:rPr>
              <w:t>” does not include any law, rule or regulation that is applicable to the Company solely because of the specific assets or business of the Company or any of its affiliates. In particular, we have made no independent investigation of the laws of the State of New York as a basis for the opinion stated herein and do not express or imply any opinion on such laws.</w:t>
            </w:r>
          </w:p>
        </w:tc>
      </w:tr>
    </w:tbl>
    <w:p>
      <w:pPr>
        <w:pStyle w:val="TextBody"/>
        <w:bidi w:val="0"/>
        <w:spacing w:before="0" w:after="0"/>
        <w:ind w:left="0" w:right="0" w:hanging="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185"/>
        <w:gridCol w:w="7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and relying upon the foregoing and subject to the assumptions, qualifications and reservations contained herein and to any matter not disclosed to us, we are of the opinion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Ordinary Shares, (i) should the Ordinary Shares be duly issued on the basis of a valid and enforceable resolution of the competent corporate bodies of the Company, duly taken in compliance with the Capital Increase Authorization and any applicable Italian law; and (ii) following the resolution taken in line with point (i) above, should the Ordinary Shares be duly issued in compliance with the Bylaws and any applicable Italian law, and duly and validly subscribed and fully paid, with no further obligation on the holder of any of the Ordinary Shares to make any further payment to the Company in respect of such Ordinary Shares, then the Ordinary Shares will be duly authorized, validly issued, fully paid and non-assessable;</w:t>
            </w:r>
          </w:p>
        </w:tc>
      </w:tr>
    </w:tbl>
    <w:p>
      <w:pPr>
        <w:pStyle w:val="TextBody"/>
        <w:bidi w:val="0"/>
        <w:jc w:val="center"/>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5525"/>
        <w:gridCol w:w="155"/>
      </w:tblGrid>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VIA DEI BOSSI, 4 – 20121 MILANO</w:t>
            </w:r>
          </w:p>
        </w:tc>
        <w:tc>
          <w:tcPr>
            <w:tcW w:w="155" w:type="dxa"/>
            <w:tcBorders/>
            <w:vAlign w:val="center"/>
          </w:tcPr>
          <w:p>
            <w:pPr>
              <w:pStyle w:val="TableContents"/>
              <w:bidi w:val="0"/>
              <w:spacing w:before="0" w:after="283"/>
              <w:jc w:val="right"/>
              <w:rPr/>
            </w:pPr>
            <w:r>
              <w:rPr/>
              <w:t>3</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TEL.: +39 02 9769 7800 – FAX: +39 02 8718 1445</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CODICE FISCALE E P.IVA (VAT NO.): 08347040969</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www.galaw.it</w:t>
            </w:r>
          </w:p>
        </w:tc>
        <w:tc>
          <w:tcPr>
            <w:tcW w:w="15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419350" cy="695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5"/>
                    <a:stretch>
                      <a:fillRect/>
                    </a:stretch>
                  </pic:blipFill>
                  <pic:spPr bwMode="auto">
                    <a:xfrm>
                      <a:off x="0" y="0"/>
                      <a:ext cx="2419350" cy="6953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Rights, (i) should the Rights be duly issued on the basis of a valid and enforceable resolution of the competent corporate bodies of the Company, duly taken in compliance with the Capital Increase Authorization and any applicable Italian law; and (ii) following the resolution taken in line with point (i) above, should the Rights be duly issued in compliance with the Bylaws and any applicable Italian law, then the Rights will be duly authorized, validly issued and will constitute valid and legally binding obligations of the Company in accordance with their terms;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Placement Shares, it is our opinion that, as at today’s date, the Placement Shares, if and when allotted and issued, registered in the name of the recipient in the electronic books and registers of the relevant intermediaries and delivered as described in the Registration Statement and the Sales Agreement Prospectus will be duly and validly authorized and issued, fully paid or credited as fully paid (subject to the receipt of valid consideration by the Company for the issue thereof in connection with the offering pursuant to the Sales Agreement as set forth in the Registration Statement and the Sales Agreement Prospectus) and will not be subject to any call for payment of further capital in connection therewith.</w:t>
            </w:r>
          </w:p>
        </w:tc>
      </w:tr>
    </w:tbl>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giving no opinion either as to (i) the contents of the Registration Statement, the Base Prospectus or the Sales Agreement Prospectus (including any documents incorporated by reference therein), or (ii) bankruptcy, insolvency, liquidation, reorganization moratorium and similar laws of general applicability relating to or affecting the rights of creditors of the Company in general.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understood that (i) the opinions expressed above are based upon our examination of the Documents listed in Schedule A, as applicable, and (ii) we have not been responsible for investigating or verifying the accuracy of the facts or statements of foreign law, or that no material facts have been omitted from them and express no opinion with respect thereto.</w:t>
            </w:r>
          </w:p>
        </w:tc>
      </w:tr>
    </w:tbl>
    <w:p>
      <w:pPr>
        <w:pStyle w:val="TextBody"/>
        <w:bidi w:val="0"/>
        <w:spacing w:before="0" w:after="0"/>
        <w:ind w:left="0" w:right="0" w:hanging="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335"/>
        <w:gridCol w:w="938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Italian court may stay proceedings brought in such court if concurrent proceedings are being brought elsewhere.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2379-</w:t>
            </w:r>
            <w:r>
              <w:rPr>
                <w:rFonts w:ascii="Times New Roman;Times;Serif" w:hAnsi="Times New Roman;Times;Serif"/>
                <w:b w:val="false"/>
                <w:i/>
                <w:caps w:val="false"/>
                <w:smallCaps w:val="false"/>
                <w:sz w:val="20"/>
              </w:rPr>
              <w:t>ter</w:t>
            </w:r>
            <w:r>
              <w:rPr>
                <w:rFonts w:ascii="Times New Roman;Times;Serif" w:hAnsi="Times New Roman;Times;Serif"/>
                <w:b w:val="false"/>
                <w:i w:val="false"/>
                <w:caps w:val="false"/>
                <w:smallCaps w:val="false"/>
                <w:sz w:val="20"/>
              </w:rPr>
              <w:t xml:space="preserve"> of the Italian Civil Code, in the event of the lack of call of the relevant meeting, the absence of the minutes of the relevant meeting, the impossibility of the subject of the resolutions and/or if the subject of resolutions is not licit, the resolution adopted by the extraordinary shareholders’ meeting of the Company held on May 20, 2021 may be challenged by any individual/entity having a legitimate interest thereto during the 3 (three) years following the registration of the resolution with the competent Register of Enterprises.</w:t>
            </w:r>
          </w:p>
        </w:tc>
      </w:tr>
    </w:tbl>
    <w:p>
      <w:pPr>
        <w:pStyle w:val="TextBody"/>
        <w:bidi w:val="0"/>
        <w:jc w:val="center"/>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5525"/>
        <w:gridCol w:w="155"/>
      </w:tblGrid>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VIA DEI BOSSI, 4 – 20121 MILANO</w:t>
            </w:r>
          </w:p>
        </w:tc>
        <w:tc>
          <w:tcPr>
            <w:tcW w:w="155" w:type="dxa"/>
            <w:tcBorders/>
            <w:vAlign w:val="center"/>
          </w:tcPr>
          <w:p>
            <w:pPr>
              <w:pStyle w:val="TableContents"/>
              <w:bidi w:val="0"/>
              <w:spacing w:before="0" w:after="283"/>
              <w:jc w:val="right"/>
              <w:rPr/>
            </w:pPr>
            <w:r>
              <w:rPr/>
              <w:t>4</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TEL.: +39 02 9769 7800 – FAX: +39 02 8718 1445</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CODICE FISCALE E P.IVA (VAT NO.): 08347040969</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www.galaw.it</w:t>
            </w:r>
          </w:p>
        </w:tc>
        <w:tc>
          <w:tcPr>
            <w:tcW w:w="15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419350" cy="695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6"/>
                    <a:stretch>
                      <a:fillRect/>
                    </a:stretch>
                  </pic:blipFill>
                  <pic:spPr bwMode="auto">
                    <a:xfrm>
                      <a:off x="0" y="0"/>
                      <a:ext cx="2419350" cy="6953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185"/>
        <w:gridCol w:w="7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Reliance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on the basis that there will be no amendment to or termination or replacement of the Documents, referred to in Schedule A to this opinion and on the basis of the laws of Italy in force as at the date of this opinion. This opinion is also given on the basis that we undertake no responsibility to notify any addressee of this opinion of any change in the laws of Italy after the date of this opinion. We also disclaim any obligation to advise you of facts, circumstances, events or developments which hereafter may be brought to our attention and which may alter, affect or modify the opinion expressed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speaks as of its date and is addressed to you solely for your benefit in connection with the obligations of the Company arising from the offer of the Securities. We consent to the filing of this opinion letter as Exhibit 5.1 to the Registration Statement and to the references to this firm under the caption “Legal Matters” in the prospectus which is a part of the Registration Statement. In giving this consent, we do not admit that we are thereby within the category of persons whose consent is required under Section 7 of the Securities Act of 1933 or the rules and regulation thereunder. This opinion is not to be transmitted to anyone else or for any other purpose or quoted or referred to in any public document or filed with anyone without our express consent, except that it may be disclosed to your legal counsel, referred to in any list of closing documents in relation to the offering of the Securities and included in any bible of documents memorializing the offering of the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issue of liability connected with our rendering this opinion shall be solely subject to the substantive laws of Italy regardless of any reference to the laws of another jurisdiction pursuant to any applicable rule governing conflicts of laws. Any dispute shall be subject to the exclusive jurisdiction of the Court of Milan.</w:t>
            </w:r>
          </w:p>
        </w:tc>
      </w:tr>
    </w:tbl>
    <w:p>
      <w:pPr>
        <w:pStyle w:val="TextBody"/>
        <w:bidi w:val="0"/>
        <w:ind w:left="0" w:right="0" w:firstLine="709"/>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Giovannelli e Associati</w:t>
      </w:r>
    </w:p>
    <w:p>
      <w:pPr>
        <w:pStyle w:val="TextBody"/>
        <w:bidi w:val="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5525"/>
        <w:gridCol w:w="155"/>
      </w:tblGrid>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VIA DEI BOSSI, 4 – 20121 MILANO</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TEL.: +39 02 9769 7800 – FAX: +39 02 8718 1445</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CODICE FISCALE E P.IVA (VAT NO.): 08347040969</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www.galaw.it</w:t>
            </w:r>
          </w:p>
        </w:tc>
        <w:tc>
          <w:tcPr>
            <w:tcW w:w="15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419350" cy="6953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7"/>
                    <a:stretch>
                      <a:fillRect/>
                    </a:stretch>
                  </pic:blipFill>
                  <pic:spPr bwMode="auto">
                    <a:xfrm>
                      <a:off x="0" y="0"/>
                      <a:ext cx="2419350" cy="6953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SCHEDULE A </w:t>
      </w:r>
    </w:p>
    <w:p>
      <w:pPr>
        <w:pStyle w:val="TextBody"/>
        <w:bidi w:val="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15"/>
        <w:gridCol w:w="426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currently effective bylaws;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resolutions passed by the shareholders of the Company on May 20, 2021 pursuant to which it was resolved,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to grant the Board of Directors the Capital Increase Authorization;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resolutions passed by the Board of Directors of the Company on May 10, 2023 pursuant to which it was resolved increase the share capital to the service of the Sales Agreement Prospectus;</w:t>
            </w:r>
          </w:p>
        </w:tc>
      </w:tr>
    </w:tbl>
    <w:p>
      <w:pPr>
        <w:pStyle w:val="TextBody"/>
        <w:bidi w:val="0"/>
        <w:spacing w:before="0" w:after="0"/>
        <w:ind w:left="0" w:right="0" w:hanging="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320"/>
        <w:gridCol w:w="7175"/>
      </w:tblGrid>
      <w:tr>
        <w:trPr/>
        <w:tc>
          <w:tcPr>
            <w:tcW w:w="3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the Base Prospectus and the Sale Agreement Prospectus; and</w:t>
            </w:r>
          </w:p>
        </w:tc>
      </w:tr>
    </w:tbl>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60"/>
        <w:gridCol w:w="173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w:t>
            </w:r>
          </w:p>
        </w:tc>
      </w:tr>
    </w:tbl>
    <w:p>
      <w:pPr>
        <w:pStyle w:val="TextBody"/>
        <w:bidi w:val="0"/>
        <w:spacing w:before="0" w:after="0"/>
        <w:ind w:left="0" w:right="0" w:hanging="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5525"/>
        <w:gridCol w:w="155"/>
      </w:tblGrid>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VIA DEI BOSSI, 4 – 20121 MILANO</w:t>
            </w:r>
          </w:p>
        </w:tc>
        <w:tc>
          <w:tcPr>
            <w:tcW w:w="155" w:type="dxa"/>
            <w:tcBorders/>
            <w:vAlign w:val="center"/>
          </w:tcPr>
          <w:p>
            <w:pPr>
              <w:pStyle w:val="TableContents"/>
              <w:bidi w:val="0"/>
              <w:spacing w:before="0" w:after="283"/>
              <w:jc w:val="right"/>
              <w:rPr/>
            </w:pPr>
            <w:r>
              <w:rPr/>
              <w:t>6</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TEL.: +39 02 9769 7800 – FAX: +39 02 8718 1445</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CODICE FISCALE E P.IVA (VAT NO.): 08347040969</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center"/>
              <w:rPr/>
            </w:pPr>
            <w:r>
              <w:rPr/>
              <w:t>www.galaw.it</w:t>
            </w:r>
          </w:p>
        </w:tc>
        <w:tc>
          <w:tcPr>
            <w:tcW w:w="15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bookmarkStart w:id="39" w:name="ex23-1.htm"/>
      <w:bookmarkStart w:id="40" w:name="ksex231"/>
      <w:bookmarkEnd w:id="39"/>
      <w:bookmarkEnd w:id="4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center"/>
        <w:rPr>
          <w:caps w:val="false"/>
          <w:smallCaps w:val="false"/>
          <w:u w:val="single"/>
        </w:rPr>
      </w:pPr>
      <w:r>
        <w:rPr>
          <w:caps w:val="false"/>
          <w:smallCaps w:val="false"/>
          <w:u w:val="single"/>
        </w:rPr>
        <w:drawing>
          <wp:inline distT="0" distB="0" distL="0" distR="0">
            <wp:extent cx="6029325" cy="619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8"/>
                    <a:stretch>
                      <a:fillRect/>
                    </a:stretch>
                  </pic:blipFill>
                  <pic:spPr bwMode="auto">
                    <a:xfrm>
                      <a:off x="0" y="0"/>
                      <a:ext cx="6029325" cy="619125"/>
                    </a:xfrm>
                    <a:prstGeom prst="rect">
                      <a:avLst/>
                    </a:prstGeom>
                  </pic:spPr>
                </pic:pic>
              </a:graphicData>
            </a:graphic>
          </wp:inline>
        </w:drawing>
      </w:r>
    </w:p>
    <w:p>
      <w:pPr>
        <w:pStyle w:val="TextBody"/>
        <w:bidi w:val="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F-3 of Genenta Science S.p.A. of our report dated April 21, 2023, with respect to our audit of the consolidated financial statements of Genenta Science S.p.A. as of December 31, 2022, and for the year ended December 31, 2022, appearing in the Annual Report on Form 20-F of Genenta Science S.p.A for the year ended December 31, 2022. We also consent to the reference to our firm under the heading “Experts” in the Prospectus, which is part of this Registration Statement.</w:t>
      </w:r>
    </w:p>
    <w:p>
      <w:pPr>
        <w:pStyle w:val="TextBody"/>
        <w:bidi w:val="0"/>
        <w:ind w:left="0" w:right="0" w:firstLine="5670"/>
        <w:jc w:val="both"/>
        <w:rPr>
          <w:caps w:val="false"/>
          <w:smallCaps w:val="false"/>
        </w:rPr>
      </w:pPr>
      <w:r>
        <w:rPr>
          <w:caps w:val="false"/>
          <w:smallCaps w:val="false"/>
        </w:rPr>
        <w:t> </w:t>
      </w:r>
    </w:p>
    <w:tbl>
      <w:tblPr>
        <w:tblW w:w="2360" w:type="dxa"/>
        <w:jc w:val="left"/>
        <w:tblInd w:w="0" w:type="dxa"/>
        <w:tblLayout w:type="fixed"/>
        <w:tblCellMar>
          <w:top w:w="0" w:type="dxa"/>
          <w:left w:w="0" w:type="dxa"/>
          <w:bottom w:w="0" w:type="dxa"/>
          <w:right w:w="0" w:type="dxa"/>
        </w:tblCellMar>
      </w:tblPr>
      <w:tblGrid>
        <w:gridCol w:w="75"/>
        <w:gridCol w:w="2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Dannible &amp; McKee,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Dannible &amp; McKee,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Syracuse, New York</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933700" cy="333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9"/>
                    <a:stretch>
                      <a:fillRect/>
                    </a:stretch>
                  </pic:blipFill>
                  <pic:spPr bwMode="auto">
                    <a:xfrm>
                      <a:off x="0" y="0"/>
                      <a:ext cx="2933700" cy="33337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41" w:name="ex23-2.htm"/>
      <w:bookmarkStart w:id="42" w:name="ksex232"/>
      <w:bookmarkEnd w:id="41"/>
      <w:bookmarkEnd w:id="4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and the related prospectus, of our report dated April 29, 2022, with respect to the consolidated financial statements of Genenta Science, S.p.A. (the “Company”) as of December 31, 2021, and for each of the two years in the period ended December 31, 2021, which report is included in the Company’s Annual Report on Form 20-F for the year ended December 31, 2022, and to the reference to us under the heading “Experts” in the prospectus which is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Mayer Hoffman McCann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3" w:name="ex107.htm"/>
      <w:bookmarkStart w:id="44" w:name="ksex107"/>
      <w:bookmarkEnd w:id="43"/>
      <w:bookmarkEnd w:id="44"/>
      <w:r>
        <w:rPr/>
        <w:t> </w:t>
      </w:r>
      <w:r>
        <w:br w:type="page"/>
      </w:r>
    </w:p>
    <w:p>
      <w:pPr>
        <w:pStyle w:val="TextBody"/>
        <w:bidi w:val="0"/>
        <w:jc w:val="right"/>
        <w:rPr>
          <w:b/>
        </w:rPr>
      </w:pPr>
      <w:r>
        <w:rPr>
          <w:b/>
        </w:rPr>
        <w:t>Exhibit 107</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Fee Filing Tables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F-3</w:t>
        <w:br/>
      </w:r>
      <w:r>
        <w:rPr>
          <w:rFonts w:ascii="Times New Roman;Times;Serif" w:hAnsi="Times New Roman;Times;Serif"/>
          <w:b w:val="false"/>
          <w:i w:val="false"/>
          <w:caps w:val="false"/>
          <w:smallCaps w:val="false"/>
          <w:sz w:val="20"/>
        </w:rPr>
        <w:t>(Form Type)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Genenta Science S.p.A.</w:t>
        <w:br/>
      </w:r>
      <w:r>
        <w:rPr>
          <w:rFonts w:ascii="Times New Roman;Times;Serif" w:hAnsi="Times New Roman;Times;Serif"/>
          <w:b w:val="false"/>
          <w:i w:val="false"/>
          <w:caps w:val="false"/>
          <w:smallCaps w:val="false"/>
          <w:sz w:val="20"/>
        </w:rPr>
        <w:t>(Exact name of Registration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 Newly Registered and Carry Forward Securities</w:t>
      </w:r>
    </w:p>
    <w:p>
      <w:pPr>
        <w:pStyle w:val="TextBody"/>
        <w:bidi w:val="0"/>
        <w:jc w:val="left"/>
        <w:rPr>
          <w:caps w:val="false"/>
          <w:smallCaps w:val="false"/>
        </w:rPr>
      </w:pPr>
      <w:r>
        <w:rPr>
          <w:caps w:val="false"/>
          <w:smallCaps w:val="false"/>
        </w:rPr>
        <w:t> </w:t>
      </w:r>
    </w:p>
    <w:tbl>
      <w:tblPr>
        <w:tblW w:w="13255" w:type="dxa"/>
        <w:jc w:val="left"/>
        <w:tblInd w:w="0" w:type="dxa"/>
        <w:tblLayout w:type="fixed"/>
        <w:tblCellMar>
          <w:top w:w="0" w:type="dxa"/>
          <w:left w:w="0" w:type="dxa"/>
          <w:bottom w:w="0" w:type="dxa"/>
          <w:right w:w="0" w:type="dxa"/>
        </w:tblCellMar>
      </w:tblPr>
      <w:tblGrid>
        <w:gridCol w:w="905"/>
        <w:gridCol w:w="60"/>
        <w:gridCol w:w="1010"/>
        <w:gridCol w:w="60"/>
        <w:gridCol w:w="60"/>
        <w:gridCol w:w="740"/>
        <w:gridCol w:w="60"/>
        <w:gridCol w:w="60"/>
        <w:gridCol w:w="60"/>
        <w:gridCol w:w="860"/>
        <w:gridCol w:w="60"/>
        <w:gridCol w:w="60"/>
        <w:gridCol w:w="125"/>
        <w:gridCol w:w="1055"/>
        <w:gridCol w:w="170"/>
        <w:gridCol w:w="60"/>
        <w:gridCol w:w="105"/>
        <w:gridCol w:w="456"/>
        <w:gridCol w:w="299"/>
        <w:gridCol w:w="60"/>
        <w:gridCol w:w="125"/>
        <w:gridCol w:w="1055"/>
        <w:gridCol w:w="60"/>
        <w:gridCol w:w="60"/>
        <w:gridCol w:w="125"/>
        <w:gridCol w:w="1010"/>
        <w:gridCol w:w="60"/>
        <w:gridCol w:w="60"/>
        <w:gridCol w:w="165"/>
        <w:gridCol w:w="780"/>
        <w:gridCol w:w="80"/>
        <w:gridCol w:w="60"/>
        <w:gridCol w:w="107"/>
        <w:gridCol w:w="465"/>
        <w:gridCol w:w="108"/>
        <w:gridCol w:w="60"/>
        <w:gridCol w:w="107"/>
        <w:gridCol w:w="465"/>
        <w:gridCol w:w="108"/>
        <w:gridCol w:w="60"/>
        <w:gridCol w:w="119"/>
        <w:gridCol w:w="516"/>
        <w:gridCol w:w="120"/>
        <w:gridCol w:w="60"/>
        <w:gridCol w:w="995"/>
      </w:tblGrid>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Type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Class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Calculation or Carry Forward Rule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50"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Registered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 Offering Price Per Unit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40"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Aggregate Offering Price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5"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Rate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Registration Fee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Forward Form Type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Forward 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Forward Initial Effective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Fee Previously Paid in Connection with Unsold Securities to be Carried Forward</w:t>
            </w:r>
          </w:p>
        </w:tc>
      </w:tr>
      <w:tr>
        <w:trPr/>
        <w:tc>
          <w:tcPr>
            <w:tcW w:w="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90" w:type="dxa"/>
            <w:gridSpan w:val="4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Newly Registered Securities</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Fees to be Paid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no par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457(o)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sz w:val="4"/>
                <w:szCs w:val="4"/>
              </w:rPr>
            </w:pPr>
            <w:r>
              <w:rPr>
                <w:sz w:val="4"/>
                <w:szCs w:val="4"/>
              </w:rPr>
            </w:r>
          </w:p>
        </w:tc>
      </w:tr>
      <w:tr>
        <w:trPr/>
        <w:tc>
          <w:tcPr>
            <w:tcW w:w="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457(o)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left"/>
              <w:rPr>
                <w:sz w:val="4"/>
                <w:szCs w:val="4"/>
              </w:rPr>
            </w:pPr>
            <w:r>
              <w:rPr>
                <w:sz w:val="4"/>
                <w:szCs w:val="4"/>
              </w:rPr>
            </w:r>
          </w:p>
        </w:tc>
      </w:tr>
      <w:tr>
        <w:trPr/>
        <w:tc>
          <w:tcPr>
            <w:tcW w:w="9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Unallocated (Universal) Shelf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457(o)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0.00011020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left"/>
              <w:rPr>
                <w:sz w:val="4"/>
                <w:szCs w:val="4"/>
              </w:rPr>
            </w:pPr>
            <w:r>
              <w:rPr>
                <w:sz w:val="4"/>
                <w:szCs w:val="4"/>
              </w:rPr>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Previously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left"/>
              <w:rPr>
                <w:sz w:val="4"/>
                <w:szCs w:val="4"/>
              </w:rPr>
            </w:pPr>
            <w:r>
              <w:rPr>
                <w:sz w:val="4"/>
                <w:szCs w:val="4"/>
              </w:rPr>
            </w:r>
          </w:p>
        </w:tc>
      </w:tr>
      <w:tr>
        <w:trPr/>
        <w:tc>
          <w:tcPr>
            <w:tcW w:w="9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90" w:type="dxa"/>
            <w:gridSpan w:val="4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Forward Securities</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Forward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r>
      <w:tr>
        <w:trPr/>
        <w:tc>
          <w:tcPr>
            <w:tcW w:w="9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80" w:type="dxa"/>
            <w:gridSpan w:val="13"/>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Offering Amounts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left"/>
              <w:rPr>
                <w:sz w:val="4"/>
                <w:szCs w:val="4"/>
              </w:rPr>
            </w:pPr>
            <w:r>
              <w:rPr>
                <w:sz w:val="4"/>
                <w:szCs w:val="4"/>
              </w:rPr>
            </w:r>
          </w:p>
        </w:tc>
      </w:tr>
      <w:tr>
        <w:trPr/>
        <w:tc>
          <w:tcPr>
            <w:tcW w:w="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10" w:type="dxa"/>
            <w:gridSpan w:val="1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Fees Previously Paid</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left"/>
              <w:rPr>
                <w:sz w:val="4"/>
                <w:szCs w:val="4"/>
              </w:rPr>
            </w:pPr>
            <w:r>
              <w:rPr>
                <w:sz w:val="4"/>
                <w:szCs w:val="4"/>
              </w:rPr>
            </w:r>
          </w:p>
        </w:tc>
      </w:tr>
      <w:tr>
        <w:trPr/>
        <w:tc>
          <w:tcPr>
            <w:tcW w:w="9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80" w:type="dxa"/>
            <w:gridSpan w:val="13"/>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Fee Offsets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left"/>
              <w:rPr>
                <w:sz w:val="4"/>
                <w:szCs w:val="4"/>
              </w:rPr>
            </w:pPr>
            <w:r>
              <w:rPr>
                <w:sz w:val="4"/>
                <w:szCs w:val="4"/>
              </w:rPr>
            </w:r>
          </w:p>
        </w:tc>
      </w:tr>
      <w:tr>
        <w:trPr/>
        <w:tc>
          <w:tcPr>
            <w:tcW w:w="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10" w:type="dxa"/>
            <w:gridSpan w:val="1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Fee Due</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2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being registered hereunder an unspecified number of ordinary shares, including those represented by American depositary shares (“</w:t>
            </w:r>
            <w:r>
              <w:rPr>
                <w:rFonts w:ascii="Times New Roman;Times;Serif" w:hAnsi="Times New Roman;Times;Serif"/>
                <w:b/>
                <w:i/>
                <w:caps w:val="false"/>
                <w:smallCaps w:val="false"/>
                <w:sz w:val="20"/>
              </w:rPr>
              <w:t>ADSs</w:t>
            </w:r>
            <w:r>
              <w:rPr>
                <w:rFonts w:ascii="Times New Roman;Times;Serif" w:hAnsi="Times New Roman;Times;Serif"/>
                <w:b w:val="false"/>
                <w:i w:val="false"/>
                <w:caps w:val="false"/>
                <w:smallCaps w:val="false"/>
                <w:sz w:val="20"/>
              </w:rPr>
              <w:t>”), and rights exercisable for ordinary shares and/or ordinary shares represented by ADSs, as may be sold from time to time by Genenta Science S.p.A. (the “</w:t>
            </w:r>
            <w:r>
              <w:rPr>
                <w:rFonts w:ascii="Times New Roman;Times;Serif" w:hAnsi="Times New Roman;Times;Serif"/>
                <w:b/>
                <w:i/>
                <w:caps w:val="false"/>
                <w:smallCaps w:val="false"/>
                <w:sz w:val="20"/>
              </w:rPr>
              <w:t>Registrant</w:t>
            </w:r>
            <w:r>
              <w:rPr>
                <w:rFonts w:ascii="Times New Roman;Times;Serif" w:hAnsi="Times New Roman;Times;Serif"/>
                <w:b w:val="false"/>
                <w:i w:val="false"/>
                <w:caps w:val="false"/>
                <w:smallCaps w:val="false"/>
                <w:sz w:val="20"/>
              </w:rPr>
              <w:t>”). Any securities registered hereunder may be sold separately or as units with other securities registered hereunder. There is also being registered hereunder an unspecified number of ordinary shares, including those represented by ADSs, as shall be issuable upon the conversion, exchange or exercise of any securities that provide for such issuance. In no event will the aggregate offering price of all types of securities issued by the Registrant pursuant to this registration statement exceed $100,000,000. Pursuant to Rule 416(a)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this registration statement also covers any additional securities that may be offered or issued in connection with any stock split, stock dividend or similar transaction.</w:t>
            </w:r>
          </w:p>
        </w:tc>
      </w:tr>
      <w:tr>
        <w:trPr/>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maximum offering price per unit and proposed maximum aggregate offering price for each type of security will be determined from time to time by the Registrant in connection with the issuance by the Registrant of the securities registered hereunder and is not specific as to each class of security pursuant to Instruction 2(A)(ii)(b) to Item 9 of Form F-3 under the Securities Act.</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8716/000149315223003331/form6-k.htm" TargetMode="External"/><Relationship Id="rId4" Type="http://schemas.openxmlformats.org/officeDocument/2006/relationships/hyperlink" Target="https://www.sec.gov/Archives/edgar/data/1838716/000149315223014964/form6-k.htm" TargetMode="External"/><Relationship Id="rId5" Type="http://schemas.openxmlformats.org/officeDocument/2006/relationships/hyperlink" Target="https://www.sec.gov/Archives/edgar/data/1838716/000149315223016155/form6-k.htm" TargetMode="External"/><Relationship Id="rId6" Type="http://schemas.openxmlformats.org/officeDocument/2006/relationships/hyperlink" Target="https://www.sec.gov/ix?doc=/Archives/edgar/data/0001838716/000149315223013272/form20-f.htm" TargetMode="External"/><Relationship Id="rId7" Type="http://schemas.openxmlformats.org/officeDocument/2006/relationships/hyperlink" Target="https://www.sec.gov/Archives/edgar/data/1838716/000149315222011671/ex2-4.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hyperlink" Target="https://www.sec.gov/Archives/edgar/data/1838716/000149315223003331/form6-k.htm" TargetMode="External"/><Relationship Id="rId11" Type="http://schemas.openxmlformats.org/officeDocument/2006/relationships/hyperlink" Target="https://www.sec.gov/Archives/edgar/data/1838716/000149315223014964/form6-k.htm" TargetMode="External"/><Relationship Id="rId12" Type="http://schemas.openxmlformats.org/officeDocument/2006/relationships/hyperlink" Target="https://www.sec.gov/Archives/edgar/data/1838716/000149315223016155/form6-k.htm" TargetMode="External"/><Relationship Id="rId13" Type="http://schemas.openxmlformats.org/officeDocument/2006/relationships/hyperlink" Target="https://www.sec.gov/ix?doc=/Archives/edgar/data/0001838716/000149315223013272/form20-f.htm" TargetMode="External"/><Relationship Id="rId14" Type="http://schemas.openxmlformats.org/officeDocument/2006/relationships/hyperlink" Target="https://www.sec.gov/Archives/edgar/data/1838716/000149315222011671/ex2-4.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hyperlink" Target="https://www.sec.gov/Archives/edgar/data/1838716/000149315221027683/ex3-1.htm" TargetMode="External"/><Relationship Id="rId18" Type="http://schemas.openxmlformats.org/officeDocument/2006/relationships/hyperlink" Target="https://www.sec.gov/Archives/edgar/data/1838716/000149315223013272/ex3-2.htm" TargetMode="External"/><Relationship Id="rId19" Type="http://schemas.openxmlformats.org/officeDocument/2006/relationships/hyperlink" Target="https://www.sec.gov/Archives/edgar/data/1838716/000149315221027683/ex4-1.htm" TargetMode="External"/><Relationship Id="rId20" Type="http://schemas.openxmlformats.org/officeDocument/2006/relationships/hyperlink" Target="https://www.sec.gov/Archives/edgar/data/1838716/000149315221027683/ex4-1.htm" TargetMode="External"/><Relationship Id="rId21" Type="http://schemas.openxmlformats.org/officeDocument/2006/relationships/hyperlink" Target="https://www.sec.gov/Archives/edgar/data/1838716/000149315222011671/ex4-3.htm" TargetMode="External"/><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4.jpeg"/><Relationship Id="rId29" Type="http://schemas.openxmlformats.org/officeDocument/2006/relationships/image" Target="media/image5.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56844</Words>
  <Characters>297550</Characters>
  <CharactersWithSpaces>355066</CharactersWithSpaces>
  <Paragraphs>3344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