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line="312" w:lineRule="auto"/>
        <w:rPr>
          <w:sz w:val="20"/>
          <w:szCs w:val="20"/>
          <w:color w:val="auto"/>
        </w:rPr>
      </w:pPr>
      <w:r>
        <w:rPr>
          <w:rFonts w:ascii="Arial" w:cs="Arial" w:eastAsia="Arial" w:hAnsi="Arial"/>
          <w:sz w:val="17"/>
          <w:szCs w:val="17"/>
          <w:b w:val="1"/>
          <w:bCs w:val="1"/>
          <w:color w:val="auto"/>
        </w:rPr>
        <w:t>Confidentially submitted to the Securities and Exchange Commission on April 22, 2021. This revised draft registration statement has not been publicly filed with the Securities and Exchange Commission and all information herein remains strictly confidential.</w:t>
      </w:r>
    </w:p>
    <w:p>
      <w:pPr>
        <w:spacing w:after="0" w:line="167" w:lineRule="exact"/>
        <w:rPr>
          <w:sz w:val="24"/>
          <w:szCs w:val="24"/>
          <w:color w:val="auto"/>
        </w:rPr>
      </w:pPr>
    </w:p>
    <w:p>
      <w:pPr>
        <w:ind w:left="89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Genenta Science S.r.l.</w:t>
      </w:r>
      <w:r>
        <w:rPr>
          <w:rFonts w:ascii="Arial" w:cs="Arial" w:eastAsia="Arial" w:hAnsi="Arial"/>
          <w:sz w:val="53"/>
          <w:szCs w:val="53"/>
          <w:b w:val="1"/>
          <w:bCs w:val="1"/>
          <w:color w:val="auto"/>
          <w:vertAlign w:val="superscript"/>
        </w:rPr>
        <w:t>1</w:t>
      </w: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Republic of Italy</w:t>
            </w:r>
          </w:p>
        </w:tc>
        <w:tc>
          <w:tcPr>
            <w:tcW w:w="248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89"/>
              </w:rPr>
              <w:t>2836</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State or other jurisdiction of incorporation or</w:t>
            </w:r>
          </w:p>
        </w:tc>
        <w:tc>
          <w:tcPr>
            <w:tcW w:w="220" w:type="dxa"/>
            <w:vAlign w:val="bottom"/>
          </w:tcPr>
          <w:p>
            <w:pPr>
              <w:spacing w:after="0"/>
              <w:rPr>
                <w:sz w:val="17"/>
                <w:szCs w:val="17"/>
                <w:color w:val="auto"/>
              </w:rPr>
            </w:pPr>
          </w:p>
        </w:tc>
        <w:tc>
          <w:tcPr>
            <w:tcW w:w="360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i w:val="1"/>
                <w:iCs w:val="1"/>
                <w:color w:val="auto"/>
                <w:w w:val="93"/>
              </w:rPr>
              <w:t>(Primary Standard Industrial Classification Code</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4"/>
              </w:rPr>
              <w:t>organization)</w:t>
            </w:r>
          </w:p>
        </w:tc>
        <w:tc>
          <w:tcPr>
            <w:tcW w:w="2480" w:type="dxa"/>
            <w:vAlign w:val="bottom"/>
            <w:gridSpan w:val="3"/>
          </w:tcPr>
          <w:p>
            <w:pPr>
              <w:jc w:val="center"/>
              <w:ind w:left="1010"/>
              <w:spacing w:after="0"/>
              <w:rPr>
                <w:sz w:val="20"/>
                <w:szCs w:val="20"/>
                <w:color w:val="auto"/>
              </w:rPr>
            </w:pPr>
            <w:r>
              <w:rPr>
                <w:rFonts w:ascii="Arial" w:cs="Arial" w:eastAsia="Arial" w:hAnsi="Arial"/>
                <w:sz w:val="18"/>
                <w:szCs w:val="18"/>
                <w:i w:val="1"/>
                <w:iCs w:val="1"/>
                <w:color w:val="auto"/>
                <w:w w:val="90"/>
              </w:rPr>
              <w:t>Number</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i w:val="1"/>
                <w:iCs w:val="1"/>
                <w:color w:val="auto"/>
                <w:w w:val="94"/>
              </w:rPr>
              <w:t>Identification Number)</w:t>
            </w:r>
          </w:p>
        </w:tc>
      </w:tr>
      <w:tr>
        <w:trPr>
          <w:trHeight w:val="441"/>
        </w:trPr>
        <w:tc>
          <w:tcPr>
            <w:tcW w:w="384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91"/>
              </w:rPr>
              <w:t>Pierluigi Paracchi</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1"/>
              </w:rPr>
              <w:t>Chief Executive Officer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0"/>
              </w:rPr>
              <w:t>Cogency Global Inc.</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2"/>
              </w:rPr>
              <w:t>Via Olgettina No. 58</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0"/>
              </w:rPr>
              <w:t>122 East 42nd Street, 18th Floor</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5"/>
              </w:rPr>
              <w:t>20132 Milan, Italy</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1"/>
              </w:rPr>
              <w:t>New York, New York 10168</w:t>
            </w:r>
          </w:p>
        </w:tc>
      </w:tr>
      <w:tr>
        <w:trPr>
          <w:trHeight w:val="241"/>
        </w:trPr>
        <w:tc>
          <w:tcPr>
            <w:tcW w:w="3840" w:type="dxa"/>
            <w:vAlign w:val="bottom"/>
            <w:tcBorders>
              <w:bottom w:val="single" w:sz="8" w:color="auto"/>
            </w:tcBorders>
            <w:gridSpan w:val="2"/>
          </w:tcPr>
          <w:p>
            <w:pPr>
              <w:jc w:val="center"/>
              <w:ind w:left="1610"/>
              <w:spacing w:after="0"/>
              <w:rPr>
                <w:sz w:val="20"/>
                <w:szCs w:val="20"/>
                <w:color w:val="auto"/>
              </w:rPr>
            </w:pPr>
            <w:r>
              <w:rPr>
                <w:rFonts w:ascii="Arial" w:cs="Arial" w:eastAsia="Arial" w:hAnsi="Arial"/>
                <w:sz w:val="18"/>
                <w:szCs w:val="18"/>
                <w:b w:val="1"/>
                <w:bCs w:val="1"/>
                <w:color w:val="auto"/>
                <w:w w:val="91"/>
              </w:rPr>
              <w:t>Tel: +39-02-2643-4681</w:t>
            </w: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1790"/>
              <w:spacing w:after="0"/>
              <w:rPr>
                <w:sz w:val="20"/>
                <w:szCs w:val="20"/>
                <w:color w:val="auto"/>
              </w:rPr>
            </w:pPr>
            <w:r>
              <w:rPr>
                <w:rFonts w:ascii="Arial" w:cs="Arial" w:eastAsia="Arial" w:hAnsi="Arial"/>
                <w:sz w:val="18"/>
                <w:szCs w:val="18"/>
                <w:b w:val="1"/>
                <w:bCs w:val="1"/>
                <w:color w:val="auto"/>
                <w:w w:val="90"/>
              </w:rPr>
              <w:t>Tel: +1.800.221.0102</w:t>
            </w:r>
          </w:p>
        </w:tc>
      </w:tr>
      <w:tr>
        <w:trPr>
          <w:trHeight w:val="202"/>
        </w:trPr>
        <w:tc>
          <w:tcPr>
            <w:tcW w:w="5520" w:type="dxa"/>
            <w:vAlign w:val="bottom"/>
            <w:gridSpan w:val="3"/>
          </w:tcPr>
          <w:p>
            <w:pPr>
              <w:jc w:val="center"/>
              <w:spacing w:after="0" w:line="201" w:lineRule="exact"/>
              <w:rPr>
                <w:sz w:val="20"/>
                <w:szCs w:val="20"/>
                <w:color w:val="auto"/>
              </w:rPr>
            </w:pPr>
            <w:r>
              <w:rPr>
                <w:rFonts w:ascii="Arial" w:cs="Arial" w:eastAsia="Arial" w:hAnsi="Arial"/>
                <w:sz w:val="18"/>
                <w:szCs w:val="18"/>
                <w:i w:val="1"/>
                <w:iCs w:val="1"/>
                <w:color w:val="auto"/>
                <w:w w:val="90"/>
              </w:rPr>
              <w:t>(Address, including zip code, and telephone number, including area code, of</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20" w:type="dxa"/>
            <w:vAlign w:val="bottom"/>
            <w:gridSpan w:val="3"/>
          </w:tcPr>
          <w:p>
            <w:pPr>
              <w:jc w:val="center"/>
              <w:ind w:right="530"/>
              <w:spacing w:after="0" w:line="201" w:lineRule="exact"/>
              <w:rPr>
                <w:sz w:val="20"/>
                <w:szCs w:val="20"/>
                <w:color w:val="auto"/>
              </w:rPr>
            </w:pPr>
            <w:r>
              <w:rPr>
                <w:rFonts w:ascii="Arial" w:cs="Arial" w:eastAsia="Arial" w:hAnsi="Arial"/>
                <w:sz w:val="18"/>
                <w:szCs w:val="18"/>
                <w:i w:val="1"/>
                <w:iCs w:val="1"/>
                <w:color w:val="auto"/>
                <w:w w:val="89"/>
              </w:rPr>
              <w:t>(Name, address, including zip code, and telephone</w:t>
            </w:r>
          </w:p>
        </w:tc>
      </w:tr>
      <w:tr>
        <w:trPr>
          <w:trHeight w:val="230"/>
        </w:trPr>
        <w:tc>
          <w:tcPr>
            <w:tcW w:w="6320" w:type="dxa"/>
            <w:vAlign w:val="bottom"/>
            <w:gridSpan w:val="5"/>
          </w:tcPr>
          <w:p>
            <w:pPr>
              <w:jc w:val="center"/>
              <w:ind w:right="800"/>
              <w:spacing w:after="0"/>
              <w:rPr>
                <w:sz w:val="20"/>
                <w:szCs w:val="20"/>
                <w:color w:val="auto"/>
              </w:rPr>
            </w:pPr>
            <w:r>
              <w:rPr>
                <w:rFonts w:ascii="Arial" w:cs="Arial" w:eastAsia="Arial" w:hAnsi="Arial"/>
                <w:sz w:val="18"/>
                <w:szCs w:val="18"/>
                <w:i w:val="1"/>
                <w:iCs w:val="1"/>
                <w:color w:val="auto"/>
                <w:w w:val="92"/>
              </w:rPr>
              <w:t>registrant’s principal executive offices)</w:t>
            </w:r>
          </w:p>
        </w:tc>
        <w:tc>
          <w:tcPr>
            <w:tcW w:w="4920" w:type="dxa"/>
            <w:vAlign w:val="bottom"/>
            <w:gridSpan w:val="3"/>
          </w:tcPr>
          <w:p>
            <w:pPr>
              <w:jc w:val="center"/>
              <w:ind w:right="470"/>
              <w:spacing w:after="0"/>
              <w:rPr>
                <w:sz w:val="20"/>
                <w:szCs w:val="20"/>
                <w:color w:val="auto"/>
              </w:rPr>
            </w:pPr>
            <w:r>
              <w:rPr>
                <w:rFonts w:ascii="Arial" w:cs="Arial" w:eastAsia="Arial" w:hAnsi="Arial"/>
                <w:sz w:val="18"/>
                <w:szCs w:val="18"/>
                <w:i w:val="1"/>
                <w:iCs w:val="1"/>
                <w:color w:val="auto"/>
                <w:w w:val="90"/>
              </w:rPr>
              <w:t>number, including area code, of agent for service)</w:t>
            </w:r>
          </w:p>
        </w:tc>
      </w:tr>
      <w:tr>
        <w:trPr>
          <w:trHeight w:val="459"/>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3"/>
          </w:tcPr>
          <w:p>
            <w:pPr>
              <w:jc w:val="center"/>
              <w:ind w:left="1010"/>
              <w:spacing w:after="0"/>
              <w:rPr>
                <w:sz w:val="20"/>
                <w:szCs w:val="20"/>
                <w:color w:val="auto"/>
              </w:rPr>
            </w:pPr>
            <w:r>
              <w:rPr>
                <w:rFonts w:ascii="Arial" w:cs="Arial" w:eastAsia="Arial" w:hAnsi="Arial"/>
                <w:sz w:val="18"/>
                <w:szCs w:val="18"/>
                <w:i w:val="1"/>
                <w:iCs w:val="1"/>
                <w:color w:val="auto"/>
                <w:w w:val="91"/>
              </w:rPr>
              <w:t>Copies to:</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41"/>
        </w:trPr>
        <w:tc>
          <w:tcPr>
            <w:tcW w:w="384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89"/>
              </w:rPr>
              <w:t>Mitchell S. Nussbaum, Esq.</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89"/>
              </w:rPr>
              <w:t>Thomas S. Levato, Esq.</w:t>
            </w:r>
          </w:p>
        </w:tc>
      </w:tr>
      <w:tr>
        <w:trPr>
          <w:trHeight w:val="216"/>
        </w:trPr>
        <w:tc>
          <w:tcPr>
            <w:tcW w:w="6320" w:type="dxa"/>
            <w:vAlign w:val="bottom"/>
            <w:gridSpan w:val="5"/>
          </w:tcPr>
          <w:p>
            <w:pPr>
              <w:ind w:left="1740"/>
              <w:spacing w:after="0"/>
              <w:rPr>
                <w:sz w:val="20"/>
                <w:szCs w:val="20"/>
                <w:color w:val="auto"/>
              </w:rPr>
            </w:pPr>
            <w:r>
              <w:rPr>
                <w:rFonts w:ascii="Arial" w:cs="Arial" w:eastAsia="Arial" w:hAnsi="Arial"/>
                <w:sz w:val="18"/>
                <w:szCs w:val="18"/>
                <w:b w:val="1"/>
                <w:bCs w:val="1"/>
                <w:color w:val="auto"/>
              </w:rPr>
              <w:t>Norwood P. Beveridge, Esq.</w:t>
            </w:r>
          </w:p>
        </w:tc>
        <w:tc>
          <w:tcPr>
            <w:tcW w:w="1120" w:type="dxa"/>
            <w:vAlign w:val="bottom"/>
          </w:tcPr>
          <w:p>
            <w:pPr>
              <w:spacing w:after="0"/>
              <w:rPr>
                <w:sz w:val="18"/>
                <w:szCs w:val="18"/>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0"/>
              </w:rPr>
              <w:t>Ettore A. Santucci, Esq.</w:t>
            </w:r>
          </w:p>
        </w:tc>
      </w:tr>
      <w:tr>
        <w:trPr>
          <w:trHeight w:val="216"/>
        </w:trPr>
        <w:tc>
          <w:tcPr>
            <w:tcW w:w="3840" w:type="dxa"/>
            <w:vAlign w:val="bottom"/>
            <w:gridSpan w:val="2"/>
          </w:tcPr>
          <w:p>
            <w:pPr>
              <w:ind w:left="2020"/>
              <w:spacing w:after="0"/>
              <w:rPr>
                <w:sz w:val="20"/>
                <w:szCs w:val="20"/>
                <w:color w:val="auto"/>
              </w:rPr>
            </w:pPr>
            <w:r>
              <w:rPr>
                <w:rFonts w:ascii="Arial" w:cs="Arial" w:eastAsia="Arial" w:hAnsi="Arial"/>
                <w:sz w:val="18"/>
                <w:szCs w:val="18"/>
                <w:b w:val="1"/>
                <w:bCs w:val="1"/>
                <w:color w:val="auto"/>
              </w:rPr>
              <w:t>Loeb &amp; Loeb LLP</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3"/>
              </w:rPr>
              <w:t>Goodwin Procter LLP</w:t>
            </w:r>
          </w:p>
        </w:tc>
      </w:tr>
      <w:tr>
        <w:trPr>
          <w:trHeight w:val="216"/>
        </w:trPr>
        <w:tc>
          <w:tcPr>
            <w:tcW w:w="3840" w:type="dxa"/>
            <w:vAlign w:val="bottom"/>
            <w:gridSpan w:val="2"/>
          </w:tcPr>
          <w:p>
            <w:pPr>
              <w:ind w:left="2080"/>
              <w:spacing w:after="0"/>
              <w:rPr>
                <w:sz w:val="20"/>
                <w:szCs w:val="20"/>
                <w:color w:val="auto"/>
              </w:rPr>
            </w:pPr>
            <w:r>
              <w:rPr>
                <w:rFonts w:ascii="Arial" w:cs="Arial" w:eastAsia="Arial" w:hAnsi="Arial"/>
                <w:sz w:val="18"/>
                <w:szCs w:val="18"/>
                <w:b w:val="1"/>
                <w:bCs w:val="1"/>
                <w:color w:val="auto"/>
              </w:rPr>
              <w:t>345 Park Avenue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620 Eighth Avenue</w:t>
            </w:r>
          </w:p>
        </w:tc>
      </w:tr>
      <w:tr>
        <w:trPr>
          <w:trHeight w:val="216"/>
        </w:trPr>
        <w:tc>
          <w:tcPr>
            <w:tcW w:w="3840" w:type="dxa"/>
            <w:vAlign w:val="bottom"/>
            <w:gridSpan w:val="2"/>
          </w:tcPr>
          <w:p>
            <w:pPr>
              <w:ind w:left="2060"/>
              <w:spacing w:after="0"/>
              <w:rPr>
                <w:sz w:val="20"/>
                <w:szCs w:val="20"/>
                <w:color w:val="auto"/>
              </w:rPr>
            </w:pPr>
            <w:r>
              <w:rPr>
                <w:rFonts w:ascii="Arial" w:cs="Arial" w:eastAsia="Arial" w:hAnsi="Arial"/>
                <w:sz w:val="18"/>
                <w:szCs w:val="18"/>
                <w:b w:val="1"/>
                <w:bCs w:val="1"/>
                <w:color w:val="auto"/>
              </w:rPr>
              <w:t>New York, NY 10154</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auto"/>
                <w:w w:val="92"/>
              </w:rPr>
              <w:t>New York, New York 10018</w:t>
            </w:r>
          </w:p>
        </w:tc>
      </w:tr>
      <w:tr>
        <w:trPr>
          <w:trHeight w:val="234"/>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0"/>
              </w:rPr>
              <w:t>Tel: +1.212.407.4000</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910"/>
              <w:spacing w:after="0"/>
              <w:rPr>
                <w:sz w:val="20"/>
                <w:szCs w:val="20"/>
                <w:color w:val="auto"/>
              </w:rPr>
            </w:pPr>
            <w:r>
              <w:rPr>
                <w:rFonts w:ascii="Arial" w:cs="Arial" w:eastAsia="Arial" w:hAnsi="Arial"/>
                <w:sz w:val="18"/>
                <w:szCs w:val="18"/>
                <w:b w:val="1"/>
                <w:bCs w:val="1"/>
                <w:color w:val="auto"/>
                <w:w w:val="90"/>
              </w:rPr>
              <w:t>Tel: +1.212.813.8800</w:t>
            </w:r>
          </w:p>
        </w:tc>
      </w:tr>
    </w:tbl>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Approximate date of commencement of proposed sale to the public: As soon as practicable after the effective date hereof.</w:t>
      </w:r>
    </w:p>
    <w:p>
      <w:pPr>
        <w:spacing w:after="0" w:line="252"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check the following box. [ ]</w:t>
      </w:r>
    </w:p>
    <w:p>
      <w:pPr>
        <w:spacing w:after="0" w:line="197" w:lineRule="exact"/>
        <w:rPr>
          <w:sz w:val="24"/>
          <w:szCs w:val="24"/>
          <w:color w:val="auto"/>
        </w:rPr>
      </w:pPr>
    </w:p>
    <w:p>
      <w:pPr>
        <w:ind w:right="200" w:firstLine="648"/>
        <w:spacing w:after="0" w:line="308"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3"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Emerging growth company [X]</w:t>
      </w:r>
    </w:p>
    <w:p>
      <w:pPr>
        <w:spacing w:after="0" w:line="238" w:lineRule="exact"/>
        <w:rPr>
          <w:sz w:val="24"/>
          <w:szCs w:val="24"/>
          <w:color w:val="auto"/>
        </w:rPr>
      </w:pPr>
    </w:p>
    <w:p>
      <w:pPr>
        <w:jc w:val="both"/>
        <w:ind w:right="120" w:firstLine="648"/>
        <w:spacing w:after="0" w:line="291" w:lineRule="auto"/>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rPr>
          <w:sz w:val="20"/>
          <w:szCs w:val="20"/>
          <w:color w:val="auto"/>
        </w:rPr>
      </w:pPr>
      <w:r>
        <w:rPr>
          <w:rFonts w:ascii="Arial" w:cs="Arial" w:eastAsia="Arial" w:hAnsi="Arial"/>
          <w:sz w:val="18"/>
          <w:szCs w:val="18"/>
          <w:color w:val="auto"/>
        </w:rPr>
        <w:t>(2)(B) of the Securities Act. [ ]</w:t>
      </w:r>
    </w:p>
    <w:p>
      <w:pPr>
        <w:spacing w:after="0" w:line="238" w:lineRule="exact"/>
        <w:rPr>
          <w:sz w:val="24"/>
          <w:szCs w:val="24"/>
          <w:color w:val="auto"/>
        </w:rPr>
      </w:pPr>
    </w:p>
    <w:p>
      <w:pPr>
        <w:ind w:right="720" w:firstLine="648"/>
        <w:spacing w:after="0" w:line="277" w:lineRule="auto"/>
        <w:rPr>
          <w:sz w:val="20"/>
          <w:szCs w:val="20"/>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48" w:lineRule="exact"/>
        <w:rPr>
          <w:sz w:val="24"/>
          <w:szCs w:val="24"/>
          <w:color w:val="auto"/>
        </w:rPr>
      </w:pPr>
    </w:p>
    <w:p>
      <w:pPr>
        <w:ind w:left="8620"/>
        <w:spacing w:after="0"/>
        <w:rPr>
          <w:sz w:val="20"/>
          <w:szCs w:val="20"/>
          <w:color w:val="auto"/>
        </w:rPr>
      </w:pPr>
      <w:r>
        <w:rPr>
          <w:rFonts w:ascii="Arial" w:cs="Arial" w:eastAsia="Arial" w:hAnsi="Arial"/>
          <w:sz w:val="14"/>
          <w:szCs w:val="14"/>
          <w:b w:val="1"/>
          <w:bCs w:val="1"/>
          <w:color w:val="auto"/>
        </w:rPr>
        <w:t>Proposed</w:t>
      </w:r>
    </w:p>
    <w:p>
      <w:pPr>
        <w:ind w:left="8600"/>
        <w:spacing w:after="0" w:line="226" w:lineRule="auto"/>
        <w:rPr>
          <w:sz w:val="20"/>
          <w:szCs w:val="20"/>
          <w:color w:val="auto"/>
        </w:rPr>
      </w:pPr>
      <w:r>
        <w:rPr>
          <w:rFonts w:ascii="Arial" w:cs="Arial" w:eastAsia="Arial" w:hAnsi="Arial"/>
          <w:sz w:val="14"/>
          <w:szCs w:val="14"/>
          <w:b w:val="1"/>
          <w:bCs w:val="1"/>
          <w:color w:val="auto"/>
        </w:rPr>
        <w:t>maximum</w:t>
      </w:r>
    </w:p>
    <w:p>
      <w:pPr>
        <w:ind w:left="8600"/>
        <w:spacing w:after="0" w:line="221" w:lineRule="auto"/>
        <w:tabs>
          <w:tab w:leader="none" w:pos="10000" w:val="left"/>
        </w:tabs>
        <w:rPr>
          <w:sz w:val="20"/>
          <w:szCs w:val="20"/>
          <w:color w:val="auto"/>
        </w:rPr>
      </w:pPr>
      <w:r>
        <w:rPr>
          <w:rFonts w:ascii="Arial" w:cs="Arial" w:eastAsia="Arial" w:hAnsi="Arial"/>
          <w:sz w:val="14"/>
          <w:szCs w:val="14"/>
          <w:b w:val="1"/>
          <w:bCs w:val="1"/>
          <w:color w:val="auto"/>
        </w:rPr>
        <w:t>aggregate</w:t>
      </w:r>
      <w:r>
        <w:rPr>
          <w:sz w:val="20"/>
          <w:szCs w:val="20"/>
          <w:color w:val="auto"/>
        </w:rPr>
        <w:tab/>
      </w:r>
      <w:r>
        <w:rPr>
          <w:rFonts w:ascii="Arial" w:cs="Arial" w:eastAsia="Arial" w:hAnsi="Arial"/>
          <w:sz w:val="14"/>
          <w:szCs w:val="14"/>
          <w:b w:val="1"/>
          <w:bCs w:val="1"/>
          <w:color w:val="auto"/>
        </w:rPr>
        <w:t>Amount of</w:t>
      </w:r>
    </w:p>
    <w:p>
      <w:pPr>
        <w:ind w:left="8660"/>
        <w:spacing w:after="0" w:line="234" w:lineRule="auto"/>
        <w:tabs>
          <w:tab w:leader="none" w:pos="9980" w:val="left"/>
        </w:tabs>
        <w:rPr>
          <w:sz w:val="20"/>
          <w:szCs w:val="20"/>
          <w:color w:val="auto"/>
        </w:rPr>
      </w:pPr>
      <w:r>
        <w:rPr>
          <w:rFonts w:ascii="Arial" w:cs="Arial" w:eastAsia="Arial" w:hAnsi="Arial"/>
          <w:sz w:val="14"/>
          <w:szCs w:val="14"/>
          <w:b w:val="1"/>
          <w:bCs w:val="1"/>
          <w:color w:val="auto"/>
        </w:rPr>
        <w:t>offering</w:t>
      </w:r>
      <w:r>
        <w:rPr>
          <w:sz w:val="20"/>
          <w:szCs w:val="20"/>
          <w:color w:val="auto"/>
        </w:rPr>
        <w:tab/>
      </w:r>
      <w:r>
        <w:rPr>
          <w:rFonts w:ascii="Arial" w:cs="Arial" w:eastAsia="Arial" w:hAnsi="Arial"/>
          <w:sz w:val="14"/>
          <w:szCs w:val="14"/>
          <w:b w:val="1"/>
          <w:bCs w:val="1"/>
          <w:color w:val="auto"/>
        </w:rPr>
        <w:t>registration</w:t>
      </w:r>
    </w:p>
    <w:p>
      <w:pPr>
        <w:ind w:left="2640"/>
        <w:spacing w:after="0"/>
        <w:tabs>
          <w:tab w:leader="none" w:pos="8500" w:val="left"/>
          <w:tab w:leader="none" w:pos="10160" w:val="left"/>
        </w:tabs>
        <w:rPr>
          <w:sz w:val="20"/>
          <w:szCs w:val="20"/>
          <w:color w:val="auto"/>
        </w:rPr>
      </w:pPr>
      <w:r>
        <w:rPr>
          <w:rFonts w:ascii="Arial" w:cs="Arial" w:eastAsia="Arial" w:hAnsi="Arial"/>
          <w:sz w:val="14"/>
          <w:szCs w:val="14"/>
          <w:b w:val="1"/>
          <w:bCs w:val="1"/>
          <w:color w:val="auto"/>
        </w:rPr>
        <w:t>Title of each class of securities to be registered</w:t>
      </w:r>
      <w:r>
        <w:rPr>
          <w:sz w:val="20"/>
          <w:szCs w:val="20"/>
          <w:color w:val="auto"/>
        </w:rPr>
        <w:tab/>
      </w:r>
      <w:r>
        <w:rPr>
          <w:rFonts w:ascii="Arial" w:cs="Arial" w:eastAsia="Arial" w:hAnsi="Arial"/>
          <w:sz w:val="14"/>
          <w:szCs w:val="14"/>
          <w:b w:val="1"/>
          <w:bCs w:val="1"/>
          <w:color w:val="auto"/>
        </w:rPr>
        <w:t xml:space="preserve">price </w:t>
      </w:r>
      <w:r>
        <w:rPr>
          <w:rFonts w:ascii="Arial" w:cs="Arial" w:eastAsia="Arial" w:hAnsi="Arial"/>
          <w:sz w:val="23"/>
          <w:szCs w:val="23"/>
          <w:b w:val="1"/>
          <w:bCs w:val="1"/>
          <w:color w:val="auto"/>
          <w:vertAlign w:val="superscript"/>
        </w:rPr>
        <w:t>(1)(2)(3)</w:t>
      </w:r>
      <w:r>
        <w:rPr>
          <w:sz w:val="20"/>
          <w:szCs w:val="20"/>
          <w:color w:val="auto"/>
        </w:rPr>
        <w:tab/>
      </w:r>
      <w:r>
        <w:rPr>
          <w:rFonts w:ascii="Arial" w:cs="Arial" w:eastAsia="Arial" w:hAnsi="Arial"/>
          <w:sz w:val="12"/>
          <w:szCs w:val="12"/>
          <w:b w:val="1"/>
          <w:bCs w:val="1"/>
          <w:color w:val="auto"/>
        </w:rPr>
        <w:t xml:space="preserve">fee </w:t>
      </w:r>
      <w:r>
        <w:rPr>
          <w:rFonts w:ascii="Arial" w:cs="Arial" w:eastAsia="Arial" w:hAnsi="Arial"/>
          <w:sz w:val="18"/>
          <w:szCs w:val="18"/>
          <w:b w:val="1"/>
          <w:bCs w:val="1"/>
          <w:color w:val="auto"/>
          <w:vertAlign w:val="superscript"/>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25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25730"/>
                    </a:xfrm>
                    <a:prstGeom prst="rect">
                      <a:avLst/>
                    </a:prstGeom>
                    <a:noFill/>
                  </pic:spPr>
                </pic:pic>
              </a:graphicData>
            </a:graphic>
          </wp:anchor>
        </w:drawing>
      </w:r>
    </w:p>
    <w:p>
      <w:pPr>
        <w:sectPr>
          <w:pgSz w:w="11900" w:h="16838" w:orient="portrait"/>
          <w:cols w:equalWidth="0" w:num="1">
            <w:col w:w="11240"/>
          </w:cols>
          <w:pgMar w:left="320" w:top="472" w:right="339" w:bottom="0" w:gutter="0" w:footer="0" w:header="0"/>
        </w:sectPr>
      </w:pPr>
    </w:p>
    <w:bookmarkStart w:id="1" w:name="page2"/>
    <w:bookmarkEnd w:id="1"/>
    <w:p>
      <w:pPr>
        <w:spacing w:after="0"/>
        <w:tabs>
          <w:tab w:leader="none" w:pos="8200" w:val="left"/>
          <w:tab w:leader="none" w:pos="9660" w:val="left"/>
        </w:tabs>
        <w:rPr>
          <w:sz w:val="20"/>
          <w:szCs w:val="20"/>
          <w:color w:val="auto"/>
        </w:rPr>
      </w:pPr>
      <w:r>
        <w:rPr>
          <w:rFonts w:ascii="Arial" w:cs="Arial" w:eastAsia="Arial" w:hAnsi="Arial"/>
          <w:sz w:val="18"/>
          <w:szCs w:val="18"/>
          <w:color w:val="auto"/>
        </w:rPr>
        <w:t>Ordinary shares, par value €  per share, as represented by American Depositary Shares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9"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3"/>
          <w:szCs w:val="13"/>
          <w:color w:val="auto"/>
        </w:rPr>
        <w:t>The ordinary shares will be represented by American Depositary Shares, or ADSs, each of which represents one ordinary share. A separate Registration Statement on Form F-6</w:t>
      </w:r>
    </w:p>
    <w:p>
      <w:pPr>
        <w:ind w:left="420"/>
        <w:spacing w:after="0"/>
        <w:tabs>
          <w:tab w:leader="none" w:pos="2240" w:val="left"/>
        </w:tabs>
        <w:rPr>
          <w:sz w:val="20"/>
          <w:szCs w:val="20"/>
          <w:color w:val="auto"/>
        </w:rPr>
      </w:pPr>
      <w:r>
        <w:rPr>
          <w:rFonts w:ascii="Arial" w:cs="Arial" w:eastAsia="Arial" w:hAnsi="Arial"/>
          <w:sz w:val="14"/>
          <w:szCs w:val="14"/>
          <w:color w:val="auto"/>
        </w:rPr>
        <w:t>(Registration No. 333-</w:t>
      </w:r>
      <w:r>
        <w:rPr>
          <w:sz w:val="20"/>
          <w:szCs w:val="20"/>
          <w:color w:val="auto"/>
        </w:rPr>
        <w:tab/>
      </w:r>
      <w:r>
        <w:rPr>
          <w:rFonts w:ascii="Arial" w:cs="Arial" w:eastAsia="Arial" w:hAnsi="Arial"/>
          <w:sz w:val="13"/>
          <w:szCs w:val="13"/>
          <w:color w:val="auto"/>
        </w:rPr>
        <w:t>) has been filed for the registration of ADSs issuable upon deposit of the ordinary shares.</w:t>
      </w:r>
    </w:p>
    <w:p>
      <w:pPr>
        <w:ind w:left="420" w:right="20" w:hanging="412"/>
        <w:spacing w:after="0" w:line="221"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4"/>
          <w:szCs w:val="14"/>
          <w:color w:val="auto"/>
        </w:rPr>
        <w:t>Pursuant to Rule 416 under the Securities Act of 1933, as amended, or the Securities Act, the ordinary shares registered hereby also include an indeterminate number of additional ordinary shares as may from time to time become issuable by reason of stock splits, stock dividends, recapitalizations or other similar transactions.</w:t>
      </w:r>
    </w:p>
    <w:p>
      <w:pPr>
        <w:ind w:left="420" w:right="400" w:hanging="412"/>
        <w:spacing w:after="0" w:line="221"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4"/>
          <w:szCs w:val="14"/>
          <w:color w:val="auto"/>
        </w:rPr>
        <w:t>Estimated solely for purposes of calculating the amount of the registration fee pursuant to Rule 457(o) under the Securities Act. Includes the offering price of ordinary shares that the underwriters have the option to purchase to cover over-allotments, if any.</w:t>
      </w:r>
    </w:p>
    <w:p>
      <w:pPr>
        <w:ind w:left="420" w:hanging="4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69" w:lineRule="exact"/>
        <w:rPr>
          <w:sz w:val="20"/>
          <w:szCs w:val="20"/>
          <w:color w:val="auto"/>
        </w:rPr>
      </w:pPr>
    </w:p>
    <w:p>
      <w:pPr>
        <w:ind w:right="40" w:firstLine="8"/>
        <w:spacing w:after="0" w:line="207" w:lineRule="auto"/>
        <w:tabs>
          <w:tab w:leader="none" w:pos="112"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We intend to change the legal form of our company under Italian law from a limited liability company (società a responsabilità limitata, or S.r.l.) to a joint stock company (società per azioni, or S.p.A.) prior to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Genenta Science S.r.l., the registrant whose name appears on the cover of this registration statement, is an Italian limited liability company (società a responsabilità limitata, or S.r.L.). Prior to the effectiveness of this registration statement, Genenta Science S.r.l. will convert into an Italian joint stock company (società per azioni, or S.p.A.) pursuant to Italian law and change its name to Genenta Science S.p.A. as described in the section “Corporate Conversion” of the prospectus. In the prospectus, we refer to our conversion to a corporation as the “Corporate Conversion.” As a result of the Corporate Conversion, the holders of the different classes of equity, or quotas, of Genenta Science S.r.l. will become holders of ordinary shares of Genenta Science S.p.A. Except as disclosed in the prospectus, the financial statements and selected historical financial data and other financial information included in this registration statement are those of Genenta Science S.r.l. and do not give effect to the Corporate Conversion. Upon the Corporate Conversion, the financial statements and selected historical financial data and other financial information of Genenta Science S.r.l. included in this registration statement will become the financial statements and selected historical financial data and other financial information of Genenta Science S.p.A. Ordinary shares of Genenta Science S.p.A. in the form of American Depositary Shares are being offered by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right="80"/>
        <w:spacing w:after="0" w:line="266" w:lineRule="auto"/>
        <w:rPr>
          <w:sz w:val="20"/>
          <w:szCs w:val="20"/>
          <w:color w:val="auto"/>
        </w:rPr>
      </w:pPr>
      <w:r>
        <w:rPr>
          <w:rFonts w:ascii="Arial" w:cs="Arial" w:eastAsia="Arial" w:hAnsi="Arial"/>
          <w:sz w:val="16"/>
          <w:szCs w:val="16"/>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APRIL 22,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PRELIMINARY PROSPECTUS</w:t>
      </w:r>
    </w:p>
    <w:p>
      <w:pPr>
        <w:spacing w:after="0" w:line="247" w:lineRule="exact"/>
        <w:rPr>
          <w:sz w:val="20"/>
          <w:szCs w:val="20"/>
          <w:color w:val="auto"/>
        </w:rPr>
      </w:pPr>
    </w:p>
    <w:p>
      <w:pPr>
        <w:ind w:left="4420"/>
        <w:spacing w:after="0"/>
        <w:rPr>
          <w:sz w:val="20"/>
          <w:szCs w:val="20"/>
          <w:color w:val="auto"/>
        </w:rPr>
      </w:pPr>
      <w:r>
        <w:rPr>
          <w:rFonts w:ascii="Arial" w:cs="Arial" w:eastAsia="Arial" w:hAnsi="Arial"/>
          <w:sz w:val="25"/>
          <w:szCs w:val="25"/>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174625</wp:posOffset>
            </wp:positionV>
            <wp:extent cx="145732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73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80" w:type="dxa"/>
            <w:vAlign w:val="bottom"/>
            <w:gridSpan w:val="2"/>
          </w:tcPr>
          <w:p>
            <w:pPr>
              <w:ind w:left="1000"/>
              <w:spacing w:after="0"/>
              <w:rPr>
                <w:sz w:val="20"/>
                <w:szCs w:val="20"/>
                <w:color w:val="auto"/>
              </w:rPr>
            </w:pPr>
            <w:r>
              <w:rPr>
                <w:rFonts w:ascii="Arial" w:cs="Arial" w:eastAsia="Arial" w:hAnsi="Arial"/>
                <w:sz w:val="25"/>
                <w:szCs w:val="25"/>
                <w:b w:val="1"/>
                <w:bCs w:val="1"/>
                <w:color w:val="auto"/>
              </w:rPr>
              <w:t>Representing</w:t>
            </w:r>
          </w:p>
        </w:tc>
        <w:tc>
          <w:tcPr>
            <w:tcW w:w="5380" w:type="dxa"/>
            <w:vAlign w:val="bottom"/>
            <w:gridSpan w:val="2"/>
          </w:tcPr>
          <w:p>
            <w:pPr>
              <w:ind w:left="440"/>
              <w:spacing w:after="0"/>
              <w:rPr>
                <w:sz w:val="20"/>
                <w:szCs w:val="20"/>
                <w:color w:val="auto"/>
              </w:rPr>
            </w:pPr>
            <w:r>
              <w:rPr>
                <w:rFonts w:ascii="Arial" w:cs="Arial" w:eastAsia="Arial" w:hAnsi="Arial"/>
                <w:sz w:val="25"/>
                <w:szCs w:val="25"/>
                <w:b w:val="1"/>
                <w:bCs w:val="1"/>
                <w:color w:val="auto"/>
              </w:rPr>
              <w:t>Ordinary Shares</w:t>
            </w:r>
          </w:p>
        </w:tc>
      </w:tr>
      <w:tr>
        <w:trPr>
          <w:trHeight w:val="235"/>
        </w:trPr>
        <w:tc>
          <w:tcPr>
            <w:tcW w:w="340" w:type="dxa"/>
            <w:vAlign w:val="bottom"/>
          </w:tcPr>
          <w:p>
            <w:pPr>
              <w:spacing w:after="0"/>
              <w:rPr>
                <w:sz w:val="20"/>
                <w:szCs w:val="20"/>
                <w:color w:val="auto"/>
              </w:rPr>
            </w:pPr>
          </w:p>
        </w:tc>
        <w:tc>
          <w:tcPr>
            <w:tcW w:w="2220" w:type="dxa"/>
            <w:vAlign w:val="bottom"/>
            <w:gridSpan w:val="2"/>
          </w:tcPr>
          <w:p>
            <w:pPr>
              <w:spacing w:after="0"/>
              <w:rPr>
                <w:sz w:val="20"/>
                <w:szCs w:val="20"/>
                <w:color w:val="auto"/>
              </w:rPr>
            </w:pPr>
          </w:p>
        </w:tc>
        <w:tc>
          <w:tcPr>
            <w:tcW w:w="2100" w:type="dxa"/>
            <w:vAlign w:val="bottom"/>
          </w:tcPr>
          <w:p>
            <w:pPr>
              <w:spacing w:after="0"/>
              <w:rPr>
                <w:sz w:val="20"/>
                <w:szCs w:val="20"/>
                <w:color w:val="auto"/>
              </w:rPr>
            </w:pPr>
          </w:p>
        </w:tc>
        <w:tc>
          <w:tcPr>
            <w:tcW w:w="1940" w:type="dxa"/>
            <w:vAlign w:val="bottom"/>
            <w:tcBorders>
              <w:bottom w:val="single" w:sz="8" w:color="auto"/>
            </w:tcBorders>
            <w:gridSpan w:val="2"/>
          </w:tcPr>
          <w:p>
            <w:pPr>
              <w:spacing w:after="0"/>
              <w:rPr>
                <w:sz w:val="20"/>
                <w:szCs w:val="20"/>
                <w:color w:val="auto"/>
              </w:rPr>
            </w:pPr>
          </w:p>
        </w:tc>
        <w:tc>
          <w:tcPr>
            <w:tcW w:w="4220" w:type="dxa"/>
            <w:vAlign w:val="bottom"/>
          </w:tcPr>
          <w:p>
            <w:pPr>
              <w:spacing w:after="0"/>
              <w:rPr>
                <w:sz w:val="20"/>
                <w:szCs w:val="20"/>
                <w:color w:val="auto"/>
              </w:rPr>
            </w:pPr>
          </w:p>
        </w:tc>
      </w:tr>
      <w:tr>
        <w:trPr>
          <w:trHeight w:val="425"/>
        </w:trPr>
        <w:tc>
          <w:tcPr>
            <w:tcW w:w="340" w:type="dxa"/>
            <w:vAlign w:val="bottom"/>
          </w:tcPr>
          <w:p>
            <w:pPr>
              <w:spacing w:after="0"/>
              <w:rPr>
                <w:sz w:val="24"/>
                <w:szCs w:val="24"/>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We are offering up to</w:t>
            </w:r>
          </w:p>
        </w:tc>
        <w:tc>
          <w:tcPr>
            <w:tcW w:w="8260" w:type="dxa"/>
            <w:vAlign w:val="bottom"/>
            <w:gridSpan w:val="4"/>
          </w:tcPr>
          <w:p>
            <w:pPr>
              <w:ind w:left="380"/>
              <w:spacing w:after="0"/>
              <w:rPr>
                <w:sz w:val="20"/>
                <w:szCs w:val="20"/>
                <w:color w:val="auto"/>
              </w:rPr>
            </w:pPr>
            <w:r>
              <w:rPr>
                <w:rFonts w:ascii="Arial" w:cs="Arial" w:eastAsia="Arial" w:hAnsi="Arial"/>
                <w:sz w:val="18"/>
                <w:szCs w:val="18"/>
                <w:color w:val="auto"/>
                <w:w w:val="91"/>
              </w:rPr>
              <w:t>American Depositary Shares, or ADSs, in an initial public offering. Each ADS represents one of our ordinary</w:t>
            </w:r>
          </w:p>
        </w:tc>
      </w:tr>
      <w:tr>
        <w:trPr>
          <w:trHeight w:val="230"/>
        </w:trPr>
        <w:tc>
          <w:tcPr>
            <w:tcW w:w="10820" w:type="dxa"/>
            <w:vAlign w:val="bottom"/>
            <w:gridSpan w:val="7"/>
          </w:tcPr>
          <w:p>
            <w:pPr>
              <w:spacing w:after="0"/>
              <w:rPr>
                <w:sz w:val="20"/>
                <w:szCs w:val="20"/>
                <w:color w:val="auto"/>
              </w:rPr>
            </w:pPr>
            <w:r>
              <w:rPr>
                <w:rFonts w:ascii="Arial" w:cs="Arial" w:eastAsia="Arial" w:hAnsi="Arial"/>
                <w:sz w:val="18"/>
                <w:szCs w:val="18"/>
                <w:color w:val="auto"/>
              </w:rPr>
              <w:t>shares, par value €  per share, or ordinary shares. The ADSs may be evidenced by American Depositary Receipts, or ADRs.</w:t>
            </w:r>
          </w:p>
        </w:tc>
      </w:tr>
      <w:tr>
        <w:trPr>
          <w:trHeight w:val="445"/>
        </w:trPr>
        <w:tc>
          <w:tcPr>
            <w:tcW w:w="340" w:type="dxa"/>
            <w:vAlign w:val="bottom"/>
          </w:tcPr>
          <w:p>
            <w:pPr>
              <w:spacing w:after="0"/>
              <w:rPr>
                <w:sz w:val="24"/>
                <w:szCs w:val="24"/>
                <w:color w:val="auto"/>
              </w:rPr>
            </w:pPr>
          </w:p>
        </w:tc>
        <w:tc>
          <w:tcPr>
            <w:tcW w:w="10480" w:type="dxa"/>
            <w:vAlign w:val="bottom"/>
            <w:gridSpan w:val="6"/>
          </w:tcPr>
          <w:p>
            <w:pPr>
              <w:ind w:left="320"/>
              <w:spacing w:after="0"/>
              <w:rPr>
                <w:sz w:val="20"/>
                <w:szCs w:val="20"/>
                <w:color w:val="auto"/>
              </w:rPr>
            </w:pPr>
            <w:r>
              <w:rPr>
                <w:rFonts w:ascii="Arial" w:cs="Arial" w:eastAsia="Arial" w:hAnsi="Arial"/>
                <w:sz w:val="18"/>
                <w:szCs w:val="18"/>
                <w:color w:val="auto"/>
                <w:w w:val="92"/>
              </w:rPr>
              <w:t>No public market currently exists for the ADSs or ordinary shares. We estimate the initial public offering price of the ADSs will be between</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and $</w:t>
            </w:r>
          </w:p>
        </w:tc>
        <w:tc>
          <w:tcPr>
            <w:tcW w:w="9520" w:type="dxa"/>
            <w:vAlign w:val="bottom"/>
            <w:gridSpan w:val="5"/>
          </w:tcPr>
          <w:p>
            <w:pPr>
              <w:ind w:left="320"/>
              <w:spacing w:after="0"/>
              <w:rPr>
                <w:sz w:val="20"/>
                <w:szCs w:val="20"/>
                <w:color w:val="auto"/>
              </w:rPr>
            </w:pPr>
            <w:r>
              <w:rPr>
                <w:rFonts w:ascii="Arial" w:cs="Arial" w:eastAsia="Arial" w:hAnsi="Arial"/>
                <w:sz w:val="18"/>
                <w:szCs w:val="18"/>
                <w:color w:val="auto"/>
                <w:w w:val="96"/>
              </w:rPr>
              <w:t>per ADS. We refer to the ADSs, and the underlying ordinary shares being offered hereby, collectively, as the securities.</w:t>
            </w:r>
          </w:p>
        </w:tc>
      </w:tr>
    </w:tbl>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plan to apply to list the ADSs on the Nasdaq Capital Market, or Nasdaq, under the symbol “GNTA.” There can be no assurance that we will be successful in listing the ADSs on Nasdaq.</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are an “emerging growth company” and a “foreign private issuer” under applicable U.S. federal securities laws and are eligible for reduced public company reporting requirements. See “Prospectus Summary—Implications of Being an Emerging Growth Company” and “Prospectus Summary— Implications of Being a Foreign Private Issuer”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142875</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b w:val="1"/>
          <w:bCs w:val="1"/>
          <w:color w:val="auto"/>
        </w:rPr>
        <w:t>Investing in our securities involves a high degree of risk, including the risk of losing your entire investment. See “Risk Factors” beginning on page 12 of this prospectus for a discussion of information that should be considered in connection with an investment in our securities.</w:t>
      </w:r>
    </w:p>
    <w:p>
      <w:pPr>
        <w:spacing w:after="0" w:line="143" w:lineRule="exact"/>
        <w:rPr>
          <w:sz w:val="20"/>
          <w:szCs w:val="20"/>
          <w:color w:val="auto"/>
        </w:rPr>
      </w:pPr>
    </w:p>
    <w:p>
      <w:pPr>
        <w:ind w:right="340" w:firstLine="648"/>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or foreign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102235</wp:posOffset>
            </wp:positionV>
            <wp:extent cx="1234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40" w:type="dxa"/>
            <w:vAlign w:val="bottom"/>
          </w:tcPr>
          <w:p>
            <w:pPr>
              <w:jc w:val="right"/>
              <w:ind w:right="327"/>
              <w:spacing w:after="0"/>
              <w:rPr>
                <w:sz w:val="20"/>
                <w:szCs w:val="20"/>
                <w:color w:val="auto"/>
              </w:rPr>
            </w:pPr>
            <w:r>
              <w:rPr>
                <w:rFonts w:ascii="Arial" w:cs="Arial" w:eastAsia="Arial" w:hAnsi="Arial"/>
                <w:sz w:val="14"/>
                <w:szCs w:val="14"/>
                <w:b w:val="1"/>
                <w:bCs w:val="1"/>
                <w:color w:val="auto"/>
              </w:rPr>
              <w:t>Per ADS</w:t>
            </w:r>
          </w:p>
        </w:tc>
        <w:tc>
          <w:tcPr>
            <w:tcW w:w="120" w:type="dxa"/>
            <w:vAlign w:val="bottom"/>
          </w:tcPr>
          <w:p>
            <w:pPr>
              <w:spacing w:after="0"/>
              <w:rPr>
                <w:sz w:val="15"/>
                <w:szCs w:val="15"/>
                <w:color w:val="auto"/>
              </w:rPr>
            </w:pPr>
          </w:p>
        </w:tc>
        <w:tc>
          <w:tcPr>
            <w:tcW w:w="144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r>
      <w:tr>
        <w:trPr>
          <w:trHeight w:val="216"/>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5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5780" w:type="dxa"/>
            <w:vAlign w:val="bottom"/>
          </w:tcPr>
          <w:p>
            <w:pPr>
              <w:spacing w:after="0" w:line="256"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29"/>
                <w:szCs w:val="29"/>
                <w:color w:val="auto"/>
                <w:vertAlign w:val="superscript"/>
              </w:rPr>
              <w:t>(1)</w:t>
            </w:r>
          </w:p>
        </w:tc>
        <w:tc>
          <w:tcPr>
            <w:tcW w:w="3900" w:type="dxa"/>
            <w:vAlign w:val="bottom"/>
            <w:gridSpan w:val="2"/>
          </w:tcPr>
          <w:p>
            <w:pPr>
              <w:jc w:val="right"/>
              <w:ind w:right="1187"/>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18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900" w:type="dxa"/>
            <w:vAlign w:val="bottom"/>
            <w:gridSpan w:val="2"/>
            <w:shd w:val="clear" w:color="auto" w:fill="CCEEFF"/>
          </w:tcPr>
          <w:p>
            <w:pPr>
              <w:jc w:val="right"/>
              <w:ind w:right="118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18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45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31" w:lineRule="exact"/>
        <w:rPr>
          <w:sz w:val="20"/>
          <w:szCs w:val="20"/>
          <w:color w:val="auto"/>
        </w:rPr>
      </w:pPr>
    </w:p>
    <w:p>
      <w:pPr>
        <w:ind w:left="340" w:right="720" w:hanging="332"/>
        <w:spacing w:after="0" w:line="253"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We have agreed to reimburse the underwriters for certain expenses. See “Underwriting” beginning on page 189 of this prospectus for additional disclosure regarding underwriter compensation and offering expenses.</w:t>
      </w:r>
    </w:p>
    <w:p>
      <w:pPr>
        <w:spacing w:after="0" w:line="205" w:lineRule="exact"/>
        <w:rPr>
          <w:sz w:val="20"/>
          <w:szCs w:val="20"/>
          <w:color w:val="auto"/>
        </w:rPr>
      </w:pPr>
    </w:p>
    <w:p>
      <w:pPr>
        <w:ind w:left="1100" w:right="1180" w:hanging="443"/>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up to an additional ADSs to cover over-allotments, if 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ind w:left="660"/>
              <w:spacing w:after="0"/>
              <w:rPr>
                <w:sz w:val="20"/>
                <w:szCs w:val="20"/>
                <w:color w:val="auto"/>
              </w:rPr>
            </w:pPr>
            <w:r>
              <w:rPr>
                <w:rFonts w:ascii="Arial" w:cs="Arial" w:eastAsia="Arial" w:hAnsi="Arial"/>
                <w:sz w:val="18"/>
                <w:szCs w:val="18"/>
                <w:color w:val="auto"/>
                <w:w w:val="97"/>
              </w:rPr>
              <w:t>Delivery of the ADSs will be made on or about</w:t>
            </w:r>
          </w:p>
        </w:tc>
        <w:tc>
          <w:tcPr>
            <w:tcW w:w="6980" w:type="dxa"/>
            <w:vAlign w:val="bottom"/>
            <w:gridSpan w:val="2"/>
          </w:tcPr>
          <w:p>
            <w:pPr>
              <w:jc w:val="right"/>
              <w:ind w:right="2774"/>
              <w:spacing w:after="0"/>
              <w:rPr>
                <w:sz w:val="20"/>
                <w:szCs w:val="20"/>
                <w:color w:val="auto"/>
              </w:rPr>
            </w:pPr>
            <w:r>
              <w:rPr>
                <w:rFonts w:ascii="Arial" w:cs="Arial" w:eastAsia="Arial" w:hAnsi="Arial"/>
                <w:sz w:val="18"/>
                <w:szCs w:val="18"/>
                <w:color w:val="auto"/>
              </w:rPr>
              <w:t>, 2021, subject to customary closing conditions.</w:t>
            </w:r>
          </w:p>
        </w:tc>
      </w:tr>
      <w:tr>
        <w:trPr>
          <w:trHeight w:val="459"/>
        </w:trPr>
        <w:tc>
          <w:tcPr>
            <w:tcW w:w="426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Arial" w:cs="Arial" w:eastAsia="Arial" w:hAnsi="Arial"/>
                <w:sz w:val="18"/>
                <w:szCs w:val="18"/>
                <w:b w:val="1"/>
                <w:bCs w:val="1"/>
                <w:i w:val="1"/>
                <w:iCs w:val="1"/>
                <w:color w:val="auto"/>
                <w:w w:val="88"/>
              </w:rPr>
              <w:t>Joint Book-Running Managers</w:t>
            </w:r>
          </w:p>
        </w:tc>
        <w:tc>
          <w:tcPr>
            <w:tcW w:w="4460" w:type="dxa"/>
            <w:vAlign w:val="bottom"/>
          </w:tcPr>
          <w:p>
            <w:pPr>
              <w:spacing w:after="0"/>
              <w:rPr>
                <w:sz w:val="24"/>
                <w:szCs w:val="24"/>
                <w:color w:val="auto"/>
              </w:rPr>
            </w:pPr>
          </w:p>
        </w:tc>
      </w:tr>
      <w:tr>
        <w:trPr>
          <w:trHeight w:val="623"/>
        </w:trPr>
        <w:tc>
          <w:tcPr>
            <w:tcW w:w="4260" w:type="dxa"/>
            <w:vAlign w:val="bottom"/>
          </w:tcPr>
          <w:p>
            <w:pPr>
              <w:spacing w:after="0"/>
              <w:rPr>
                <w:sz w:val="20"/>
                <w:szCs w:val="20"/>
                <w:color w:val="auto"/>
              </w:rPr>
            </w:pPr>
            <w:r>
              <w:rPr>
                <w:rFonts w:ascii="Arial" w:cs="Arial" w:eastAsia="Arial" w:hAnsi="Arial"/>
                <w:sz w:val="32"/>
                <w:szCs w:val="32"/>
                <w:b w:val="1"/>
                <w:bCs w:val="1"/>
                <w:color w:val="auto"/>
              </w:rPr>
              <w:t>Canaccord Genuity</w:t>
            </w:r>
          </w:p>
        </w:tc>
        <w:tc>
          <w:tcPr>
            <w:tcW w:w="2520" w:type="dxa"/>
            <w:vAlign w:val="bottom"/>
          </w:tcPr>
          <w:p>
            <w:pPr>
              <w:spacing w:after="0"/>
              <w:rPr>
                <w:sz w:val="24"/>
                <w:szCs w:val="24"/>
                <w:color w:val="auto"/>
              </w:rPr>
            </w:pPr>
          </w:p>
        </w:tc>
        <w:tc>
          <w:tcPr>
            <w:tcW w:w="4460" w:type="dxa"/>
            <w:vAlign w:val="bottom"/>
          </w:tcPr>
          <w:p>
            <w:pPr>
              <w:jc w:val="right"/>
              <w:spacing w:after="0"/>
              <w:rPr>
                <w:sz w:val="20"/>
                <w:szCs w:val="20"/>
                <w:color w:val="auto"/>
              </w:rPr>
            </w:pPr>
            <w:r>
              <w:rPr>
                <w:rFonts w:ascii="Arial" w:cs="Arial" w:eastAsia="Arial" w:hAnsi="Arial"/>
                <w:sz w:val="32"/>
                <w:szCs w:val="32"/>
                <w:b w:val="1"/>
                <w:bCs w:val="1"/>
                <w:color w:val="auto"/>
              </w:rPr>
              <w:t>Roth Capital Partners</w:t>
            </w:r>
          </w:p>
        </w:tc>
      </w:tr>
      <w:tr>
        <w:trPr>
          <w:trHeight w:val="444"/>
        </w:trPr>
        <w:tc>
          <w:tcPr>
            <w:tcW w:w="6780" w:type="dxa"/>
            <w:vAlign w:val="bottom"/>
            <w:gridSpan w:val="2"/>
          </w:tcPr>
          <w:p>
            <w:pPr>
              <w:ind w:left="4020"/>
              <w:spacing w:after="0"/>
              <w:rPr>
                <w:sz w:val="20"/>
                <w:szCs w:val="20"/>
                <w:color w:val="auto"/>
              </w:rPr>
            </w:pPr>
            <w:r>
              <w:rPr>
                <w:rFonts w:ascii="Arial" w:cs="Arial" w:eastAsia="Arial" w:hAnsi="Arial"/>
                <w:sz w:val="18"/>
                <w:szCs w:val="18"/>
                <w:color w:val="auto"/>
              </w:rPr>
              <w:t>The date of this prospectus is</w:t>
            </w:r>
          </w:p>
        </w:tc>
        <w:tc>
          <w:tcPr>
            <w:tcW w:w="4460" w:type="dxa"/>
            <w:vAlign w:val="bottom"/>
          </w:tcPr>
          <w:p>
            <w:pPr>
              <w:jc w:val="right"/>
              <w:ind w:right="3874"/>
              <w:spacing w:after="0"/>
              <w:rPr>
                <w:sz w:val="20"/>
                <w:szCs w:val="20"/>
                <w:color w:val="auto"/>
              </w:rPr>
            </w:pPr>
            <w:r>
              <w:rPr>
                <w:rFonts w:ascii="Arial" w:cs="Arial" w:eastAsia="Arial" w:hAnsi="Arial"/>
                <w:sz w:val="18"/>
                <w:szCs w:val="18"/>
                <w:color w:val="auto"/>
                <w:w w:val="87"/>
              </w:rPr>
              <w:t>, 2021</w:t>
            </w:r>
          </w:p>
        </w:tc>
      </w:tr>
      <w:tr>
        <w:trPr>
          <w:trHeight w:val="466"/>
        </w:trPr>
        <w:tc>
          <w:tcPr>
            <w:tcW w:w="42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40" w:type="dxa"/>
            <w:vAlign w:val="bottom"/>
            <w:gridSpan w:val="3"/>
          </w:tcPr>
          <w:p>
            <w:pPr>
              <w:ind w:left="5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66"/>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41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540" w:type="dxa"/>
            <w:vAlign w:val="bottom"/>
            <w:tcBorders>
              <w:bottom w:val="single" w:sz="8" w:color="0000EE"/>
            </w:tcBorders>
            <w:gridSpan w:val="10"/>
            <w:shd w:val="clear" w:color="auto" w:fill="CCEEFF"/>
          </w:tcPr>
          <w:p>
            <w:pPr>
              <w:spacing w:after="0" w:line="142" w:lineRule="exact"/>
              <w:rPr>
                <w:rFonts w:ascii="Arial" w:cs="Arial" w:eastAsia="Arial" w:hAnsi="Arial"/>
                <w:sz w:val="16"/>
                <w:szCs w:val="16"/>
                <w:color w:val="0000EE"/>
                <w:w w:val="99"/>
              </w:rPr>
            </w:pPr>
            <w:hyperlink w:anchor="page7">
              <w:r>
                <w:rPr>
                  <w:rFonts w:ascii="Arial" w:cs="Arial" w:eastAsia="Arial" w:hAnsi="Arial"/>
                  <w:sz w:val="16"/>
                  <w:szCs w:val="16"/>
                  <w:color w:val="0000EE"/>
                  <w:w w:val="99"/>
                </w:rPr>
                <w:t>Prospectus Summary</w:t>
              </w:r>
            </w:hyperlink>
          </w:p>
        </w:tc>
        <w:tc>
          <w:tcPr>
            <w:tcW w:w="90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Cautionary Note Regarding Forward-Looking Statements</w:t>
              </w:r>
            </w:hyperlink>
          </w:p>
        </w:tc>
        <w:tc>
          <w:tcPr>
            <w:tcW w:w="64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Use of Proceeds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Dividend Policy</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Corporate Conversion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Capitalization</w:t>
              </w:r>
            </w:hyperlink>
          </w:p>
        </w:tc>
        <w:tc>
          <w:tcPr>
            <w:tcW w:w="958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Dilution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77</w:t>
            </w:r>
          </w:p>
        </w:tc>
      </w:tr>
      <w:tr>
        <w:trPr>
          <w:trHeight w:val="175"/>
        </w:trPr>
        <w:tc>
          <w:tcPr>
            <w:tcW w:w="646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Business</w:t>
              </w:r>
            </w:hyperlink>
          </w:p>
        </w:tc>
        <w:tc>
          <w:tcPr>
            <w:tcW w:w="41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90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144">
              <w:r>
                <w:rPr>
                  <w:rFonts w:ascii="Arial" w:cs="Arial" w:eastAsia="Arial" w:hAnsi="Arial"/>
                  <w:sz w:val="18"/>
                  <w:szCs w:val="18"/>
                  <w:color w:val="0000EE"/>
                </w:rPr>
                <w:t>Management</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135</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153">
              <w:r>
                <w:rPr>
                  <w:rFonts w:ascii="Arial" w:cs="Arial" w:eastAsia="Arial" w:hAnsi="Arial"/>
                  <w:sz w:val="18"/>
                  <w:szCs w:val="18"/>
                  <w:color w:val="0000EE"/>
                </w:rPr>
                <w:t>Beneficial Ownership of Principal Shareholders and Management</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144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154">
              <w:r>
                <w:rPr>
                  <w:rFonts w:ascii="Arial" w:cs="Arial" w:eastAsia="Arial" w:hAnsi="Arial"/>
                  <w:sz w:val="18"/>
                  <w:szCs w:val="18"/>
                  <w:color w:val="0000EE"/>
                </w:rPr>
                <w:t>Related Party Transactions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145</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157">
              <w:r>
                <w:rPr>
                  <w:rFonts w:ascii="Arial" w:cs="Arial" w:eastAsia="Arial" w:hAnsi="Arial"/>
                  <w:sz w:val="18"/>
                  <w:szCs w:val="18"/>
                  <w:color w:val="0000EE"/>
                </w:rPr>
                <w:t>Description of Share Capital and Governing Documents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148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w:anchor="page168">
              <w:r>
                <w:rPr>
                  <w:rFonts w:ascii="Arial" w:cs="Arial" w:eastAsia="Arial" w:hAnsi="Arial"/>
                  <w:sz w:val="18"/>
                  <w:szCs w:val="18"/>
                  <w:color w:val="0000EE"/>
                  <w:w w:val="91"/>
                </w:rPr>
                <w:t>Description of American Depositary Shares</w:t>
              </w:r>
            </w:hyperlink>
          </w:p>
        </w:tc>
        <w:tc>
          <w:tcPr>
            <w:tcW w:w="744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159</w:t>
            </w: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176">
              <w:r>
                <w:rPr>
                  <w:rFonts w:ascii="Arial" w:cs="Arial" w:eastAsia="Arial" w:hAnsi="Arial"/>
                  <w:sz w:val="18"/>
                  <w:szCs w:val="18"/>
                  <w:color w:val="0000EE"/>
                </w:rPr>
                <w:t>Comparison of Italian Law and Delaware Law</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167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191">
              <w:r>
                <w:rPr>
                  <w:rFonts w:ascii="Arial" w:cs="Arial" w:eastAsia="Arial" w:hAnsi="Arial"/>
                  <w:sz w:val="18"/>
                  <w:szCs w:val="18"/>
                  <w:color w:val="0000EE"/>
                  <w:w w:val="89"/>
                </w:rPr>
                <w:t>Taxation</w:t>
              </w:r>
            </w:hyperlink>
          </w:p>
        </w:tc>
        <w:tc>
          <w:tcPr>
            <w:tcW w:w="996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182</w:t>
            </w: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198">
              <w:r>
                <w:rPr>
                  <w:rFonts w:ascii="Arial" w:cs="Arial" w:eastAsia="Arial" w:hAnsi="Arial"/>
                  <w:sz w:val="18"/>
                  <w:szCs w:val="18"/>
                  <w:color w:val="0000EE"/>
                </w:rPr>
                <w:t>Underwriting</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189</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206">
              <w:r>
                <w:rPr>
                  <w:rFonts w:ascii="Arial" w:cs="Arial" w:eastAsia="Arial" w:hAnsi="Arial"/>
                  <w:sz w:val="18"/>
                  <w:szCs w:val="18"/>
                  <w:color w:val="0000EE"/>
                </w:rPr>
                <w:t>Expenses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206">
              <w:r>
                <w:rPr>
                  <w:rFonts w:ascii="Arial" w:cs="Arial" w:eastAsia="Arial" w:hAnsi="Arial"/>
                  <w:sz w:val="18"/>
                  <w:szCs w:val="18"/>
                  <w:color w:val="0000EE"/>
                </w:rPr>
                <w:t>Legal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206">
              <w:r>
                <w:rPr>
                  <w:rFonts w:ascii="Arial" w:cs="Arial" w:eastAsia="Arial" w:hAnsi="Arial"/>
                  <w:sz w:val="18"/>
                  <w:szCs w:val="18"/>
                  <w:color w:val="0000EE"/>
                  <w:w w:val="88"/>
                </w:rPr>
                <w:t>Experts</w:t>
              </w:r>
            </w:hyperlink>
          </w:p>
        </w:tc>
        <w:tc>
          <w:tcPr>
            <w:tcW w:w="100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206">
              <w:r>
                <w:rPr>
                  <w:rFonts w:ascii="Arial" w:cs="Arial" w:eastAsia="Arial" w:hAnsi="Arial"/>
                  <w:sz w:val="18"/>
                  <w:szCs w:val="18"/>
                  <w:color w:val="0000EE"/>
                </w:rPr>
                <w:t>Enforceability of Civil Liabilities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3"/>
              </w:rPr>
            </w:pPr>
            <w:hyperlink w:anchor="page207">
              <w:r>
                <w:rPr>
                  <w:rFonts w:ascii="Arial" w:cs="Arial" w:eastAsia="Arial" w:hAnsi="Arial"/>
                  <w:sz w:val="18"/>
                  <w:szCs w:val="18"/>
                  <w:color w:val="0000EE"/>
                  <w:w w:val="93"/>
                </w:rPr>
                <w:t>Where You Can Find Additional Information</w:t>
              </w:r>
            </w:hyperlink>
          </w:p>
        </w:tc>
        <w:tc>
          <w:tcPr>
            <w:tcW w:w="734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198</w:t>
            </w: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208">
              <w:r>
                <w:rPr>
                  <w:rFonts w:ascii="Arial" w:cs="Arial" w:eastAsia="Arial" w:hAnsi="Arial"/>
                  <w:sz w:val="18"/>
                  <w:szCs w:val="18"/>
                  <w:color w:val="0000EE"/>
                </w:rPr>
                <w:t>Index of Financial Statements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F-1</w:t>
            </w:r>
          </w:p>
        </w:tc>
      </w:tr>
      <w:tr>
        <w:trPr>
          <w:trHeight w:val="486"/>
        </w:trPr>
        <w:tc>
          <w:tcPr>
            <w:tcW w:w="5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ind w:right="60" w:firstLine="648"/>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securities, and seeking offers to buy our securities, only in jurisdictions where offers and sales are permitted. The information in this prospectus is accurate only as of the date of this prospectus, regardless of the time of delivery of this prospectus or any sale of our securities.</w:t>
      </w:r>
    </w:p>
    <w:p>
      <w:pPr>
        <w:spacing w:after="0" w:line="18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organized under the laws of Italy and our registered office and domicile is located in Milan, Italy.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 Moreover, the chairman of the Board, the CEO and most of our directors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Italian counsel that there is doubt as to the enforceability in Italy of original actions, or in actions for enforcement of judgments of U.S. courts, of civil liabilities to the extent solely predicated upon the federal and state securities laws of the United States. See “Enforceability of Civil Liabilities” in this prospectus for additional information.</w:t>
      </w:r>
    </w:p>
    <w:p>
      <w:pPr>
        <w:spacing w:after="0" w:line="212"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Prior to the completion of this offering, we intend to change the legal form of our company under Italian law from a limited liability company (società a responsabilità limitata, or S.r.l.) to a joint stock company (società per azioni, or S.p.A.). Unless otherwise indicated or the context otherwise requires, all references in this prospectus to the terms “we,” “us,” “our,” the “Company” and “Genenta” refer to Genenta Science S.p.A. after the transformation of Genenta Science S.r.l. to a joint stock company, which is expected to occur prior to the completion of this offering. See “Corporate Conversion” in this prospectus for additional information.</w:t>
      </w:r>
    </w:p>
    <w:p>
      <w:pPr>
        <w:spacing w:after="0" w:line="21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All trademarks or trade names referred to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reporting currency and functional currency is the Euro. Unless otherwise expressly stated or the context otherwise requires, references in this prospectus to “dollars,” “USD” or “$” mean U.S. dollars, and references to “euros,” “EUR” or “€” are to the European Union euros. U.S. dollar translations of EUR amounts presented in this prospectus were done on different dates in accordance with the date as of such entry in our books and are derived from our audited financial statements included elsewhere in this prospectus. U.S. dollar translations of EUR amounts presented in this prospectus that are not derived from our audited financial statements included elsewhere in this prospectus are translated using the rate of EUR 1.00 to $ , based on the euro foreign exchange reference rate provided by the European Central Bank on , 2021.</w:t>
      </w:r>
    </w:p>
    <w:p>
      <w:pPr>
        <w:spacing w:after="0" w:line="20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This prospectus includes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65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7650480"/>
                    </a:xfrm>
                    <a:prstGeom prst="rect">
                      <a:avLst/>
                    </a:prstGeom>
                    <a:noFill/>
                  </pic:spPr>
                </pic:pic>
              </a:graphicData>
            </a:graphic>
          </wp:anchor>
        </w:drawing>
        <w:t>PROSPECTUS SUMMARY</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proprietary platform. Our proprietary platform consists of (i) the Tie-2 promoter, that drives transgene sequence transcription specifically in TEMs, and</w:t>
      </w:r>
    </w:p>
    <w:p>
      <w:pPr>
        <w:spacing w:after="0" w:line="32" w:lineRule="exact"/>
        <w:rPr>
          <w:sz w:val="20"/>
          <w:szCs w:val="20"/>
          <w:color w:val="auto"/>
        </w:rPr>
      </w:pPr>
    </w:p>
    <w:p>
      <w:pPr>
        <w:ind w:right="360" w:firstLine="5"/>
        <w:spacing w:after="0" w:line="260"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miRNA-126 target sequences to downregulate transgene expression post-transcription in those cells where the Tie-2 promoter is active and the miRNA-126 is present. We believe there are many advantages to our approach:</w:t>
      </w:r>
    </w:p>
    <w:p>
      <w:pPr>
        <w:spacing w:after="0" w:line="212" w:lineRule="exact"/>
        <w:rPr>
          <w:rFonts w:ascii="Arial" w:cs="Arial" w:eastAsia="Arial" w:hAnsi="Arial"/>
          <w:sz w:val="18"/>
          <w:szCs w:val="18"/>
          <w:color w:val="auto"/>
        </w:rPr>
      </w:pPr>
    </w:p>
    <w:p>
      <w:pPr>
        <w:ind w:left="660" w:right="40" w:hanging="331"/>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60" w:hanging="331"/>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240" w:hanging="331"/>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Potential Long-Term Effect: </w:t>
      </w:r>
      <w:r>
        <w:rPr>
          <w:rFonts w:ascii="Arial" w:cs="Arial" w:eastAsia="Arial" w:hAnsi="Arial"/>
          <w:sz w:val="17"/>
          <w:szCs w:val="17"/>
          <w:color w:val="auto"/>
        </w:rPr>
        <w:t>Through the use of stem cells, our candidate is designed to be a “</w:t>
      </w:r>
      <w:r>
        <w:rPr>
          <w:rFonts w:ascii="Arial" w:cs="Arial" w:eastAsia="Arial" w:hAnsi="Arial"/>
          <w:sz w:val="17"/>
          <w:szCs w:val="17"/>
          <w:i w:val="1"/>
          <w:iCs w:val="1"/>
          <w:color w:val="auto"/>
        </w:rPr>
        <w:t>living therapy</w:t>
      </w:r>
      <w:r>
        <w:rPr>
          <w:rFonts w:ascii="Arial" w:cs="Arial" w:eastAsia="Arial" w:hAnsi="Arial"/>
          <w:sz w:val="17"/>
          <w:szCs w:val="17"/>
          <w:color w:val="auto"/>
        </w:rPr>
        <w:t>” that has the potential to break</w:t>
      </w:r>
      <w:r>
        <w:rPr>
          <w:rFonts w:ascii="Arial" w:cs="Arial" w:eastAsia="Arial" w:hAnsi="Arial"/>
          <w:sz w:val="17"/>
          <w:szCs w:val="17"/>
          <w:i w:val="1"/>
          <w:iCs w:val="1"/>
          <w:color w:val="auto"/>
        </w:rPr>
        <w:t xml:space="preserve"> </w:t>
      </w:r>
      <w:r>
        <w:rPr>
          <w:rFonts w:ascii="Arial" w:cs="Arial" w:eastAsia="Arial" w:hAnsi="Arial"/>
          <w:sz w:val="17"/>
          <w:szCs w:val="17"/>
          <w:color w:val="auto"/>
        </w:rPr>
        <w:t>the cancer-induced immune tolerance and to establish a competent immune surveillance throughout the life of the patient.</w:t>
      </w:r>
    </w:p>
    <w:p>
      <w:pPr>
        <w:spacing w:after="0" w:line="105" w:lineRule="exact"/>
        <w:rPr>
          <w:rFonts w:ascii="Arial" w:cs="Arial" w:eastAsia="Arial" w:hAnsi="Arial"/>
          <w:sz w:val="17"/>
          <w:szCs w:val="17"/>
          <w:color w:val="auto"/>
        </w:rPr>
      </w:pPr>
    </w:p>
    <w:p>
      <w:pPr>
        <w:ind w:left="660" w:right="60" w:hanging="331"/>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chimeric antigen receptor T cells (CAR-T), our platform is not restricted to a pre-selected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tumor antigen, nor any one tumor type. As such, it may be applied to a broad number of solid tumors and cancer subtypes, thereby overcoming one of the central unresolved challenges of immune-oncology cancer therapies.</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lead product candidate, Temferon, was developed using our platform and carries an interferon-alpha (IFN-α) payload. IFN-α is a well-known therapeutic that was previously administered intravenously for treatment of various cancers but is currently rarely used due to its systemic toxicity. The Temferon-modified TEMs express the transgene payload, IFN-α, in the tumor microenvironment resulting in the breakdown of tumor induced immune-tolerance. As a result, the immune system can recognize the tumor, respond, and inhibit tumor growth. Because Temferon delivers the IFN-α payload directly to the tumor, we believe it will demonstrate clinical activity without the side effect profile of systemic delivery of IFN-α. In preclinical mouse models treated with Temferon, both direct (anti-angiogenic, pro-apoptotic) and indirect (immune response) effects were observed.</w:t>
      </w:r>
    </w:p>
    <w:p>
      <w:pPr>
        <w:spacing w:after="0" w:line="19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currently developing Temferon for the treatment of glioblastoma multiforme (GBM). GBM is the most common malignant primary brain tumor accounting for more than half of all central nervous system (CNS) cancers. Patients suffering from GBM have limited, non-curative treatment options. Although these treatments may improve survival, the prognosis for GBM patients remains poor with a median overall survival (mOS) of approximately 13 to 15 months and only 5.5% of patients estimated to be alive five years after diagnosis. With no curative treatments available and such poor prognosis for patients, there remains a large, unmet medical need. We chose GBM among our first targets for clinical development after considering the medical need, the active role that TEMs have in GBM pathology, and the high number of newly diagnosed GBM patients potentially interested in participating in our study. As a result, we believe GBM offers a good profile for our initial proof of concept trial in humans. We are currently conducting a two-part, Phase 1/2a clinical trial with Temferon in newly diagnosed GBM patients in Italy. We anticipate completing enrollment of Part A of our study by the first quarter of 2021 and treatment by the second quarter of 2021. We intend to use the preliminary results of our Phase 1/2a clinical trial to support our IND application to the US Food and Drug Administration (FDA) for approval to conduct a Phase 1/2b trial in GBM in the U.S. As of April 15, 2021, we have treated a total of 12 patients. The preliminary results to date show that Temferon was generally well tolerated with no dose limiting toxicities identified so far.</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58" w:right="519" w:bottom="1440" w:gutter="0" w:footer="0" w:header="0"/>
        </w:sectPr>
      </w:pPr>
    </w:p>
    <w:bookmarkStart w:id="7" w:name="page8"/>
    <w:bookmarkEnd w:id="7"/>
    <w:p>
      <w:pPr>
        <w:ind w:right="60" w:firstLine="648"/>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4384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4384675"/>
                    </a:xfrm>
                    <a:prstGeom prst="rect">
                      <a:avLst/>
                    </a:prstGeom>
                    <a:noFill/>
                  </pic:spPr>
                </pic:pic>
              </a:graphicData>
            </a:graphic>
          </wp:anchor>
        </w:drawing>
        <w:t>We also intend to develop Temferon for the treatment of other solid tumor indications, and locally advanced hepatocellular carcinoma (HCC) and intra-hepatic cholangiocarcinoma (ICC) are our leading choices so far.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which have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 We intend to submit a Clinical Trial Application (CTA) for conducting a Phase 1/2a study of Temferon in HCC and ICC or in a different second solid tumor indication to the Italian Medicines Agency (Agenzia Italiana del Farmaco, or AIFA), the public institution responsible for the regulatory activity of pharmaceuticals in Italy, and we anticipate initiating the trial in the second quarter of 2022.</w:t>
      </w:r>
    </w:p>
    <w:p>
      <w:pPr>
        <w:spacing w:after="0" w:line="21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addition to our Temferon programs being developed in GBM,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rely on our current contract manufacturing organization (CMO), AGC Biologics, based in Italy, to manufacture LVV and Temferon for us. After the completion of our Phase 1/2b study we intend to use a US-based CMO to supply our drug product (DP) for conducting larger trials in the U.S. Therefore, we are working with AGC Biologics to plan the required tech transfer activities for drug product manufacturing and the scale up of our LVV manufacturing process to support larger trials.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 xml:space="preserve">Our portfolio of clinical and preclinical </w:t>
      </w:r>
      <w:r>
        <w:rPr>
          <w:rFonts w:ascii="Arial" w:cs="Arial" w:eastAsia="Arial" w:hAnsi="Arial"/>
          <w:sz w:val="17"/>
          <w:szCs w:val="17"/>
          <w:i w:val="1"/>
          <w:iCs w:val="1"/>
          <w:color w:val="auto"/>
        </w:rPr>
        <w:t>ex-vivo</w:t>
      </w:r>
      <w:r>
        <w:rPr>
          <w:rFonts w:ascii="Arial" w:cs="Arial" w:eastAsia="Arial" w:hAnsi="Arial"/>
          <w:sz w:val="17"/>
          <w:szCs w:val="17"/>
          <w:color w:val="auto"/>
        </w:rPr>
        <w:t xml:space="preserve"> autologous gene cancer therapies is based on our technology platform, which was originally developed in our founders’ laboratories at Ospedale San Raffaele, or OSR. Through our collaboration with OSR, we have worldwide commercial rights to Temferon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immune checkpoint inhibitors (ICI), CAR-T cell therapies and T cell receptor (TCR) therapies.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808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8087995"/>
                    </a:xfrm>
                    <a:prstGeom prst="rect">
                      <a:avLst/>
                    </a:prstGeom>
                    <a:noFill/>
                  </pic:spPr>
                </pic:pic>
              </a:graphicData>
            </a:graphic>
          </wp:anchor>
        </w:drawing>
        <w:t>Our current pipeline, with clinical and preclinical stage programs,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GBM patients and patients suffering from another solid cancer indication such as HCC and ICC. Ultimately, we hope to broaden our platform to treat a wide variety of cancers by pursuing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currently conducting a Phase 1/2a dose-escalation study to primarily evaluate the safety and tolerability of Temferon in up to 21 GBM patients who have an unmethylated MGMT promoter, following radiotherapy treatment. We plan to initiate a Phase 1/2b trial in the U.S., to evaluate the safety and efficacy of Temferon in up to 30 GBM patients who have an unmethylated MGMT promoter, following radiotherapy, where we intend to measure progression free survival (PFS) and overall survival (OS) as endpoints. We are planning a pre-IND meeting with the FDA by the end of the second quarter of 2021 to discuss the proposed clinical program and drug product manufacturing. The study design may change as a result of discussions with regulatory bodies, key opinion leaders and partnering clinical centers.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expand our product pipeline by:</w:t>
      </w:r>
    </w:p>
    <w:p>
      <w:pPr>
        <w:spacing w:after="0" w:line="252" w:lineRule="exact"/>
        <w:rPr>
          <w:sz w:val="20"/>
          <w:szCs w:val="20"/>
          <w:color w:val="auto"/>
        </w:rPr>
      </w:pPr>
    </w:p>
    <w:p>
      <w:pPr>
        <w:ind w:left="660" w:right="160" w:hanging="331"/>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Identifying additional indications suitable for Temferon. We are in the planning stages for a second study using Temferon in another solid tumor indication and locally advanced HCC and ICC are our current leading choice so far. The Istituto Superiore di Sanita (ISS), an independent committee with oversight from the Italian Ministry of Health, must issue a positive opinion regarding our CTA before AIFA will approve it. In addition to these indications, we believe there may be additional cancer indications which actively recruit TEMs to proliferate for which Temferon may be a suitable therapy.</w:t>
      </w:r>
    </w:p>
    <w:p>
      <w:pPr>
        <w:spacing w:after="0" w:line="147" w:lineRule="exact"/>
        <w:rPr>
          <w:rFonts w:ascii="Arial" w:cs="Arial" w:eastAsia="Arial" w:hAnsi="Arial"/>
          <w:sz w:val="18"/>
          <w:szCs w:val="18"/>
          <w:color w:val="auto"/>
        </w:rPr>
      </w:pPr>
    </w:p>
    <w:p>
      <w:pPr>
        <w:ind w:left="660" w:right="60" w:hanging="331"/>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Using our platform with different transgene payloads. </w:t>
      </w:r>
      <w:r>
        <w:rPr>
          <w:rFonts w:ascii="Arial" w:cs="Arial" w:eastAsia="Arial" w:hAnsi="Arial"/>
          <w:sz w:val="18"/>
          <w:szCs w:val="18"/>
          <w:color w:val="auto"/>
        </w:rPr>
        <w:t>Our platform technology is designed to enable us to use different transgene payloads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100" w:hanging="331"/>
        <w:spacing w:after="0" w:line="31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9" w:name="page10"/>
    <w:bookmarkEnd w:id="9"/>
    <w:p>
      <w:pPr>
        <w:ind w:left="660" w:right="80" w:hanging="331"/>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6501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6501765"/>
                    </a:xfrm>
                    <a:prstGeom prst="rect">
                      <a:avLst/>
                    </a:prstGeom>
                    <a:noFill/>
                  </pic:spPr>
                </pic:pic>
              </a:graphicData>
            </a:graphic>
          </wp:anchor>
        </w:drawing>
        <w:t>Exploring combination therapies. We will seek to enter into collaborations with other companies to explore combination studies of our therapeutics with other cancer therapies, such as ICI, CAR-T cell therapies and TCR therapies. We believe our product candidate, as a result of its MoA, has the potential to enhance the durability and efficacy of the existing therapies, thus abolishing the immune tolerance to the tumor.</w:t>
      </w:r>
    </w:p>
    <w:p>
      <w:pPr>
        <w:spacing w:after="0" w:line="146" w:lineRule="exact"/>
        <w:rPr>
          <w:rFonts w:ascii="Arial" w:cs="Arial" w:eastAsia="Arial" w:hAnsi="Arial"/>
          <w:sz w:val="18"/>
          <w:szCs w:val="18"/>
          <w:color w:val="auto"/>
        </w:rPr>
      </w:pPr>
    </w:p>
    <w:p>
      <w:pPr>
        <w:ind w:left="660" w:hanging="331"/>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Exploiting in-licensing opportunities with OSR</w:t>
      </w:r>
      <w:r>
        <w:rPr>
          <w:rFonts w:ascii="Arial" w:cs="Arial" w:eastAsia="Arial" w:hAnsi="Arial"/>
          <w:sz w:val="17"/>
          <w:szCs w:val="17"/>
          <w:color w:val="auto"/>
        </w:rPr>
        <w:t>. We intend to exploit in-licensing opportunities with OSR, a co-founding shareholder.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To meet our drug product supply needs for conducting larger trials after the completion of our planned Phase 1/2b GBM study in the U.S., we intend to enter into a supply agreement with a US-based CMO for the manufacturing of our products. Currently, Temferon, is manufactured by AGC Biologics, a leading global contract development and manufacturing organization (CDMO). We are currently working with AGC Biologics on required technology transfer activities to enable drug product manufacturing by a US-based CMO and the scaling up of our LVV manufacturing process to support larger trials.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a GBM IND trial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choose to partner with larger pharmaceutical companies whose core competencies and oncology strategies are in line with ours.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We believe that our growing body of early clinical data supporting the potential of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214" w:lineRule="exact"/>
        <w:rPr>
          <w:sz w:val="20"/>
          <w:szCs w:val="20"/>
          <w:color w:val="auto"/>
        </w:rPr>
      </w:pPr>
    </w:p>
    <w:p>
      <w:pPr>
        <w:ind w:left="660" w:right="80" w:hanging="331"/>
        <w:spacing w:after="0" w:line="288"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OSR 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that are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10" w:name="page11"/>
    <w:bookmarkEnd w:id="10"/>
    <w:p>
      <w:pPr>
        <w:ind w:left="340" w:right="180" w:hanging="331"/>
        <w:spacing w:after="0" w:line="282"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5867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5867400"/>
                    </a:xfrm>
                    <a:prstGeom prst="rect">
                      <a:avLst/>
                    </a:prstGeom>
                    <a:noFill/>
                  </pic:spPr>
                </pic:pic>
              </a:graphicData>
            </a:graphic>
          </wp:anchor>
        </w:drawing>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 additional programs, give us the ability to grow our pipeline by targeting a broad set of cancer diseases.</w:t>
      </w:r>
    </w:p>
    <w:p>
      <w:pPr>
        <w:spacing w:after="0" w:line="121" w:lineRule="exact"/>
        <w:rPr>
          <w:rFonts w:ascii="Arial" w:cs="Arial" w:eastAsia="Arial" w:hAnsi="Arial"/>
          <w:sz w:val="18"/>
          <w:szCs w:val="18"/>
          <w:color w:val="auto"/>
        </w:rPr>
      </w:pPr>
    </w:p>
    <w:p>
      <w:pPr>
        <w:ind w:left="340" w:right="340" w:hanging="331"/>
        <w:spacing w:after="0" w:line="282"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Durable therapeutic potential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Preliminary interim clinical data collected from twelve GBM patients following a single administration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Temferon displayed modified cells at 18 months, the last measured timepoint to date.</w:t>
      </w:r>
    </w:p>
    <w:p>
      <w:pPr>
        <w:spacing w:after="0" w:line="121" w:lineRule="exact"/>
        <w:rPr>
          <w:rFonts w:ascii="Arial" w:cs="Arial" w:eastAsia="Arial" w:hAnsi="Arial"/>
          <w:sz w:val="18"/>
          <w:szCs w:val="18"/>
          <w:color w:val="auto"/>
        </w:rPr>
      </w:pPr>
    </w:p>
    <w:p>
      <w:pPr>
        <w:ind w:left="340" w:right="60" w:hanging="331"/>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Tumor restricted therapeutic payload delivery and release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the design of our transgene expression cassette, we restrict payload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43" w:lineRule="exact"/>
        <w:rPr>
          <w:rFonts w:ascii="Arial" w:cs="Arial" w:eastAsia="Arial" w:hAnsi="Arial"/>
          <w:sz w:val="18"/>
          <w:szCs w:val="18"/>
          <w:color w:val="auto"/>
        </w:rPr>
      </w:pPr>
    </w:p>
    <w:p>
      <w:pPr>
        <w:ind w:left="340" w:right="240" w:hanging="331"/>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Agnostic approach. </w:t>
      </w:r>
      <w:r>
        <w:rPr>
          <w:rFonts w:ascii="Arial" w:cs="Arial" w:eastAsia="Arial" w:hAnsi="Arial"/>
          <w:sz w:val="16"/>
          <w:szCs w:val="16"/>
          <w:color w:val="auto"/>
        </w:rPr>
        <w:t>Our immune-gene therapy approach is a tumor-agnostic immunotherapy since it does not rely on any specific target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tumor type, and therefore we believe it could be successfully applied to a potentially broad range of cancers and immune contexts.</w:t>
      </w:r>
    </w:p>
    <w:p>
      <w:pPr>
        <w:spacing w:after="0" w:line="83" w:lineRule="exact"/>
        <w:rPr>
          <w:rFonts w:ascii="Arial" w:cs="Arial" w:eastAsia="Arial" w:hAnsi="Arial"/>
          <w:sz w:val="16"/>
          <w:szCs w:val="16"/>
          <w:color w:val="auto"/>
        </w:rPr>
      </w:pPr>
    </w:p>
    <w:p>
      <w:pPr>
        <w:ind w:left="340" w:right="200" w:hanging="331"/>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novel 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color w:val="auto"/>
        </w:rPr>
      </w:pPr>
    </w:p>
    <w:p>
      <w:pPr>
        <w:ind w:left="340" w:hanging="331"/>
        <w:spacing w:after="0" w:line="31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Active and sustained tumor surveillance. </w:t>
      </w:r>
      <w:r>
        <w:rPr>
          <w:rFonts w:ascii="Arial" w:cs="Arial" w:eastAsia="Arial" w:hAnsi="Arial"/>
          <w:sz w:val="16"/>
          <w:szCs w:val="16"/>
          <w:color w:val="auto"/>
        </w:rPr>
        <w:t>Our immune-gene therapy is designed to trigger the patient’s own immune response that establishes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active immune surveillance. Our preclinical work, which used different cancer models (B-cell acute lymphoblastic leukemia - B-ALL and GBM), as well as preliminary data collected from our GBM patients suggests the occurrence of changes in the immune system.</w:t>
      </w:r>
    </w:p>
    <w:p>
      <w:pPr>
        <w:spacing w:after="0" w:line="108" w:lineRule="exact"/>
        <w:rPr>
          <w:rFonts w:ascii="Arial" w:cs="Arial" w:eastAsia="Arial" w:hAnsi="Arial"/>
          <w:sz w:val="16"/>
          <w:szCs w:val="16"/>
          <w:color w:val="auto"/>
        </w:rPr>
      </w:pPr>
    </w:p>
    <w:p>
      <w:pPr>
        <w:ind w:left="340" w:right="200" w:hanging="331"/>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Fine dose tuning. </w:t>
      </w:r>
      <w:r>
        <w:rPr>
          <w:rFonts w:ascii="Arial" w:cs="Arial" w:eastAsia="Arial" w:hAnsi="Arial"/>
          <w:sz w:val="18"/>
          <w:szCs w:val="18"/>
          <w:color w:val="auto"/>
        </w:rPr>
        <w:t>Our platform gives us the ability to fine tune the dose to be administered to each patient, based on the patient’s own drug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characteristics (drug product’s release specifications).</w:t>
      </w:r>
    </w:p>
    <w:p>
      <w:pPr>
        <w:spacing w:after="0" w:line="129" w:lineRule="exact"/>
        <w:rPr>
          <w:rFonts w:ascii="Arial" w:cs="Arial" w:eastAsia="Arial" w:hAnsi="Arial"/>
          <w:sz w:val="18"/>
          <w:szCs w:val="18"/>
          <w:color w:val="auto"/>
        </w:rPr>
      </w:pPr>
    </w:p>
    <w:p>
      <w:pPr>
        <w:ind w:left="340" w:right="260" w:hanging="331"/>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patients 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340" w:right="100" w:hanging="331"/>
        <w:spacing w:after="0" w:line="25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LVV as transgene payload delivery vehicles. </w:t>
      </w:r>
      <w:r>
        <w:rPr>
          <w:rFonts w:ascii="Arial" w:cs="Arial" w:eastAsia="Arial" w:hAnsi="Arial"/>
          <w:sz w:val="18"/>
          <w:szCs w:val="18"/>
          <w:color w:val="auto"/>
        </w:rPr>
        <w:t>LVVs are particularly attractive for clinical applications due to their capacity to transfer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genes/payloads and their ability to efficiently transduce non-proliferating or slowly proliferating cells, such as hematopoietic stem and progenitor cells that allow a persistent gene expression in transduced cells. Moreover, LVVs have a reduced risk of genotoxicity compared to gamma-retroviral vectors (gRV).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using LVVs has demonstrated a positive safety profile over the last 10 years. A large number of patients have been treated both with LVV gene therapy products approved for sale and with clinical-stage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w:t>
      </w:r>
    </w:p>
    <w:p>
      <w:pPr>
        <w:spacing w:after="0" w:line="151" w:lineRule="exact"/>
        <w:rPr>
          <w:rFonts w:ascii="Arial" w:cs="Arial" w:eastAsia="Arial" w:hAnsi="Arial"/>
          <w:sz w:val="18"/>
          <w:szCs w:val="18"/>
          <w:color w:val="auto"/>
        </w:rPr>
      </w:pPr>
    </w:p>
    <w:p>
      <w:pPr>
        <w:ind w:left="340" w:right="120" w:hanging="331"/>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00" w:lineRule="exact"/>
        <w:rPr>
          <w:sz w:val="20"/>
          <w:szCs w:val="20"/>
          <w:color w:val="auto"/>
        </w:rPr>
      </w:pPr>
    </w:p>
    <w:p>
      <w:pPr>
        <w:spacing w:after="0" w:line="28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800" w:top="985" w:right="5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110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7110730"/>
                    </a:xfrm>
                    <a:prstGeom prst="rect">
                      <a:avLst/>
                    </a:prstGeom>
                    <a:noFill/>
                  </pic:spPr>
                </pic:pic>
              </a:graphicData>
            </a:graphic>
          </wp:anchor>
        </w:drawing>
        <w:t>Company History and Management Team</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(OSR) in Milan, a globally recognized premier research hospital for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with Pierluigi Paracchi (our CEO), Luigi Naldini (Chairman of our Executive Scientific Board) and Bernhard Gentner (a member of our Executive Scientific Board), to develop potential ground-breaking cell and gene cancer therapies. We leverage the vast experience in LVV technology of the San Raffaele Telethon Institute for Gene Therapy (SR-Tiget). SR-Tiget, a joint venture between OSR and Fondazione Telethon (Telethon), is a world leading cell and gene therapy research institution at the forefront of developing therapies for rare diseases.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Its research has resulted in a number of approved products, including Strimvelis,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gammaretroviral vector-based gene therapy for adenosine deaminase severe combined immunodeficiency (ADA-SCID), and Libmeldy,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option rights, to certain intellectual property (IP) originating there.</w:t>
      </w:r>
    </w:p>
    <w:p>
      <w:pPr>
        <w:spacing w:after="0" w:line="21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 (June 2018).</w:t>
      </w:r>
    </w:p>
    <w:p>
      <w:pPr>
        <w:spacing w:after="0" w:line="19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leadership team has a proven track record as biotech executives. Their expertise spans from finance and venture capital to medical affairs, from scientific research to clinical drug product development and clinical trial management. For example, members of our management team have been involved in the successful development of Ethical Oncology Science, which was acquired in 2013 for over $400 million, and Strimvelis the first ever ex-vivo approved gene therapy product that was developed under the guidance of Carlo Russo, our Chief Medical Officer and Head of Development (formerly Head of Development of R&amp;D Biopharm and Rare Disease Units at GSK). Our management team members have played important roles in both large pharma companies such as Merck and GSK, and biotech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business, and investing in our securities, are subject to numerous risks and uncertainties, as more fully described in the section “Risk Factors” included elsewhere in this prospectus. You should read these risks before making a decision to invest in our securities. If any of these risks actually occur, our business, financial condition or results of operations would likely be materially adversely affected. In each case, the trading price of our securities would likely decline, and you may lose all or part of your investment. The following is a summary of some of the principal risks we face:</w:t>
      </w:r>
    </w:p>
    <w:p>
      <w:pPr>
        <w:spacing w:after="0" w:line="184" w:lineRule="exact"/>
        <w:rPr>
          <w:sz w:val="20"/>
          <w:szCs w:val="20"/>
          <w:color w:val="auto"/>
        </w:rPr>
      </w:pPr>
    </w:p>
    <w:p>
      <w:pPr>
        <w:ind w:left="660" w:right="500" w:hanging="331"/>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limited operating history and have incurred significant losses since our inception. We have never generated revenue and will require significant additional funds, which may not be available on acceptable terms or at all. As a result, you could lose your entire investment.</w:t>
      </w:r>
    </w:p>
    <w:p>
      <w:pPr>
        <w:spacing w:after="0" w:line="143" w:lineRule="exact"/>
        <w:rPr>
          <w:rFonts w:ascii="Arial" w:cs="Arial" w:eastAsia="Arial" w:hAnsi="Arial"/>
          <w:sz w:val="18"/>
          <w:szCs w:val="18"/>
          <w:color w:val="auto"/>
        </w:rPr>
      </w:pPr>
    </w:p>
    <w:p>
      <w:pPr>
        <w:ind w:left="660" w:right="20" w:hanging="331"/>
        <w:spacing w:after="0" w:line="27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lentiviral-based gene therapy product candidates are based on a novel technology that is in preliminary stages of evaluation, which makes it difficult to predict the time and cost of product candidate development or the likelihood of receiving required regulatory approvals. Our rights to the intellectual property underlying our novel technology derive solely from our license agreement with OSR and any failure to comply with the terms of such license agreement could have a material adverse effect on our intellectual property position and our ability to seek approval for and ultimately commercialize such product candidates.</w:t>
      </w:r>
    </w:p>
    <w:p>
      <w:pPr>
        <w:spacing w:after="0" w:line="135" w:lineRule="exact"/>
        <w:rPr>
          <w:rFonts w:ascii="Arial" w:cs="Arial" w:eastAsia="Arial" w:hAnsi="Arial"/>
          <w:sz w:val="17"/>
          <w:szCs w:val="17"/>
          <w:color w:val="auto"/>
        </w:rPr>
      </w:pPr>
    </w:p>
    <w:p>
      <w:pPr>
        <w:ind w:left="660" w:right="40" w:hanging="331"/>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 if we do receive regulatory approvals for our product candidates, they may face commercialization issues from significantly larger oncology competitors, unfavorable pricing regulations or lack of acceptance by doctors, hospitals, patients and insurers. Our product candidates and the process for administering them may also cause undesirable side effects or have other properties that could delay or prevent their regulatory approval, limit their commercial potential or result in significant negative consequences following any potential marketing approval.</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5" w:right="519" w:bottom="1440" w:gutter="0" w:footer="0" w:header="0"/>
        </w:sectPr>
      </w:pPr>
    </w:p>
    <w:bookmarkStart w:id="12" w:name="page13"/>
    <w:bookmarkEnd w:id="12"/>
    <w:p>
      <w:pPr>
        <w:ind w:left="660" w:hanging="331"/>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5901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7875" cy="5901690"/>
                    </a:xfrm>
                    <a:prstGeom prst="rect">
                      <a:avLst/>
                    </a:prstGeom>
                    <a:noFill/>
                  </pic:spPr>
                </pic:pic>
              </a:graphicData>
            </a:graphic>
          </wp:anchor>
        </w:drawing>
        <w:t>We currently have very few employees and rely almost entirely on the efforts of third parties over which we have limited control and in certain cases are reliant on a sole supplier for our materials. Our contract research organizations, or CROs, may fail to observe the standards to which our studies must be conducted and our product candidates may not be approved as a result. Likewise, our contract manufacturing organizations, or CMOs, may not continue producing the needed materials for preclinical and clinical testing, whether as a result of their commitments to other customers or otherwise. Any failure of these third parties to meet our expectations would have a materially adverse effect on our product development efforts.</w:t>
      </w:r>
    </w:p>
    <w:p>
      <w:pPr>
        <w:spacing w:after="0" w:line="151" w:lineRule="exact"/>
        <w:rPr>
          <w:rFonts w:ascii="Arial" w:cs="Arial" w:eastAsia="Arial" w:hAnsi="Arial"/>
          <w:sz w:val="18"/>
          <w:szCs w:val="18"/>
          <w:color w:val="auto"/>
        </w:rPr>
      </w:pPr>
    </w:p>
    <w:p>
      <w:pPr>
        <w:ind w:left="660" w:right="140" w:hanging="331"/>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clinical trials for Temferon must be successful if we are to seek and obtain regulatory marketing application through the submission of a new Biological License Application (BLA) and marketing authorization application (MAA) with the U.S. Food and Drug Administration (FDA) and the European Medicines Agency (EMA), respectively. Advanced clinical trials are often not successful even if prior trials were successful, and even if we are able to conduct advanced clinical trials and those trials are successful, we may not obtain necessary regulatory approvals for Temferon or we may be unable to successfully commercialize our products even if we receive the necessary regulatory approvals.</w:t>
      </w:r>
    </w:p>
    <w:p>
      <w:pPr>
        <w:spacing w:after="0" w:line="151" w:lineRule="exact"/>
        <w:rPr>
          <w:rFonts w:ascii="Arial" w:cs="Arial" w:eastAsia="Arial" w:hAnsi="Arial"/>
          <w:sz w:val="18"/>
          <w:szCs w:val="18"/>
          <w:color w:val="auto"/>
        </w:rPr>
      </w:pPr>
    </w:p>
    <w:p>
      <w:pPr>
        <w:ind w:left="660" w:right="40" w:hanging="331"/>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ongoing COVID-19 pandemic could adversely impact our ongoing and planned clinical trials, operations and financial condition, and our overall generation of revenues may not succeed on the time frames we expect or at all.</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Chief Executive Officer, directors and shareholders who own more than 5% of our outstanding ordinary shares before this offering</w:t>
      </w:r>
    </w:p>
    <w:p>
      <w:pPr>
        <w:spacing w:after="0" w:line="35" w:lineRule="exact"/>
        <w:rPr>
          <w:sz w:val="20"/>
          <w:szCs w:val="20"/>
          <w:color w:val="auto"/>
        </w:rPr>
      </w:pPr>
    </w:p>
    <w:p>
      <w:pPr>
        <w:ind w:left="660" w:right="200"/>
        <w:spacing w:after="0" w:line="323" w:lineRule="auto"/>
        <w:rPr>
          <w:sz w:val="20"/>
          <w:szCs w:val="20"/>
          <w:color w:val="auto"/>
        </w:rPr>
      </w:pPr>
      <w:r>
        <w:rPr>
          <w:rFonts w:ascii="Arial" w:cs="Arial" w:eastAsia="Arial" w:hAnsi="Arial"/>
          <w:sz w:val="16"/>
          <w:szCs w:val="16"/>
          <w:color w:val="auto"/>
        </w:rPr>
        <w:t>currently own approximately [70.0]% of our outstanding ordinary shares and will own approximately % of our ordinary shares upon the completion of this offering and will therefore be able to exert significant control over matters submitted to our shareholders for approval.</w:t>
      </w:r>
    </w:p>
    <w:p>
      <w:pPr>
        <w:spacing w:after="0" w:line="98" w:lineRule="exact"/>
        <w:rPr>
          <w:sz w:val="20"/>
          <w:szCs w:val="20"/>
          <w:color w:val="auto"/>
        </w:rPr>
      </w:pPr>
    </w:p>
    <w:p>
      <w:pPr>
        <w:ind w:left="660" w:right="980" w:hanging="331"/>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a public company following the conclusion of this offering, we will need to comply with extensive additional U.S. and Italian governmental and Nasdaq regulations, which will be expensive, and which will require significant management attention.</w:t>
      </w:r>
    </w:p>
    <w:p>
      <w:pPr>
        <w:spacing w:after="0" w:line="83" w:lineRule="exact"/>
        <w:rPr>
          <w:rFonts w:ascii="Arial" w:cs="Arial" w:eastAsia="Arial" w:hAnsi="Arial"/>
          <w:sz w:val="16"/>
          <w:szCs w:val="16"/>
          <w:color w:val="auto"/>
        </w:rPr>
      </w:pPr>
    </w:p>
    <w:p>
      <w:pPr>
        <w:jc w:val="both"/>
        <w:ind w:left="660" w:right="100" w:hanging="331"/>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company organized under the laws of Italy and whose shares are represented by ADSs, the rights of investors in the company following this offering will differ in several material respects from the rights of holders of shares of common stock of a US domestic company and may not afford investors the same protections.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Genenta was formed as an Italian limited liability company (società a responsabilità limitata, or S.r.l.) in 2014. Prior to the completion of this offering, we intend to complete the Corporation Conversion to change the legal form of our company under Italian law to a joint stock company (società per azioni, or S.p.A.).</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principal executive offices are located at Via Olgettina No. 58, 20132 Milan, Italy. Our telephone number in Italy is +39.02.2643.6639. Our website address is www.genenta.com. The information contained on, or that can be accessed through, our website is not part of this prospectus. We have included our website address in this prospectus solely as an inactive textual reference.</w:t>
      </w:r>
    </w:p>
    <w:p>
      <w:pPr>
        <w:spacing w:after="0" w:line="211" w:lineRule="exact"/>
        <w:rPr>
          <w:sz w:val="20"/>
          <w:szCs w:val="20"/>
          <w:color w:val="auto"/>
        </w:rPr>
      </w:pPr>
    </w:p>
    <w:p>
      <w:pPr>
        <w:ind w:right="580" w:firstLine="648"/>
        <w:spacing w:after="0" w:line="286" w:lineRule="auto"/>
        <w:rPr>
          <w:sz w:val="20"/>
          <w:szCs w:val="20"/>
          <w:color w:val="auto"/>
        </w:rPr>
      </w:pPr>
      <w:r>
        <w:rPr>
          <w:rFonts w:ascii="Arial" w:cs="Arial" w:eastAsia="Arial" w:hAnsi="Arial"/>
          <w:sz w:val="17"/>
          <w:szCs w:val="17"/>
          <w:color w:val="auto"/>
        </w:rPr>
        <w:t>The Securities and Exchange Commission, or the SEC, also maintains an Internet website that contains reports, proxy and information statements and other information regarding issuers that file electronically with the SEC. Our filings with the U.S. Securities and Exchange Commission, or the SEC, will also be available to the public through the SEC’s website at http://www.sec.gov.</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6518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7875" cy="6518910"/>
                    </a:xfrm>
                    <a:prstGeom prst="rect">
                      <a:avLst/>
                    </a:prstGeom>
                    <a:noFill/>
                  </pic:spPr>
                </pic:pic>
              </a:graphicData>
            </a:graphic>
          </wp:anchor>
        </w:drawing>
        <w:t>Implications of Being an “Emerging Growth Company”</w:t>
      </w:r>
    </w:p>
    <w:p>
      <w:pPr>
        <w:spacing w:after="0" w:line="2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qualify as an “emerging growth company,” as defined in Section 2(a) of the Securities Act of 1933, as amended, or the Securities Act, as modified by the Jumpstart Our Business Startups Act of 2012, or the JOBS Act. As such, we are eligible to, and intend to, take advantage of certain exemptions from various reporting requirements applicable to other public companies that are otherwise applicable generally to public companies. These provisions include:</w:t>
      </w:r>
    </w:p>
    <w:p>
      <w:pPr>
        <w:spacing w:after="0" w:line="214" w:lineRule="exact"/>
        <w:rPr>
          <w:sz w:val="20"/>
          <w:szCs w:val="20"/>
          <w:color w:val="auto"/>
        </w:rPr>
      </w:pPr>
    </w:p>
    <w:p>
      <w:pPr>
        <w:ind w:left="660" w:right="20" w:hanging="331"/>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84" w:lineRule="exact"/>
        <w:rPr>
          <w:rFonts w:ascii="Arial" w:cs="Arial" w:eastAsia="Arial" w:hAnsi="Arial"/>
          <w:sz w:val="18"/>
          <w:szCs w:val="18"/>
          <w:color w:val="auto"/>
        </w:rPr>
      </w:pPr>
    </w:p>
    <w:p>
      <w:pPr>
        <w:ind w:left="660" w:hanging="331"/>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84" w:lineRule="exact"/>
        <w:rPr>
          <w:rFonts w:ascii="Arial" w:cs="Arial" w:eastAsia="Arial" w:hAnsi="Arial"/>
          <w:sz w:val="18"/>
          <w:szCs w:val="18"/>
          <w:color w:val="auto"/>
        </w:rPr>
      </w:pPr>
    </w:p>
    <w:p>
      <w:pPr>
        <w:ind w:left="660" w:right="100" w:hanging="331"/>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could remain an “emerging growth company” for up to five years, or until the earliest of (a) the last day of the first fiscal year in which our annual gross revenue exceeds $1.07 billion, (b) the date that we become a “large accelerated filer” as defined in Rule 12b-2 under the Securities Exchange Act of 1934, as amended, or the Exchange Act, which would occur if the market value of our securities that is held by non-affiliates exceeds $700 million as of the last business day of our most recently completed second fiscal quarter, or (c) the date on which we have issued more than $1 billion in nonconvertible debt during the preceding three-year period.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will not be subject to the same new or revised accounting standards as other public companies that are not emerging growth companies.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Upon consummation of this offering, we will be subject to the information reporting requirements of the Exchange Act that are applicable to “foreign private issuers,” and under those requirements we will file reports with the SEC. As a foreign private issuer, we will not be subject to the same requirements that are imposed upon U.S. domestic issuers by the SEC. Under the Exchange Act, we will be subject to reporting obligations that, in certain respects, are less detailed and less frequent than those of U.S. domestic reporting companies. For example, we will not be required to issue quarterly reports, proxy statements that comply with the requirements applicable to U.S. domestic reporting companies, or individual executive compensation information that is as detailed as that required of U.S. domestic reporting companies. We also will have four months after the end of each fiscal year to file our annual report with the SEC and will not be required to file current reports as frequently or promptly as U.S. domestic reporting companies. Our officers, directors and principal shareholders will be exempt from the requirements to report transactions in our equity securities and from the short-swing profit liability provisions contained in Section 16 of the Exchange Act. As a foreign private issuer, we will not be subject to the requirements of Regulation FD (Fair Disclosure) promulgated under the Exchange Act. In addition, as a foreign private issuer, we will be permitted to follow certain home country corporate governance practices instead of those otherwise required under the Nasdaq Stock Market rules for domestic U.S. issuers and will not be required to be compliant with all Nasdaq Stock Market rules as of the date of our initial listing on Nasdaq as would domestic U.S. issuers (see “Risk Factors—Risks Related to this Offering and Ownership of Our Securities”). These exemptions and leniencies will reduce the frequency and scope of information and protections available to you in comparison to those applicable to a U.S. domestic reporting company. We intend to take advantage of the exemptions available to us as a foreign private issuer during and after the period we qualify as a “foreign private issuer.”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8036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7875" cy="8036560"/>
                    </a:xfrm>
                    <a:prstGeom prst="rect">
                      <a:avLst/>
                    </a:prstGeom>
                    <a:noFill/>
                  </pic:spPr>
                </pic:pic>
              </a:graphicData>
            </a:graphic>
          </wp:anchor>
        </w:drawing>
        <w:t>THE OFFERING</w:t>
      </w:r>
    </w:p>
    <w:p>
      <w:pPr>
        <w:sectPr>
          <w:pgSz w:w="11900" w:h="16838" w:orient="portrait"/>
          <w:cols w:equalWidth="0" w:num="1">
            <w:col w:w="10920"/>
          </w:cols>
          <w:pgMar w:left="480" w:top="985" w:right="49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ADSs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ADSs, representing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211" w:lineRule="exact"/>
        <w:rPr>
          <w:sz w:val="20"/>
          <w:szCs w:val="20"/>
          <w:color w:val="auto"/>
        </w:rPr>
      </w:pPr>
    </w:p>
    <w:p>
      <w:pPr>
        <w:sectPr>
          <w:pgSz w:w="11900" w:h="16838" w:orient="portrait"/>
          <w:cols w:equalWidth="0" w:num="3">
            <w:col w:w="4260" w:space="720"/>
            <w:col w:w="1400" w:space="540"/>
            <w:col w:w="4000"/>
          </w:cols>
          <w:pgMar w:left="480" w:top="985" w:right="4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issued and outstanding prior to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211" w:lineRule="exact"/>
        <w:rPr>
          <w:sz w:val="20"/>
          <w:szCs w:val="20"/>
          <w:color w:val="auto"/>
        </w:rPr>
      </w:pPr>
    </w:p>
    <w:p>
      <w:pPr>
        <w:sectPr>
          <w:pgSz w:w="11900" w:h="16838" w:orient="portrait"/>
          <w:cols w:equalWidth="0" w:num="2">
            <w:col w:w="4340" w:space="640"/>
            <w:col w:w="5940"/>
          </w:cols>
          <w:pgMar w:left="480" w:top="985" w:right="4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to be issued and outstanding after this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ordinary shares (or</w:t>
      </w:r>
      <w:r>
        <w:rPr>
          <w:sz w:val="20"/>
          <w:szCs w:val="20"/>
          <w:color w:val="auto"/>
        </w:rPr>
        <w:tab/>
      </w:r>
      <w:r>
        <w:rPr>
          <w:rFonts w:ascii="Arial" w:cs="Arial" w:eastAsia="Arial" w:hAnsi="Arial"/>
          <w:sz w:val="16"/>
          <w:szCs w:val="16"/>
          <w:color w:val="auto"/>
        </w:rPr>
        <w:t>ordinary shares if the underwriters exercise their option to</w:t>
      </w:r>
    </w:p>
    <w:p>
      <w:pPr>
        <w:spacing w:after="0" w:line="18" w:lineRule="exact"/>
        <w:rPr>
          <w:sz w:val="20"/>
          <w:szCs w:val="20"/>
          <w:color w:val="auto"/>
        </w:rPr>
      </w:pPr>
    </w:p>
    <w:p>
      <w:pPr>
        <w:sectPr>
          <w:pgSz w:w="11900" w:h="16838" w:orient="portrait"/>
          <w:cols w:equalWidth="0" w:num="2">
            <w:col w:w="4260" w:space="720"/>
            <w:col w:w="5940"/>
          </w:cols>
          <w:pgMar w:left="480" w:top="985" w:right="4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20"/>
                <w:szCs w:val="20"/>
                <w:color w:val="auto"/>
              </w:rPr>
            </w:pPr>
            <w:r>
              <w:rPr>
                <w:rFonts w:ascii="Arial" w:cs="Arial" w:eastAsia="Arial" w:hAnsi="Arial"/>
                <w:sz w:val="18"/>
                <w:szCs w:val="18"/>
                <w:color w:val="auto"/>
              </w:rPr>
              <w:t>offering</w:t>
            </w: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4"/>
              </w:rPr>
              <w:t>purchase additional ADSs within 30 days of the date of this prospectus from us in full)</w:t>
            </w:r>
          </w:p>
        </w:tc>
      </w:tr>
      <w:tr>
        <w:trPr>
          <w:trHeight w:val="230"/>
        </w:trPr>
        <w:tc>
          <w:tcPr>
            <w:tcW w:w="3040" w:type="dxa"/>
            <w:vAlign w:val="bottom"/>
          </w:tcPr>
          <w:p>
            <w:pPr>
              <w:spacing w:after="0"/>
              <w:rPr>
                <w:sz w:val="20"/>
                <w:szCs w:val="20"/>
                <w:color w:val="auto"/>
              </w:rPr>
            </w:pPr>
          </w:p>
        </w:tc>
        <w:tc>
          <w:tcPr>
            <w:tcW w:w="6260" w:type="dxa"/>
            <w:vAlign w:val="bottom"/>
            <w:gridSpan w:val="3"/>
          </w:tcPr>
          <w:p>
            <w:pPr>
              <w:ind w:left="1440"/>
              <w:spacing w:after="0"/>
              <w:rPr>
                <w:sz w:val="20"/>
                <w:szCs w:val="20"/>
                <w:color w:val="auto"/>
              </w:rPr>
            </w:pPr>
            <w:r>
              <w:rPr>
                <w:rFonts w:ascii="Arial" w:cs="Arial" w:eastAsia="Arial" w:hAnsi="Arial"/>
                <w:sz w:val="18"/>
                <w:szCs w:val="18"/>
                <w:color w:val="auto"/>
              </w:rPr>
              <w:t>(includes ordinary shares represented by the ADSs)</w:t>
            </w:r>
          </w:p>
        </w:tc>
        <w:tc>
          <w:tcPr>
            <w:tcW w:w="1620" w:type="dxa"/>
            <w:vAlign w:val="bottom"/>
          </w:tcPr>
          <w:p>
            <w:pPr>
              <w:spacing w:after="0"/>
              <w:rPr>
                <w:sz w:val="20"/>
                <w:szCs w:val="20"/>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The ADSs</w:t>
            </w: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1"/>
              </w:rPr>
              <w:t>Each ADS represents one of our ordinary shares, par value € per share. The ADSs may</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5"/>
              </w:rPr>
              <w:t>be evidenced by American Depositary Receipts, or ADRs. The depositary will hold in</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1"/>
              </w:rPr>
              <w:t>custody the ordinary shares underlying the ADSs and you will have the rights of an ADS</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2"/>
              </w:rPr>
              <w:t>holder as provided in the deposit agreement among us, the depositary and owners and</w:t>
            </w:r>
          </w:p>
        </w:tc>
      </w:tr>
      <w:tr>
        <w:trPr>
          <w:trHeight w:val="230"/>
        </w:trPr>
        <w:tc>
          <w:tcPr>
            <w:tcW w:w="3040" w:type="dxa"/>
            <w:vAlign w:val="bottom"/>
          </w:tcPr>
          <w:p>
            <w:pPr>
              <w:spacing w:after="0"/>
              <w:rPr>
                <w:sz w:val="20"/>
                <w:szCs w:val="20"/>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rPr>
              <w:t>holders of ADSs from time to time.</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45"/>
        </w:trPr>
        <w:tc>
          <w:tcPr>
            <w:tcW w:w="3040" w:type="dxa"/>
            <w:vAlign w:val="bottom"/>
          </w:tcPr>
          <w:p>
            <w:pPr>
              <w:spacing w:after="0"/>
              <w:rPr>
                <w:sz w:val="24"/>
                <w:szCs w:val="24"/>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3"/>
              </w:rPr>
              <w:t>To better understand the terms of the ADSs, you should carefully read the “Description</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1"/>
              </w:rPr>
              <w:t>of the Offered Securities” section of this prospectus. We also encourage you to read the</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3"/>
              </w:rPr>
              <w:t>deposit agreement, which is incorporated by reference as an exhibit to the registration</w:t>
            </w:r>
          </w:p>
        </w:tc>
      </w:tr>
      <w:tr>
        <w:trPr>
          <w:trHeight w:val="230"/>
        </w:trPr>
        <w:tc>
          <w:tcPr>
            <w:tcW w:w="3040" w:type="dxa"/>
            <w:vAlign w:val="bottom"/>
          </w:tcPr>
          <w:p>
            <w:pPr>
              <w:spacing w:after="0"/>
              <w:rPr>
                <w:sz w:val="20"/>
                <w:szCs w:val="20"/>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w w:val="90"/>
              </w:rPr>
              <w:t>statement that includes this prospectus.</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Over-allotment option</w:t>
            </w: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2"/>
              </w:rPr>
              <w:t>We have granted to the underwriters an option exercisable for a period of 30 days after</w:t>
            </w:r>
          </w:p>
        </w:tc>
      </w:tr>
      <w:tr>
        <w:trPr>
          <w:trHeight w:val="216"/>
        </w:trPr>
        <w:tc>
          <w:tcPr>
            <w:tcW w:w="3040" w:type="dxa"/>
            <w:vAlign w:val="bottom"/>
          </w:tcPr>
          <w:p>
            <w:pPr>
              <w:spacing w:after="0"/>
              <w:rPr>
                <w:sz w:val="18"/>
                <w:szCs w:val="18"/>
                <w:color w:val="auto"/>
              </w:rPr>
            </w:pPr>
          </w:p>
        </w:tc>
        <w:tc>
          <w:tcPr>
            <w:tcW w:w="4640" w:type="dxa"/>
            <w:vAlign w:val="bottom"/>
            <w:gridSpan w:val="2"/>
          </w:tcPr>
          <w:p>
            <w:pPr>
              <w:ind w:left="1440"/>
              <w:spacing w:after="0"/>
              <w:rPr>
                <w:sz w:val="20"/>
                <w:szCs w:val="20"/>
                <w:color w:val="auto"/>
              </w:rPr>
            </w:pPr>
            <w:r>
              <w:rPr>
                <w:rFonts w:ascii="Arial" w:cs="Arial" w:eastAsia="Arial" w:hAnsi="Arial"/>
                <w:sz w:val="18"/>
                <w:szCs w:val="18"/>
                <w:color w:val="auto"/>
                <w:w w:val="89"/>
              </w:rPr>
              <w:t>the date of this prospectus to purchase up to</w:t>
            </w:r>
          </w:p>
        </w:tc>
        <w:tc>
          <w:tcPr>
            <w:tcW w:w="3240" w:type="dxa"/>
            <w:vAlign w:val="bottom"/>
            <w:gridSpan w:val="2"/>
          </w:tcPr>
          <w:p>
            <w:pPr>
              <w:ind w:left="500"/>
              <w:spacing w:after="0"/>
              <w:rPr>
                <w:sz w:val="20"/>
                <w:szCs w:val="20"/>
                <w:color w:val="auto"/>
              </w:rPr>
            </w:pPr>
            <w:r>
              <w:rPr>
                <w:rFonts w:ascii="Arial" w:cs="Arial" w:eastAsia="Arial" w:hAnsi="Arial"/>
                <w:sz w:val="18"/>
                <w:szCs w:val="18"/>
                <w:color w:val="auto"/>
              </w:rPr>
              <w:t>additional ADSs from us solely to</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3"/>
              </w:rPr>
              <w:t>cover over-allotments, if any. If the underwriters exercise all or part of this option, it will</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3"/>
              </w:rPr>
              <w:t>purchase securities covered by the option at the public offering price per ADS, less the</w:t>
            </w:r>
          </w:p>
        </w:tc>
      </w:tr>
      <w:tr>
        <w:trPr>
          <w:trHeight w:val="230"/>
        </w:trPr>
        <w:tc>
          <w:tcPr>
            <w:tcW w:w="3040" w:type="dxa"/>
            <w:vAlign w:val="bottom"/>
          </w:tcPr>
          <w:p>
            <w:pPr>
              <w:spacing w:after="0"/>
              <w:rPr>
                <w:sz w:val="20"/>
                <w:szCs w:val="20"/>
                <w:color w:val="auto"/>
              </w:rPr>
            </w:pPr>
          </w:p>
        </w:tc>
        <w:tc>
          <w:tcPr>
            <w:tcW w:w="6260" w:type="dxa"/>
            <w:vAlign w:val="bottom"/>
            <w:gridSpan w:val="3"/>
          </w:tcPr>
          <w:p>
            <w:pPr>
              <w:ind w:left="1440"/>
              <w:spacing w:after="0"/>
              <w:rPr>
                <w:sz w:val="20"/>
                <w:szCs w:val="20"/>
                <w:color w:val="auto"/>
              </w:rPr>
            </w:pPr>
            <w:r>
              <w:rPr>
                <w:rFonts w:ascii="Arial" w:cs="Arial" w:eastAsia="Arial" w:hAnsi="Arial"/>
                <w:sz w:val="18"/>
                <w:szCs w:val="18"/>
                <w:color w:val="auto"/>
                <w:w w:val="98"/>
              </w:rPr>
              <w:t>underwriting discounts and commissions. See “Underwriting.”</w:t>
            </w:r>
          </w:p>
        </w:tc>
        <w:tc>
          <w:tcPr>
            <w:tcW w:w="1620" w:type="dxa"/>
            <w:vAlign w:val="bottom"/>
          </w:tcPr>
          <w:p>
            <w:pPr>
              <w:spacing w:after="0"/>
              <w:rPr>
                <w:sz w:val="20"/>
                <w:szCs w:val="20"/>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Use of proceeds</w:t>
            </w:r>
          </w:p>
        </w:tc>
        <w:tc>
          <w:tcPr>
            <w:tcW w:w="6260" w:type="dxa"/>
            <w:vAlign w:val="bottom"/>
            <w:gridSpan w:val="3"/>
          </w:tcPr>
          <w:p>
            <w:pPr>
              <w:ind w:left="1440"/>
              <w:spacing w:after="0"/>
              <w:rPr>
                <w:sz w:val="20"/>
                <w:szCs w:val="20"/>
                <w:color w:val="auto"/>
              </w:rPr>
            </w:pPr>
            <w:r>
              <w:rPr>
                <w:rFonts w:ascii="Arial" w:cs="Arial" w:eastAsia="Arial" w:hAnsi="Arial"/>
                <w:sz w:val="18"/>
                <w:szCs w:val="18"/>
                <w:color w:val="auto"/>
                <w:w w:val="93"/>
              </w:rPr>
              <w:t>We estimate that the net proceeds from our issuance and sale of</w:t>
            </w:r>
          </w:p>
        </w:tc>
        <w:tc>
          <w:tcPr>
            <w:tcW w:w="1620" w:type="dxa"/>
            <w:vAlign w:val="bottom"/>
          </w:tcPr>
          <w:p>
            <w:pPr>
              <w:ind w:left="240"/>
              <w:spacing w:after="0"/>
              <w:rPr>
                <w:sz w:val="20"/>
                <w:szCs w:val="20"/>
                <w:color w:val="auto"/>
              </w:rPr>
            </w:pPr>
            <w:r>
              <w:rPr>
                <w:rFonts w:ascii="Arial" w:cs="Arial" w:eastAsia="Arial" w:hAnsi="Arial"/>
                <w:sz w:val="18"/>
                <w:szCs w:val="18"/>
                <w:color w:val="auto"/>
              </w:rPr>
              <w:t>ADSs in this</w:t>
            </w:r>
          </w:p>
        </w:tc>
      </w:tr>
      <w:tr>
        <w:trPr>
          <w:trHeight w:val="216"/>
        </w:trPr>
        <w:tc>
          <w:tcPr>
            <w:tcW w:w="3040" w:type="dxa"/>
            <w:vAlign w:val="bottom"/>
          </w:tcPr>
          <w:p>
            <w:pPr>
              <w:spacing w:after="0"/>
              <w:rPr>
                <w:sz w:val="18"/>
                <w:szCs w:val="18"/>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rPr>
              <w:t>offering will be approximately $</w:t>
            </w:r>
          </w:p>
        </w:tc>
        <w:tc>
          <w:tcPr>
            <w:tcW w:w="3560" w:type="dxa"/>
            <w:vAlign w:val="bottom"/>
            <w:gridSpan w:val="3"/>
          </w:tcPr>
          <w:p>
            <w:pPr>
              <w:spacing w:after="0"/>
              <w:rPr>
                <w:sz w:val="20"/>
                <w:szCs w:val="20"/>
                <w:color w:val="auto"/>
              </w:rPr>
            </w:pPr>
            <w:r>
              <w:rPr>
                <w:rFonts w:ascii="Arial" w:cs="Arial" w:eastAsia="Arial" w:hAnsi="Arial"/>
                <w:sz w:val="18"/>
                <w:szCs w:val="18"/>
                <w:color w:val="auto"/>
              </w:rPr>
              <w:t>million, assuming an offering price of $</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980"/>
              <w:spacing w:after="0"/>
              <w:rPr>
                <w:sz w:val="20"/>
                <w:szCs w:val="20"/>
                <w:color w:val="auto"/>
              </w:rPr>
            </w:pPr>
            <w:r>
              <w:rPr>
                <w:rFonts w:ascii="Arial" w:cs="Arial" w:eastAsia="Arial" w:hAnsi="Arial"/>
                <w:sz w:val="18"/>
                <w:szCs w:val="18"/>
                <w:color w:val="auto"/>
                <w:w w:val="91"/>
              </w:rPr>
              <w:t>per ADS, the midpoint of the estimated price range set forth on the cover page of</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9"/>
              </w:rPr>
              <w:t>this prospectus, and after deducting underwriting discounts and commissions and</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0"/>
              </w:rPr>
              <w:t>offering expenses payable by us. If the underwriters exercise the over-allotment option in</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rPr>
              <w:t>full, we estimate that the net proceeds from this offering will be approximately $</w:t>
            </w:r>
          </w:p>
        </w:tc>
      </w:tr>
      <w:tr>
        <w:trPr>
          <w:trHeight w:val="216"/>
        </w:trPr>
        <w:tc>
          <w:tcPr>
            <w:tcW w:w="3040" w:type="dxa"/>
            <w:vAlign w:val="bottom"/>
          </w:tcPr>
          <w:p>
            <w:pPr>
              <w:spacing w:after="0"/>
              <w:rPr>
                <w:sz w:val="18"/>
                <w:szCs w:val="18"/>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w w:val="93"/>
              </w:rPr>
              <w:t>million, assuming an offering price of $</w:t>
            </w:r>
          </w:p>
        </w:tc>
        <w:tc>
          <w:tcPr>
            <w:tcW w:w="32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w w:val="95"/>
              </w:rPr>
              <w:t>per ADS, and after deducting underwriting</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0"/>
              </w:rPr>
              <w:t>discounts and commissions and offering expenses payable by us. We currently expect to</w:t>
            </w:r>
          </w:p>
        </w:tc>
      </w:tr>
      <w:tr>
        <w:trPr>
          <w:trHeight w:val="230"/>
        </w:trPr>
        <w:tc>
          <w:tcPr>
            <w:tcW w:w="3040" w:type="dxa"/>
            <w:vAlign w:val="bottom"/>
          </w:tcPr>
          <w:p>
            <w:pPr>
              <w:spacing w:after="0"/>
              <w:rPr>
                <w:sz w:val="20"/>
                <w:szCs w:val="20"/>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w w:val="91"/>
              </w:rPr>
              <w:t>use the net proceeds from this offering:</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29" w:lineRule="exact"/>
        <w:rPr>
          <w:sz w:val="20"/>
          <w:szCs w:val="20"/>
          <w:color w:val="auto"/>
        </w:rPr>
      </w:pPr>
    </w:p>
    <w:p>
      <w:pPr>
        <w:ind w:left="4480" w:right="440" w:firstLine="7"/>
        <w:spacing w:after="0" w:line="277" w:lineRule="auto"/>
        <w:tabs>
          <w:tab w:leader="none" w:pos="49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conduct a clinical trial in selected cancer patient populations in the United States;</w:t>
      </w:r>
    </w:p>
    <w:p>
      <w:pPr>
        <w:spacing w:after="0" w:line="197" w:lineRule="exact"/>
        <w:rPr>
          <w:rFonts w:ascii="Arial" w:cs="Arial" w:eastAsia="Arial" w:hAnsi="Arial"/>
          <w:sz w:val="18"/>
          <w:szCs w:val="18"/>
          <w:color w:val="auto"/>
        </w:rPr>
      </w:pPr>
    </w:p>
    <w:p>
      <w:pPr>
        <w:ind w:left="4960" w:hanging="473"/>
        <w:spacing w:after="0"/>
        <w:tabs>
          <w:tab w:leader="none" w:pos="4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support the ongoing Temferon TEM-GBM 001 trial and its long term follow</w:t>
      </w:r>
    </w:p>
    <w:p>
      <w:pPr>
        <w:spacing w:after="0" w:line="34" w:lineRule="exact"/>
        <w:rPr>
          <w:rFonts w:ascii="Arial" w:cs="Arial" w:eastAsia="Arial" w:hAnsi="Arial"/>
          <w:sz w:val="17"/>
          <w:szCs w:val="17"/>
          <w:color w:val="auto"/>
        </w:rPr>
      </w:pPr>
    </w:p>
    <w:p>
      <w:pPr>
        <w:ind w:left="4480"/>
        <w:spacing w:after="0"/>
        <w:rPr>
          <w:rFonts w:ascii="Arial" w:cs="Arial" w:eastAsia="Arial" w:hAnsi="Arial"/>
          <w:sz w:val="17"/>
          <w:szCs w:val="17"/>
          <w:color w:val="auto"/>
        </w:rPr>
      </w:pPr>
      <w:r>
        <w:rPr>
          <w:rFonts w:ascii="Arial" w:cs="Arial" w:eastAsia="Arial" w:hAnsi="Arial"/>
          <w:sz w:val="18"/>
          <w:szCs w:val="18"/>
          <w:color w:val="auto"/>
        </w:rPr>
        <w:t>up;</w:t>
      </w:r>
    </w:p>
    <w:p>
      <w:pPr>
        <w:spacing w:after="0" w:line="237" w:lineRule="exact"/>
        <w:rPr>
          <w:rFonts w:ascii="Arial" w:cs="Arial" w:eastAsia="Arial" w:hAnsi="Arial"/>
          <w:sz w:val="17"/>
          <w:szCs w:val="17"/>
          <w:color w:val="auto"/>
        </w:rPr>
      </w:pPr>
    </w:p>
    <w:p>
      <w:pPr>
        <w:ind w:left="4960" w:hanging="473"/>
        <w:spacing w:after="0"/>
        <w:tabs>
          <w:tab w:leader="none" w:pos="4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start a new Temferon clinical program in a second solid tumor indication;</w:t>
      </w:r>
    </w:p>
    <w:p>
      <w:pPr>
        <w:spacing w:after="0" w:line="263" w:lineRule="exact"/>
        <w:rPr>
          <w:rFonts w:ascii="Arial" w:cs="Arial" w:eastAsia="Arial" w:hAnsi="Arial"/>
          <w:sz w:val="17"/>
          <w:szCs w:val="17"/>
          <w:color w:val="auto"/>
        </w:rPr>
      </w:pPr>
    </w:p>
    <w:p>
      <w:pPr>
        <w:ind w:left="4480" w:right="80" w:firstLine="7"/>
        <w:spacing w:after="0" w:line="277" w:lineRule="auto"/>
        <w:tabs>
          <w:tab w:leader="none" w:pos="49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fund further preclinical research for the development of Temferon across broad cancer indications;</w:t>
      </w:r>
    </w:p>
    <w:p>
      <w:pPr>
        <w:spacing w:after="0" w:line="197" w:lineRule="exact"/>
        <w:rPr>
          <w:rFonts w:ascii="Arial" w:cs="Arial" w:eastAsia="Arial" w:hAnsi="Arial"/>
          <w:sz w:val="18"/>
          <w:szCs w:val="18"/>
          <w:color w:val="auto"/>
        </w:rPr>
      </w:pPr>
    </w:p>
    <w:p>
      <w:pPr>
        <w:ind w:left="4480" w:right="40" w:firstLine="7"/>
        <w:spacing w:after="0" w:line="277" w:lineRule="auto"/>
        <w:tabs>
          <w:tab w:leader="none" w:pos="49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fund Temferon manufacturing activities including LVV manufacturing, stability and process scalability studies, and tech transfer activities; and</w:t>
      </w:r>
    </w:p>
    <w:p>
      <w:pPr>
        <w:spacing w:after="0" w:line="197" w:lineRule="exact"/>
        <w:rPr>
          <w:rFonts w:ascii="Arial" w:cs="Arial" w:eastAsia="Arial" w:hAnsi="Arial"/>
          <w:sz w:val="18"/>
          <w:szCs w:val="18"/>
          <w:color w:val="auto"/>
        </w:rPr>
      </w:pPr>
    </w:p>
    <w:p>
      <w:pPr>
        <w:ind w:left="4920" w:hanging="433"/>
        <w:spacing w:after="0"/>
        <w:tabs>
          <w:tab w:leader="none" w:pos="4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52" w:lineRule="exact"/>
        <w:rPr>
          <w:sz w:val="20"/>
          <w:szCs w:val="20"/>
          <w:color w:val="auto"/>
        </w:rPr>
      </w:pPr>
    </w:p>
    <w:p>
      <w:pPr>
        <w:ind w:left="4480" w:right="140"/>
        <w:spacing w:after="0" w:line="277" w:lineRule="auto"/>
        <w:rPr>
          <w:sz w:val="20"/>
          <w:szCs w:val="20"/>
          <w:color w:val="auto"/>
        </w:rPr>
      </w:pPr>
      <w:r>
        <w:rPr>
          <w:rFonts w:ascii="Arial" w:cs="Arial" w:eastAsia="Arial" w:hAnsi="Arial"/>
          <w:sz w:val="18"/>
          <w:szCs w:val="18"/>
          <w:color w:val="auto"/>
        </w:rPr>
        <w:t>See “Use of Proceeds” for additional information. See “Use of Proceeds” for additional information.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-283845</wp:posOffset>
            </wp:positionV>
            <wp:extent cx="7127875" cy="4744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7875" cy="47447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720"/>
            <w:col w:w="6420"/>
          </w:cols>
          <w:pgMar w:left="480" w:top="989" w:right="51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Custodian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Bank of New York Mellon, as custodian, acting through an office located in the United Kingdom</w:t>
      </w:r>
    </w:p>
    <w:p>
      <w:pPr>
        <w:spacing w:after="0" w:line="170"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Proposed Nasdaq trading symbol and listing</w:t>
      </w:r>
    </w:p>
    <w:p>
      <w:pPr>
        <w:spacing w:after="0" w:line="20" w:lineRule="exact"/>
        <w:rPr>
          <w:sz w:val="20"/>
          <w:szCs w:val="20"/>
          <w:color w:val="auto"/>
        </w:rPr>
      </w:pPr>
      <w:r>
        <w:rPr>
          <w:sz w:val="20"/>
          <w:szCs w:val="20"/>
          <w:color w:val="auto"/>
        </w:rPr>
        <w:br w:type="column"/>
      </w:r>
    </w:p>
    <w:p>
      <w:pPr>
        <w:ind w:right="220"/>
        <w:spacing w:after="0" w:line="263" w:lineRule="auto"/>
        <w:rPr>
          <w:sz w:val="20"/>
          <w:szCs w:val="20"/>
          <w:color w:val="auto"/>
        </w:rPr>
      </w:pPr>
      <w:r>
        <w:rPr>
          <w:rFonts w:ascii="Arial" w:cs="Arial" w:eastAsia="Arial" w:hAnsi="Arial"/>
          <w:sz w:val="18"/>
          <w:szCs w:val="18"/>
          <w:color w:val="auto"/>
        </w:rPr>
        <w:t>We plan to apply to list the ADSs on the Nasdaq Capital Market under the symbol “GNTA.” No assurance can be given that such listing will be approved or that a liquid trading market will develop for the ADSs.</w:t>
      </w:r>
    </w:p>
    <w:p>
      <w:pPr>
        <w:spacing w:after="0" w:line="184"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7"/>
          <w:szCs w:val="17"/>
          <w:color w:val="auto"/>
        </w:rPr>
        <w:t>Lock-up</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Our directors, executive officers, and certain shareholders have agreed with the underwriters not to offer for sale, issue, sell, contract to sell, pledge or otherwise dispose of any of our ordinary shares or securities convertible into ordinary shares for a period of 180 days following the date of this prospectus. See “Underwriting.”</w:t>
      </w:r>
    </w:p>
    <w:p>
      <w:pPr>
        <w:spacing w:after="0" w:line="17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0"/>
        <w:spacing w:after="0" w:line="342" w:lineRule="auto"/>
        <w:rPr>
          <w:sz w:val="20"/>
          <w:szCs w:val="20"/>
          <w:color w:val="auto"/>
        </w:rPr>
      </w:pPr>
      <w:r>
        <w:rPr>
          <w:rFonts w:ascii="Arial" w:cs="Arial" w:eastAsia="Arial" w:hAnsi="Arial"/>
          <w:sz w:val="16"/>
          <w:szCs w:val="16"/>
          <w:color w:val="auto"/>
        </w:rPr>
        <w:t>You should read the “Risk Factors” section starting on page 12 of this prospectus for a discussion of factors to consider carefully before deciding to invest in our securities.</w:t>
      </w:r>
    </w:p>
    <w:p>
      <w:pPr>
        <w:spacing w:after="0" w:line="15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ind w:right="360" w:firstLine="648"/>
        <w:spacing w:after="0" w:line="277" w:lineRule="auto"/>
        <w:rPr>
          <w:sz w:val="20"/>
          <w:szCs w:val="20"/>
          <w:color w:val="auto"/>
        </w:rPr>
      </w:pPr>
      <w:r>
        <w:rPr>
          <w:rFonts w:ascii="Arial" w:cs="Arial" w:eastAsia="Arial" w:hAnsi="Arial"/>
          <w:sz w:val="18"/>
          <w:szCs w:val="18"/>
          <w:color w:val="auto"/>
        </w:rPr>
        <w:t>The number of our ordinary shares that are and will be outstanding immediately before and after this offering as shown above is based on ordinary shares outstanding as of , 2021, after giving pro forma effect to the Corporate Conversion, and excludes:</w:t>
      </w:r>
    </w:p>
    <w:p>
      <w:pPr>
        <w:sectPr>
          <w:pgSz w:w="11900" w:h="16838" w:orient="portrait"/>
          <w:cols w:equalWidth="0" w:num="1">
            <w:col w:w="10900"/>
          </w:cols>
          <w:pgMar w:left="480" w:top="989" w:right="519" w:bottom="1440" w:gutter="0" w:footer="0" w:header="0"/>
          <w:type w:val="continuous"/>
        </w:sectPr>
      </w:pP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issuable upon vesting of stock options outstanding as of</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 2021; and</w:t>
      </w:r>
    </w:p>
    <w:p>
      <w:pPr>
        <w:spacing w:after="0" w:line="219" w:lineRule="exact"/>
        <w:rPr>
          <w:sz w:val="20"/>
          <w:szCs w:val="20"/>
          <w:color w:val="auto"/>
        </w:rPr>
      </w:pPr>
    </w:p>
    <w:p>
      <w:pPr>
        <w:sectPr>
          <w:pgSz w:w="11900" w:h="16838" w:orient="portrait"/>
          <w:cols w:equalWidth="0" w:num="3">
            <w:col w:w="440" w:space="400"/>
            <w:col w:w="5160" w:space="220"/>
            <w:col w:w="4680"/>
          </w:cols>
          <w:pgMar w:left="480" w:top="989" w:right="519" w:bottom="1440" w:gutter="0" w:footer="0" w:header="0"/>
          <w:type w:val="continuous"/>
        </w:sectPr>
      </w:pPr>
    </w:p>
    <w:p>
      <w:pPr>
        <w:ind w:left="660" w:right="3100" w:hanging="331"/>
        <w:spacing w:after="0" w:line="563" w:lineRule="auto"/>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ordinary shares that are available for future issuance under our 2021-2025 Equity Incentive Plan. Unless otherwise indicated, this prospectus reflects and assumes the following:</w:t>
      </w:r>
    </w:p>
    <w:p>
      <w:pPr>
        <w:ind w:left="660" w:right="180" w:hanging="331"/>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completion of the Corporate Conversion in which all outstanding quotas of Genenta Science S.r.l. will be converted into an aggregate of [15,000,000] ordinary shares of Genenta Science S.p.A.; and</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exercise by the underwriters of their over-allotment option or the warrants to purchase ADSs at an exercise price per share equal to 125%</w:t>
      </w:r>
    </w:p>
    <w:p>
      <w:pPr>
        <w:spacing w:after="0" w:line="46" w:lineRule="exact"/>
        <w:rPr>
          <w:rFonts w:ascii="Arial" w:cs="Arial" w:eastAsia="Arial" w:hAnsi="Arial"/>
          <w:sz w:val="16"/>
          <w:szCs w:val="16"/>
          <w:color w:val="auto"/>
        </w:rPr>
      </w:pPr>
    </w:p>
    <w:p>
      <w:pPr>
        <w:ind w:left="660" w:right="280"/>
        <w:spacing w:after="0" w:line="260" w:lineRule="auto"/>
        <w:rPr>
          <w:rFonts w:ascii="Arial" w:cs="Arial" w:eastAsia="Arial" w:hAnsi="Arial"/>
          <w:sz w:val="16"/>
          <w:szCs w:val="16"/>
          <w:color w:val="auto"/>
        </w:rPr>
      </w:pPr>
      <w:r>
        <w:rPr>
          <w:rFonts w:ascii="Arial" w:cs="Arial" w:eastAsia="Arial" w:hAnsi="Arial"/>
          <w:sz w:val="18"/>
          <w:szCs w:val="18"/>
          <w:color w:val="auto"/>
        </w:rPr>
        <w:t>of the initial public offering price per ADS or $ , that will be issued to the representatives of the underwriters in connection with this offering (the “Representatives’ Warrants”).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8219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7875" cy="7821930"/>
                    </a:xfrm>
                    <a:prstGeom prst="rect">
                      <a:avLst/>
                    </a:prstGeom>
                    <a:noFill/>
                  </pic:spPr>
                </pic:pic>
              </a:graphicData>
            </a:graphic>
          </wp:anchor>
        </w:drawing>
        <w:t>SUMMARY FINANCIAL DATA</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derived the following summary statements of operations data for the years ended December 31, 2020 and 2019 and summary balance sheet data as of December 31, 2020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 and are qualified entirely by reference to such financial statements.</w:t>
      </w:r>
    </w:p>
    <w:p>
      <w:pPr>
        <w:spacing w:after="0" w:line="20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financial statements included in this prospectus are prepared and presented in accordance with accounting principles generally accepted in the United States, or U.S. GAAP.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gridSpan w:val="4"/>
          </w:tcPr>
          <w:p>
            <w:pPr>
              <w:jc w:val="center"/>
              <w:ind w:left="775"/>
              <w:spacing w:after="0"/>
              <w:rPr>
                <w:sz w:val="20"/>
                <w:szCs w:val="20"/>
                <w:color w:val="auto"/>
              </w:rPr>
            </w:pPr>
            <w:r>
              <w:rPr>
                <w:rFonts w:ascii="Arial" w:cs="Arial" w:eastAsia="Arial" w:hAnsi="Arial"/>
                <w:sz w:val="14"/>
                <w:szCs w:val="14"/>
                <w:b w:val="1"/>
                <w:bCs w:val="1"/>
                <w:color w:val="auto"/>
                <w:w w:val="93"/>
              </w:rPr>
              <w:t>Year Ended</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center"/>
              <w:ind w:left="775"/>
              <w:spacing w:after="0"/>
              <w:rPr>
                <w:sz w:val="20"/>
                <w:szCs w:val="20"/>
                <w:color w:val="auto"/>
              </w:rPr>
            </w:pPr>
            <w:r>
              <w:rPr>
                <w:rFonts w:ascii="Arial" w:cs="Arial" w:eastAsia="Arial" w:hAnsi="Arial"/>
                <w:sz w:val="14"/>
                <w:szCs w:val="14"/>
                <w:b w:val="1"/>
                <w:bCs w:val="1"/>
                <w:color w:val="auto"/>
                <w:w w:val="92"/>
              </w:rPr>
              <w:t>December 31,</w:t>
            </w:r>
          </w:p>
        </w:tc>
        <w:tc>
          <w:tcPr>
            <w:tcW w:w="1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i w:val="1"/>
                <w:iCs w:val="1"/>
                <w:color w:val="auto"/>
              </w:rPr>
              <w:t>in Euros, except share data</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4,688,461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3,702,982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901,765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921,520</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5,590,226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4,624,502</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line="203" w:lineRule="exact"/>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(5,590,226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(4,624,502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Finance expense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gridSpan w:val="2"/>
          </w:tcPr>
          <w:p>
            <w:pPr>
              <w:jc w:val="right"/>
              <w:ind w:right="1"/>
              <w:spacing w:after="0"/>
              <w:rPr>
                <w:sz w:val="20"/>
                <w:szCs w:val="20"/>
                <w:color w:val="auto"/>
              </w:rPr>
            </w:pPr>
            <w:r>
              <w:rPr>
                <w:rFonts w:ascii="Arial" w:cs="Arial" w:eastAsia="Arial" w:hAnsi="Arial"/>
                <w:sz w:val="18"/>
                <w:szCs w:val="18"/>
                <w:color w:val="auto"/>
              </w:rPr>
              <w:t>(7,754)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66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(5,592,014)</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0" w:type="dxa"/>
            <w:vAlign w:val="bottom"/>
          </w:tcPr>
          <w:p>
            <w:pPr>
              <w:spacing w:after="0"/>
              <w:rPr>
                <w:sz w:val="1"/>
                <w:szCs w:val="1"/>
                <w:color w:val="auto"/>
              </w:rPr>
            </w:pPr>
          </w:p>
        </w:tc>
      </w:tr>
      <w:tr>
        <w:trPr>
          <w:trHeight w:val="297"/>
        </w:trPr>
        <w:tc>
          <w:tcPr>
            <w:tcW w:w="20" w:type="dxa"/>
            <w:vAlign w:val="bottom"/>
            <w:vMerge w:val="restart"/>
          </w:tcPr>
          <w:p>
            <w:pPr>
              <w:spacing w:after="0"/>
              <w:rPr>
                <w:sz w:val="24"/>
                <w:szCs w:val="24"/>
                <w:color w:val="auto"/>
              </w:rPr>
            </w:pPr>
          </w:p>
        </w:tc>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information (unaudited):</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spacing w:after="0"/>
              <w:rPr>
                <w:sz w:val="20"/>
                <w:szCs w:val="20"/>
                <w:color w:val="auto"/>
              </w:rPr>
            </w:pPr>
            <w:r>
              <w:rPr>
                <w:rFonts w:ascii="Arial" w:cs="Arial" w:eastAsia="Arial" w:hAnsi="Arial"/>
                <w:sz w:val="18"/>
                <w:szCs w:val="18"/>
                <w:color w:val="auto"/>
              </w:rPr>
              <w:t>Pro forma net loss</w:t>
            </w: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6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Pro forma net loss per share - basic and diluted</w:t>
            </w: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spacing w:after="0"/>
              <w:rPr>
                <w:sz w:val="20"/>
                <w:szCs w:val="20"/>
                <w:color w:val="auto"/>
              </w:rPr>
            </w:pPr>
            <w:r>
              <w:rPr>
                <w:rFonts w:ascii="Arial" w:cs="Arial" w:eastAsia="Arial" w:hAnsi="Arial"/>
                <w:sz w:val="18"/>
                <w:szCs w:val="18"/>
                <w:color w:val="auto"/>
              </w:rPr>
              <w:t>Weighted average pro forma number of shares outstanding - basic and diluted</w:t>
            </w: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20" w:hanging="315"/>
        <w:spacing w:after="0"/>
        <w:tabs>
          <w:tab w:leader="none" w:pos="320" w:val="left"/>
        </w:tabs>
        <w:numPr>
          <w:ilvl w:val="0"/>
          <w:numId w:val="16"/>
        </w:numPr>
        <w:rPr>
          <w:rFonts w:ascii="Arial" w:cs="Arial" w:eastAsia="Arial" w:hAnsi="Arial"/>
          <w:sz w:val="11"/>
          <w:szCs w:val="11"/>
          <w:color w:val="auto"/>
        </w:rPr>
      </w:pPr>
      <w:r>
        <w:rPr>
          <w:rFonts w:ascii="Arial" w:cs="Arial" w:eastAsia="Arial" w:hAnsi="Arial"/>
          <w:sz w:val="13"/>
          <w:szCs w:val="13"/>
          <w:color w:val="auto"/>
        </w:rPr>
        <w:t>We have presented pro forma basic and diluted net loss per share which consists of our historical net loss attributable to Genenta Science S.r.l., divided by the pro forma basic and</w:t>
      </w:r>
    </w:p>
    <w:p>
      <w:pPr>
        <w:spacing w:after="0" w:line="11" w:lineRule="exact"/>
        <w:rPr>
          <w:sz w:val="20"/>
          <w:szCs w:val="20"/>
          <w:color w:val="auto"/>
        </w:rPr>
      </w:pPr>
    </w:p>
    <w:p>
      <w:pPr>
        <w:ind w:left="320" w:right="60"/>
        <w:spacing w:after="0" w:line="232" w:lineRule="auto"/>
        <w:rPr>
          <w:sz w:val="20"/>
          <w:szCs w:val="20"/>
          <w:color w:val="auto"/>
        </w:rPr>
      </w:pPr>
      <w:r>
        <w:rPr>
          <w:rFonts w:ascii="Arial" w:cs="Arial" w:eastAsia="Arial" w:hAnsi="Arial"/>
          <w:sz w:val="14"/>
          <w:szCs w:val="14"/>
          <w:color w:val="auto"/>
        </w:rPr>
        <w:t>diluted weighted average number of shares outstanding after giving effect to the Corporate Conversion. See Note to our financial statements included elsewhere in this prospectus for additional information regarding the method used to calculate the pro forma basic and diluted net loss per share and the pro forma weighted average number of shares used in the computation of the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1400" w:type="dxa"/>
            <w:vAlign w:val="bottom"/>
          </w:tcPr>
          <w:p>
            <w:pPr>
              <w:spacing w:after="0"/>
              <w:rPr>
                <w:sz w:val="14"/>
                <w:szCs w:val="14"/>
                <w:color w:val="auto"/>
              </w:rPr>
            </w:pPr>
          </w:p>
        </w:tc>
      </w:tr>
      <w:tr>
        <w:trPr>
          <w:trHeight w:val="178"/>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400" w:type="dxa"/>
            <w:vAlign w:val="bottom"/>
            <w:tcBorders>
              <w:bottom w:val="single" w:sz="8" w:color="auto"/>
            </w:tcBorders>
          </w:tcPr>
          <w:p>
            <w:pPr>
              <w:spacing w:after="0"/>
              <w:rPr>
                <w:sz w:val="15"/>
                <w:szCs w:val="15"/>
                <w:color w:val="auto"/>
              </w:rPr>
            </w:pPr>
          </w:p>
        </w:tc>
      </w:tr>
      <w:tr>
        <w:trPr>
          <w:trHeight w:val="136"/>
        </w:trPr>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ind w:left="260"/>
              <w:spacing w:after="0" w:line="136" w:lineRule="exact"/>
              <w:rPr>
                <w:sz w:val="20"/>
                <w:szCs w:val="20"/>
                <w:color w:val="auto"/>
              </w:rPr>
            </w:pPr>
            <w:r>
              <w:rPr>
                <w:rFonts w:ascii="Arial" w:cs="Arial" w:eastAsia="Arial" w:hAnsi="Arial"/>
                <w:sz w:val="14"/>
                <w:szCs w:val="14"/>
                <w:b w:val="1"/>
                <w:bCs w:val="1"/>
                <w:color w:val="auto"/>
              </w:rPr>
              <w:t>Pro Forma As</w:t>
            </w:r>
          </w:p>
        </w:tc>
      </w:tr>
      <w:tr>
        <w:trPr>
          <w:trHeight w:val="209"/>
        </w:trPr>
        <w:tc>
          <w:tcPr>
            <w:tcW w:w="5120" w:type="dxa"/>
            <w:vAlign w:val="bottom"/>
          </w:tcPr>
          <w:p>
            <w:pPr>
              <w:ind w:left="2300"/>
              <w:spacing w:after="0"/>
              <w:rPr>
                <w:sz w:val="20"/>
                <w:szCs w:val="20"/>
                <w:color w:val="auto"/>
              </w:rPr>
            </w:pPr>
            <w:r>
              <w:rPr>
                <w:rFonts w:ascii="Arial" w:cs="Arial" w:eastAsia="Arial" w:hAnsi="Arial"/>
                <w:sz w:val="14"/>
                <w:szCs w:val="14"/>
                <w:b w:val="1"/>
                <w:bCs w:val="1"/>
                <w:i w:val="1"/>
                <w:iCs w:val="1"/>
                <w:color w:val="auto"/>
              </w:rPr>
              <w:t>in Euros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Actual</w:t>
            </w:r>
          </w:p>
        </w:tc>
        <w:tc>
          <w:tcPr>
            <w:tcW w:w="1580" w:type="dxa"/>
            <w:vAlign w:val="bottom"/>
            <w:gridSpan w:val="2"/>
          </w:tcPr>
          <w:p>
            <w:pPr>
              <w:ind w:left="340"/>
              <w:spacing w:after="0" w:line="202"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23"/>
                <w:szCs w:val="23"/>
                <w:b w:val="1"/>
                <w:bCs w:val="1"/>
                <w:color w:val="auto"/>
                <w:vertAlign w:val="superscript"/>
              </w:rPr>
              <w:t>(1)</w:t>
            </w:r>
          </w:p>
        </w:tc>
        <w:tc>
          <w:tcPr>
            <w:tcW w:w="1400" w:type="dxa"/>
            <w:vAlign w:val="bottom"/>
          </w:tcPr>
          <w:p>
            <w:pPr>
              <w:ind w:left="280"/>
              <w:spacing w:after="0" w:line="202"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23"/>
                <w:szCs w:val="23"/>
                <w:b w:val="1"/>
                <w:bCs w:val="1"/>
                <w:color w:val="auto"/>
                <w:vertAlign w:val="superscript"/>
              </w:rPr>
              <w:t>(2)(3)</w:t>
            </w:r>
          </w:p>
        </w:tc>
      </w:tr>
      <w:tr>
        <w:trPr>
          <w:trHeight w:val="216"/>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15,465,243</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17,502,115</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17,388</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(21,490,475)</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15,151,309</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50" w:lineRule="exact"/>
        <w:rPr>
          <w:sz w:val="20"/>
          <w:szCs w:val="20"/>
          <w:color w:val="auto"/>
        </w:rPr>
      </w:pPr>
    </w:p>
    <w:p>
      <w:pPr>
        <w:ind w:left="320" w:hanging="315"/>
        <w:spacing w:after="0"/>
        <w:tabs>
          <w:tab w:leader="none" w:pos="320" w:val="left"/>
        </w:tabs>
        <w:numPr>
          <w:ilvl w:val="0"/>
          <w:numId w:val="17"/>
        </w:numPr>
        <w:rPr>
          <w:rFonts w:ascii="Arial" w:cs="Arial" w:eastAsia="Arial" w:hAnsi="Arial"/>
          <w:sz w:val="12"/>
          <w:szCs w:val="12"/>
          <w:color w:val="auto"/>
        </w:rPr>
      </w:pPr>
      <w:r>
        <w:rPr>
          <w:rFonts w:ascii="Arial" w:cs="Arial" w:eastAsia="Arial" w:hAnsi="Arial"/>
          <w:sz w:val="14"/>
          <w:szCs w:val="14"/>
          <w:color w:val="auto"/>
        </w:rPr>
        <w:t>Reflects the Corporate Conversion.</w:t>
      </w:r>
    </w:p>
    <w:p>
      <w:pPr>
        <w:spacing w:after="0" w:line="136" w:lineRule="exact"/>
        <w:rPr>
          <w:sz w:val="20"/>
          <w:szCs w:val="20"/>
          <w:color w:val="auto"/>
        </w:rPr>
      </w:pPr>
    </w:p>
    <w:p>
      <w:pPr>
        <w:ind w:left="320" w:right="220" w:hanging="319"/>
        <w:spacing w:after="0" w:line="230" w:lineRule="auto"/>
        <w:tabs>
          <w:tab w:leader="none" w:pos="30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4"/>
          <w:szCs w:val="14"/>
          <w:color w:val="auto"/>
        </w:rPr>
        <w:t>The pro forma as adjusted balance sheet data gives effect to (i) the pro forma adjustments set forth in footnote (1) above and (ii) the issuance and sale of ADSs, representing ordinary shares, in this offering at the assumed initial public offering price of $ per ADS, the midpoint of the price range set forth on the cover page of</w:t>
      </w:r>
    </w:p>
    <w:p>
      <w:pPr>
        <w:ind w:left="320"/>
        <w:spacing w:after="0"/>
        <w:rPr>
          <w:sz w:val="20"/>
          <w:szCs w:val="20"/>
          <w:color w:val="auto"/>
        </w:rPr>
      </w:pPr>
      <w:r>
        <w:rPr>
          <w:rFonts w:ascii="Arial" w:cs="Arial" w:eastAsia="Arial" w:hAnsi="Arial"/>
          <w:sz w:val="13"/>
          <w:szCs w:val="13"/>
          <w:color w:val="auto"/>
        </w:rPr>
        <w:t>this prospectus, after deducting the estimated underwriting discounts and commissions and estimated offering expenses payable by us. Each $1.00 increase (decrease) in the assumed</w:t>
      </w:r>
    </w:p>
    <w:p>
      <w:pPr>
        <w:ind w:left="320" w:right="60"/>
        <w:spacing w:after="0" w:line="238" w:lineRule="auto"/>
        <w:rPr>
          <w:sz w:val="20"/>
          <w:szCs w:val="20"/>
          <w:color w:val="auto"/>
        </w:rPr>
      </w:pPr>
      <w:r>
        <w:rPr>
          <w:rFonts w:ascii="Arial" w:cs="Arial" w:eastAsia="Arial" w:hAnsi="Arial"/>
          <w:sz w:val="13"/>
          <w:szCs w:val="13"/>
          <w:color w:val="auto"/>
        </w:rPr>
        <w:t>initial public offering price of $ per ADS would increase (decrease) the pro forma as adjusted amount of each of cash and cash equivalents, total assets and total equity by approximately € , assuming that the number of ADSs offered by us, as set forth on the cover page of this prospectus, remains the same and after deducting the estimated underwriting discounts and commissions and estimated offering expenses payable by us. Similarly, each increase (decrease) of 1.0 million in the number of ADSs offered by us at the assumed</w:t>
      </w:r>
    </w:p>
    <w:p>
      <w:pPr>
        <w:spacing w:after="0" w:line="1" w:lineRule="exact"/>
        <w:rPr>
          <w:sz w:val="20"/>
          <w:szCs w:val="20"/>
          <w:color w:val="auto"/>
        </w:rPr>
      </w:pPr>
    </w:p>
    <w:p>
      <w:pPr>
        <w:ind w:left="320"/>
        <w:spacing w:after="0"/>
        <w:tabs>
          <w:tab w:leader="none" w:pos="8620" w:val="left"/>
        </w:tabs>
        <w:rPr>
          <w:sz w:val="20"/>
          <w:szCs w:val="20"/>
          <w:color w:val="auto"/>
        </w:rPr>
      </w:pPr>
      <w:r>
        <w:rPr>
          <w:rFonts w:ascii="Arial" w:cs="Arial" w:eastAsia="Arial" w:hAnsi="Arial"/>
          <w:sz w:val="13"/>
          <w:szCs w:val="13"/>
          <w:color w:val="auto"/>
        </w:rPr>
        <w:t>initial public offering price would increase (decrease) each of cash and cash equivalents, total assets and total equity by approximately €</w:t>
      </w:r>
      <w:r>
        <w:rPr>
          <w:sz w:val="20"/>
          <w:szCs w:val="20"/>
          <w:color w:val="auto"/>
        </w:rPr>
        <w:tab/>
      </w:r>
      <w:r>
        <w:rPr>
          <w:rFonts w:ascii="Arial" w:cs="Arial" w:eastAsia="Arial" w:hAnsi="Arial"/>
          <w:sz w:val="14"/>
          <w:szCs w:val="14"/>
          <w:color w:val="auto"/>
        </w:rPr>
        <w:t>.</w:t>
      </w:r>
    </w:p>
    <w:p>
      <w:pPr>
        <w:spacing w:after="0" w:line="124" w:lineRule="exact"/>
        <w:rPr>
          <w:sz w:val="20"/>
          <w:szCs w:val="20"/>
          <w:color w:val="auto"/>
        </w:rPr>
      </w:pPr>
    </w:p>
    <w:p>
      <w:pPr>
        <w:ind w:left="320" w:right="340" w:hanging="315"/>
        <w:spacing w:after="0" w:line="253" w:lineRule="auto"/>
        <w:tabs>
          <w:tab w:leader="none" w:pos="320" w:val="left"/>
        </w:tabs>
        <w:numPr>
          <w:ilvl w:val="0"/>
          <w:numId w:val="18"/>
        </w:numPr>
        <w:rPr>
          <w:rFonts w:ascii="Arial" w:cs="Arial" w:eastAsia="Arial" w:hAnsi="Arial"/>
          <w:sz w:val="12"/>
          <w:szCs w:val="12"/>
          <w:color w:val="auto"/>
        </w:rPr>
      </w:pPr>
      <w:r>
        <w:rPr>
          <w:rFonts w:ascii="Arial" w:cs="Arial" w:eastAsia="Arial" w:hAnsi="Arial"/>
          <w:sz w:val="14"/>
          <w:szCs w:val="14"/>
          <w:color w:val="auto"/>
        </w:rPr>
        <w:t>The pro forma as adjusted information discussed above is illustrative only and will be adjusted based on the actual initial public offering price and other terms of our initial public offering determined at pricing.</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We operate in a dynamic and rapidly changing industry that involves numerous risks and uncertainties. You should consider carefully the risks described below, as well as the financial or other information included in this prospectus, including our financial statements and the related notes, before you decide to buy our securities. The risks and uncertainties described below are not the only risks facing us. We may face additional risks and uncertainties not currently known to us or that we currently deem to be immaterial. Any of the risks described below, and any such additional risks, could materially adversely affect our business, financial condition or results of operations. In such case, you may lose all or part of your original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limited operating history, which may make it difficult for you to evaluate the success of our business to date and to assess our future viability.</w:t>
      </w:r>
    </w:p>
    <w:p>
      <w:pPr>
        <w:spacing w:after="0" w:line="19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are an emerging biotechnology company with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All of our product candidates are in early development and none have been approved for commercial sale. We have not demonstrated an ability to successfully complete late-stage clinical trials, obtain regulatory approvals, manufacture our product candidates at commercial scale or arrange for a third-party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in every year since our inception. We expect to continue to incur losses over the next several years and may never achieve or maintain profitability.</w:t>
      </w:r>
    </w:p>
    <w:p>
      <w:pPr>
        <w:spacing w:after="0" w:line="197"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We have no products approved for commercial sale, have not generated any revenue from commercial sales of our product candidates, and have incurred net losses each year since our inception. Our net losses for the years ended December 31, 2020 and 2019 were approximately €5.6 million and €4.6 million, respectively. As of December 31, 2020, we had an accumulated deficit of approximately €(21.5) million. Substantially all of our operating losses resulted from costs incurred in connection with our research and development activities, including pre- and non-clinical development of our gene therapy product candidates, namely our leading product candidate Temferon, and from general and administrative costs associated with our operations.</w:t>
      </w:r>
    </w:p>
    <w:p>
      <w:pPr>
        <w:spacing w:after="0" w:line="188"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expect that it will be several years, if ever, before we have any product approved for commercial sale. We have funded our operations to date primarily through proceeds from the private placement of ordinary shares to our founding shareholders. We expect to continue to incur significant expenses and increasing operating losses for the foreseeable future. We anticipate that our expenses will increase substantially if, and as, we</w:t>
      </w:r>
    </w:p>
    <w:p>
      <w:pPr>
        <w:spacing w:after="0" w:line="176" w:lineRule="exact"/>
        <w:rPr>
          <w:sz w:val="20"/>
          <w:szCs w:val="20"/>
          <w:color w:val="auto"/>
        </w:rPr>
      </w:pPr>
    </w:p>
    <w:p>
      <w:pPr>
        <w:ind w:left="660" w:right="30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the research and development of our gene therapy product candidates, including continuing and conducting preclinical studies and clinical trials of Temferon and conducting preclinical studies and clinical trials for any additional product candidates that we may pursue in the future;</w:t>
      </w:r>
    </w:p>
    <w:p>
      <w:pPr>
        <w:spacing w:after="0" w:line="14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obtain regulatory approval for registration studies for our current product candidate Temferon and any additional product candidates that we may pursue in the future;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8" w:name="page19"/>
    <w:bookmarkEnd w:id="18"/>
    <w:p>
      <w:pPr>
        <w:ind w:left="660" w:right="1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studies, if any, including obtaining orphan drug designation;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industrialize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into a robust, scalable and, if approved, commercially viable process;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and retain qualified technical personnel, such as clinical, quality control, commercial and scientific personnel;</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infrastructure and facilities to support our operations, including adding equipment and physical infrastructure to support our research and development;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revenue from product sales and may never be profitable.</w:t>
      </w:r>
    </w:p>
    <w:p>
      <w:pPr>
        <w:spacing w:after="0" w:line="25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partners, to successfully complete the development of, and obtain the regulatory approvals necessary to commercialize, our product candidates. We do not anticipate generating revenues from product sales for the next several years, if ever, and our ability to do so depends heavily on our success in many areas, including but not limited to:</w:t>
      </w:r>
    </w:p>
    <w:p>
      <w:pPr>
        <w:spacing w:after="0" w:line="21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completing research and pre- and non-clinical development of our products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studies, if any;</w:t>
      </w:r>
    </w:p>
    <w:p>
      <w:pPr>
        <w:spacing w:after="0" w:line="184"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processes and relationships with third parties that can provide adequate (in amount and quality) products and services, and at acceptable costs, to support clinical development and market demand for our product candidates, if marketing approval is received;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for marketing, as viable treatment options.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commercialization, with all associated risks and uncertainties. Therefore we cannot predict when, or if, we will be able to achieve profitability. Additional clinical trials or delays in the initiation and completion of clinical trials could cause our expenses to increase significantly and profitability to be further delayed.</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 w:name="page20"/>
    <w:bookmarkEnd w:id="19"/>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We will need additional capital in the future. Raising additional capital by issuing securities may cause dilution to existing shareholders. Financing may not be available on acceptable terms, or at all. Failure to obtain this necessary capital when needed may force us to delay, limit or terminate our product candidate development efforts or other operations.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December 31, 2020, our cash and cash equivalents were approximately €15.5 million. If we continue to use cash at our historical rates of use we will need significant additional financing, which we may seek through a combination of private and public equity offerings, debt financings and collaboration, strategic alliance and licensing arrangements. To the extent that we raise additional capital through the sale of equity or convertible debt securities, your ownership interest will be diluted, and the terms of any such offerings may include liquidation or other preferences that may adversely affect the then existing shareholders rights. Debt financing, if available,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raise additional funds through collaboration, strategic alliance or licensing arrangements with third parties, we may be required to relinquish rights to some of our technologies or product candidates or otherwise agree to terms unfavorable to us. Even if we believe that we have sufficient funds for our current or future operating plans, we may seek additional capital if market conditions are favorable or if we have specific strategic considerations.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52" w:lineRule="exact"/>
        <w:rPr>
          <w:sz w:val="20"/>
          <w:szCs w:val="20"/>
          <w:color w:val="auto"/>
        </w:rPr>
      </w:pPr>
    </w:p>
    <w:p>
      <w:pPr>
        <w:ind w:left="660" w:right="3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 and non-clinical development and clinical trials for our product candidates, including Temferon;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marketing, manufacturing and distribution, for any of our product candidates for which we receive marketing approval;</w:t>
      </w:r>
    </w:p>
    <w:p>
      <w:pPr>
        <w:spacing w:after="0" w:line="129"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preparing, filing and prosecuting patent and trademark applications, maintaining and enforcing our intellectual property rights and defending our intellectual property-related claims;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52"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holders of our securities and the issuance of additional securities, whether equity or debt, by us, or the possibility of such issuance, may cause the market price of our securities to decline.</w:t>
      </w:r>
    </w:p>
    <w:p>
      <w:pPr>
        <w:spacing w:after="0" w:line="184"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If we are unable to obtain funding on a timely basis, we may be required to significantly curtail, delay or discontinue one or more of our research or development programs or the development or commercialization, if any, of any product candidates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lentivirus ex-vivo gene transfer therapy product candidates are based on a novel technology, which makes it difficult to predict the time and cost of product candidate development and likelihood of subsequently obtaining regulatory approval.</w:t>
      </w:r>
    </w:p>
    <w:p>
      <w:pPr>
        <w:spacing w:after="0" w:line="19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We have concentrated our research and development efforts on our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strategy approach, and our future success is highly dependent upon our successful development of commercially viable gene therapy product candidates. There can be no assurance that we will not experience problems or delays in developing new product candidates and that such problems or delays will not cause unanticipated costs, or that any such development problems can be solved. Because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cell therapies represent a relatively new field of cellular immunotherapy and cancer treatment generally, developing and commercializing our product candidates subjects us to a number of risks and challenges, including:</w:t>
      </w:r>
    </w:p>
    <w:p>
      <w:pPr>
        <w:spacing w:after="0" w:line="188"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obtaining regulatory approval for our product candidates, as the FDA, the EMA, the AIFA and other regulatory authorities have limited experience with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therapies for cancer;</w:t>
      </w:r>
    </w:p>
    <w:p>
      <w:pPr>
        <w:spacing w:after="0" w:line="129"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developing and deploying consistent and reliable processes for engineering a patient’s HSPCs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infusing the engineered HSPCs back into the patient;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sourcing clinical and, if approved, commercial supplies of the materials used to manufacture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programming modules with the desired properties, while avoiding adverse reactions;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creating viral vectors capable of delivering multiple programming modules;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developing a reliable and consistent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modification and manufacturing process;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securing manufacturing capacity suitable for the manufacture of our product candidates in line with expanding enrollment in our clinical studies and our projected commercial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minimizing and avoiding infection and contamination during production of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protocols for the safe administration of our product candidates;</w:t>
      </w:r>
    </w:p>
    <w:p>
      <w:pPr>
        <w:spacing w:after="0" w:line="18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educating medical personnel regarding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technologies and the potential side effect profile of each of our product candidates, such as potential adverse effects related to pyrexia and infections;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establishing integrated solutions in collaboration with specialty treatment centers in order to reduce the burdens and complex logistics commonly associated with the administration of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cell therapies;</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and when we obtain any required regulatory approvals, establishing sales and marketing capabilities or partnerships to successfully launch and commercialize our product candidates and gaining market acceptance of a novel therapy;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third-party payors.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1" w:name="page22"/>
    <w:bookmarkEnd w:id="21"/>
    <w:p>
      <w:pPr>
        <w:jc w:val="both"/>
        <w:ind w:right="160" w:firstLine="648"/>
        <w:spacing w:after="0" w:line="263" w:lineRule="auto"/>
        <w:rPr>
          <w:sz w:val="20"/>
          <w:szCs w:val="20"/>
          <w:color w:val="auto"/>
        </w:rPr>
      </w:pPr>
      <w:r>
        <w:rPr>
          <w:rFonts w:ascii="Arial" w:cs="Arial" w:eastAsia="Arial" w:hAnsi="Arial"/>
          <w:sz w:val="18"/>
          <w:szCs w:val="18"/>
          <w:color w:val="auto"/>
        </w:rPr>
        <w:t xml:space="preserve">We may not be able to successfully develop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or our technology in a manner that will yield products that are safe, effective, scalable or profitable. Additionally, because our technology involves the genetic modification of patient cells </w:t>
      </w:r>
      <w:r>
        <w:rPr>
          <w:rFonts w:ascii="Arial" w:cs="Arial" w:eastAsia="Arial" w:hAnsi="Arial"/>
          <w:sz w:val="18"/>
          <w:szCs w:val="18"/>
          <w:i w:val="1"/>
          <w:iCs w:val="1"/>
          <w:color w:val="auto"/>
        </w:rPr>
        <w:t>ex vivo</w:t>
      </w:r>
      <w:r>
        <w:rPr>
          <w:rFonts w:ascii="Arial" w:cs="Arial" w:eastAsia="Arial" w:hAnsi="Arial"/>
          <w:sz w:val="18"/>
          <w:szCs w:val="18"/>
          <w:color w:val="auto"/>
        </w:rPr>
        <w:t>, we are subject to additional regulatory challenges and risks, including:</w:t>
      </w:r>
    </w:p>
    <w:p>
      <w:pPr>
        <w:spacing w:after="0" w:line="211" w:lineRule="exact"/>
        <w:rPr>
          <w:sz w:val="20"/>
          <w:szCs w:val="20"/>
          <w:color w:val="auto"/>
        </w:rPr>
      </w:pPr>
    </w:p>
    <w:p>
      <w:pPr>
        <w:ind w:left="660" w:right="2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regulatory requirements governing gene and cell therapy products have changed frequently and may continue to change in the future. To date, few CAR-T cell therapy products that involve the genetic modification of patient cells have been approved in the United States and/or the European Union, and no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have been approved by any regulatory authority. In this regard, the European Commission has granted conditional marketing authorization for ZYNTEGLO;</w:t>
      </w:r>
    </w:p>
    <w:p>
      <w:pPr>
        <w:spacing w:after="0" w:line="14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genetically modified products could lead to lymphoma, leukemia or other cancers, or other aberrantly functioning cells in the event of improper insertion of a gene sequence into a patient’s chromosome;</w:t>
      </w:r>
    </w:p>
    <w:p>
      <w:pPr>
        <w:spacing w:after="0" w:line="129"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although our viral vectors are not able to replicate, there is a risk with the use of lentiviral vectors that they could lead to new or reactivated pathogenic strains of virus or other infectious diseases; and</w:t>
      </w:r>
    </w:p>
    <w:p>
      <w:pPr>
        <w:spacing w:after="0" w:line="129"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recommends a 15-year follow-up observation period for patients who receive treatment using gene therapies and guidance promulgated by the EMA requires a similar follow-up observation period for patients who receive cell therapeutic products, which has to be sufficient to observe the subjects for risks that may be due to the characteristics of the product, the nature and extent of the exposure, and the anticipated time of occurrence of delayed adverse reactions and could be as long as life-time, and we may need to adopt an observation period for our product candidates.</w:t>
      </w:r>
    </w:p>
    <w:p>
      <w:pPr>
        <w:spacing w:after="0" w:line="21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Moreover, public perception and awareness of cell and gene therapy safety issues may adversely influence the willingness of subjects to participate in clinical trials of our product candidates, or if approved, of physicians to prescribe our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lentivirus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transfer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20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Our gene therapy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Following treatment with our gene therapy product candidates, patients may experience changes in their health, including illnesses, injuries, discomforts or a fatal outcome. It is possible that as we study and test Temferon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additional safety risks, contraindications, drug interactions, adverse events and side effects are only detectable after investigational products are tested in larger scale clinical trials or, in some cases, after they are made available to patients on a commercial scale after approval. Moreover, as noted above the FDA generally requires a long-term follow-up of study subjects for potential gene therapy-related adverse events for a 15-year period, including a minimum of five years of annual examinations followed by ten years of annual queries, either in person or by questionnaire, of study subjects. If additional clinical experience indicates that Temferon or any other product candidates or similar products developed by other companies has side effects or causes serious or life-threatening side effects, the development of the product candidate may fail or be delayed, or, if the product candidate has received regulatory approval, such approval may be revoked or limited.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22" w:name="page23"/>
    <w:bookmarkEnd w:id="22"/>
    <w:p>
      <w:pPr>
        <w:ind w:firstLine="648"/>
        <w:spacing w:after="0" w:line="269" w:lineRule="auto"/>
        <w:rPr>
          <w:sz w:val="20"/>
          <w:szCs w:val="20"/>
          <w:color w:val="auto"/>
        </w:rPr>
      </w:pPr>
      <w:r>
        <w:rPr>
          <w:rFonts w:ascii="Arial" w:cs="Arial" w:eastAsia="Arial" w:hAnsi="Arial"/>
          <w:sz w:val="17"/>
          <w:szCs w:val="17"/>
          <w:color w:val="auto"/>
        </w:rPr>
        <w:t xml:space="preserve">There have been several significant adverse side effects in gene therapy treatments in the past, including reported cases of leukemia with the use of gammaretrovirus vector and patient deaths in other clinical trials. Two recent case reports of myelodysplastic syndrome and acute myeloid leukemia relating to BlueBird Bio’s product, were reported by that company to be unlikely related to the LVV, although FDA’s review remains ongoing, and instead may be related to the patient population being studied, the genotoxic potential of the promoter incorporated as part of their transduction process, or the depth of conditioning used.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lentivirus </w:t>
      </w:r>
      <w:r>
        <w:rPr>
          <w:rFonts w:ascii="Arial" w:cs="Arial" w:eastAsia="Arial" w:hAnsi="Arial"/>
          <w:sz w:val="17"/>
          <w:szCs w:val="17"/>
          <w:i w:val="1"/>
          <w:iCs w:val="1"/>
          <w:color w:val="auto"/>
        </w:rPr>
        <w:t xml:space="preserve">ex-vivo </w:t>
      </w:r>
      <w:r>
        <w:rPr>
          <w:rFonts w:ascii="Arial" w:cs="Arial" w:eastAsia="Arial" w:hAnsi="Arial"/>
          <w:sz w:val="17"/>
          <w:szCs w:val="17"/>
          <w:color w:val="auto"/>
        </w:rPr>
        <w:t>gene transfer therapy approach is designed to avoid immunogenicity after administration, there can be no assurance that patients would not create</w:t>
      </w:r>
      <w:r>
        <w:rPr>
          <w:rFonts w:ascii="Arial" w:cs="Arial" w:eastAsia="Arial" w:hAnsi="Arial"/>
          <w:sz w:val="17"/>
          <w:szCs w:val="17"/>
          <w:i w:val="1"/>
          <w:iCs w:val="1"/>
          <w:color w:val="auto"/>
        </w:rPr>
        <w:t xml:space="preserve"> </w:t>
      </w:r>
      <w:r>
        <w:rPr>
          <w:rFonts w:ascii="Arial" w:cs="Arial" w:eastAsia="Arial" w:hAnsi="Arial"/>
          <w:sz w:val="17"/>
          <w:szCs w:val="17"/>
          <w:color w:val="auto"/>
        </w:rPr>
        <w:t>antibodies that may impair treatment. Our approach involves the use of integrating vectors which have the potential for genomic disruption and therefore could interfere with other genes with adverse clinical effects. If any of our gene therapy product candidates demonstrates adverse side effects, we may decide or be required to halt or delay clinical development of such product candidates.</w:t>
      </w:r>
    </w:p>
    <w:p>
      <w:pPr>
        <w:spacing w:after="0" w:line="20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Potential risks for gene therapy products can be identified, in addition to side effects caused by the product candidate itself, as part of the entire process required for their manufacturing and administration. For Temferon manufacturing, each patient needs to be subjected to a mobilization and harvesting process for hemapoietic stem progenitor cells (HSPCs) collection. This procedure is associated with risks linked to the administration of mobilization agents. The conditioning regimen required for administering our product candidate and the associated procedures can also cause adverse side effects. A gene therapy patient is generally administered with cytotoxic drugs to remove stem cells from the bone marrow to create sufficient space for the modified stem cells to engraft and produce their progeny. This procedure compromises the patient’s immune system, and adverse events related to preconditioning have been observed in our ongoing clinical trial. If in the future we are unable to demonstrate that such adverse events were caused by the conditioning regimens used, or by their administration process or related procedure, the FDA, EMA or other regulatory authorities could order us to cease further development of, or deny the approval of, Temferon or our other product candidates for any or all target indications. Even if we are able to demonstrate that adverse events are not related to our drug product, such occurrences could affect the ability to enroll patients to complete the clinical trial, or the commercial viability of any product candidates that obtain regulatory approval.</w:t>
      </w:r>
    </w:p>
    <w:p>
      <w:pPr>
        <w:spacing w:after="0" w:line="20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To date, Temferon has only been administered to a small number of human subjects in our ongoing Phase 1/2a study. Due to the lack of a broader experience in human subjects, there is limited information available about the relationship of adverse events to administration of Temferon. Adverse events experienced in our clinical trials and attributed to autologous stem cell transplant (ASCT), concomitant medications, and disease progression have included febrile neutropenia and other infectious complications, venous thromboembolism, poor performance status, liver enzyme elevation, brain abscess and hemiparesis. While most of these adverse events were managed with treatment and supportive care, one GBM patient died from progressive disease at day 403 and another died at day 60 due to complications following the conditioning regimen.</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Patient deaths and severe adverse effects caused by any investigational product candidates could result in the delay, suspension, clinical hold or termination of clinical trials by Sponsors, ethics committees and regulatory authorities.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3" w:name="page24"/>
    <w:bookmarkEnd w:id="23"/>
    <w:p>
      <w:pPr>
        <w:ind w:right="140" w:firstLine="648"/>
        <w:spacing w:after="0" w:line="255"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and other non-U.S. regulatory authorities could impose other specific obligations as a condition of approval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Temferon or any of our other product candidates, several potentially significant negative consequences could result, including:</w:t>
      </w:r>
    </w:p>
    <w:p>
      <w:pPr>
        <w:spacing w:after="0" w:line="21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limitations of use in product labeling;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evaluating Temferon in a Phase 1/2 clinical trial in newly diagnosed glioblastoma tumor patients (TEM-GBM Study). To date, the TEM-GBM Study is ongoing and not complete.</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at a very early stage of development for all of our gene therapy product candidates. At this stage, only our lead product candidate Temferon has been authorized by the AIFA to be evaluated in a Phase 1/2 clinical trial in Italy. A study testing Temferon in multiple myeloma study was also approved by AIFA, but we are closing the study due to lack of enrollment feasibility, rather than clinical events, as no multiple myeloma patients have been treated with Temferon.</w:t>
      </w:r>
    </w:p>
    <w:p>
      <w:pPr>
        <w:spacing w:after="0" w:line="214"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In order to commence a clinical trial in the United States, we will be required to seek FDA acceptance of an IND for each of our product candidates, including Temferon. We cannot be sure any IND we submit to the FDA, or any similar clinical trial application we submit in other countries, will be accepted. If we will be required by regulatory authorities to conduct additional preclinical testing prior to filing an IND or similar application to clinically evaluate any of our product candidates, including Temferon, this may result in delay in our product candidate development. The results of any such preclinical testing may not be positive and may not support an application to study Temferon or any of our other product candidates in additional clinical trials.</w:t>
      </w:r>
    </w:p>
    <w:p>
      <w:pPr>
        <w:spacing w:after="0" w:line="21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It is possible that the FDA or EMA will not view our ongoing or planned trials as providing adequate support for future clinical trials or for an application for marketing approval, for any one or more reasons, including elements of the design or execution of the trials or safety concerns or other trial results. If we are unable to confirm or replicate the results of our trials in larger patient group or if negative results are obtained, we would likely be further delayed or prevented from advancing further clinical development of Temferon or any of our other product candidates.</w:t>
      </w:r>
    </w:p>
    <w:p>
      <w:pPr>
        <w:spacing w:after="0" w:line="198"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Additionally, the FDA or EMA may disagree with the sufficiency of our proposed reliance upon the preclinical, manufacturing or clinical data generated by third-party academic-sponsored trials, or our interpretation of preclinical, manufacturing or clinical data from our ongoing trials. If so, the FDA or EMA may require us to obtain and submit additional preclinical, manufacturing or clinical data.</w:t>
      </w:r>
    </w:p>
    <w:p>
      <w:pPr>
        <w:spacing w:after="0" w:line="211"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We need to complete our Phase 1/2 clinical trial for Temferon, as well as additional clinical trials in order to obtain regulatory approvals to market Temferon. Carrying out later-stage clinical trials is a complicated process. We are a small organization with limited experience in preparing, submitting and prosecuting regulatory filings, and we have not previously submitted a biologics license application, or BLA, to the FDA for any product candidate.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4" w:name="page25"/>
    <w:bookmarkEnd w:id="24"/>
    <w:p>
      <w:pPr>
        <w:ind w:right="160" w:firstLine="648"/>
        <w:spacing w:after="0" w:line="273" w:lineRule="auto"/>
        <w:rPr>
          <w:sz w:val="20"/>
          <w:szCs w:val="20"/>
          <w:color w:val="auto"/>
        </w:rPr>
      </w:pPr>
      <w:r>
        <w:rPr>
          <w:rFonts w:ascii="Arial" w:cs="Arial" w:eastAsia="Arial" w:hAnsi="Arial"/>
          <w:sz w:val="17"/>
          <w:szCs w:val="17"/>
          <w:color w:val="auto"/>
        </w:rPr>
        <w:t>In addition, we have not yet conducted clinical trials of any our product candidates in the United States, our interactions with the FDA are expected to be limited for the near future, and we cannot be certain how many clinical trials of Temferon or any of our other product candidates will be required or how such trials should be designed. Consequently, we may be unable to successfully and efficiently execute and complete necessary clinical trials in a way that leads to a BLA submission and approval of Temferon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Temferon.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substantial delays in commencement and completion of clinical trials.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studies to demonstrate the safety and efficacy of the product candidates in humans. Clinical development is a long, expensive and uncertain process, and delay or failure can occur at any stage of any of our clinical trials. We cannot guarantee that any clinical studies will be conducted or completed on schedule, if at all. Clinical trials can be delayed or prevented for a number of reasons, including:</w:t>
      </w:r>
    </w:p>
    <w:p>
      <w:pPr>
        <w:spacing w:after="0" w:line="21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96"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105"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CROs, other third parties or us to adhere to clinical trial protocol and record keeping requirements;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trial sites or patients dropping out of a study;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occurrence of SAEs associated with the product candidate that are viewed to outweigh its potential benefits;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the FDA or the EMA or other regulatory authorities elect to enact policy changes, as a result of the COVID-19 pandemic or otherwise.</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25" w:name="page26"/>
    <w:bookmarkEnd w:id="25"/>
    <w:p>
      <w:pPr>
        <w:jc w:val="both"/>
        <w:ind w:right="20" w:firstLine="648"/>
        <w:spacing w:after="0" w:line="263"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a data safety monitoring board overseeing the clinical trial at issue or by other regulatory authorities due to a number of factors, including:</w:t>
      </w:r>
    </w:p>
    <w:p>
      <w:pPr>
        <w:spacing w:after="0" w:line="21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safety issues (including those that result from the COVID-19 pandemic) or lack of effectiveness;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revenues. This could result in increased costs, delays in advancing our product candidates, delays in testing the effectiveness of our product candidates or termination of the clinical trials altogether.</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addition, if we make changes to our product candidates, we may need to conduct additional studies to bridge our modified product candidates to earlier versions, this will increase the costs and could delay our clinical development plan, or marketing approval for our product candidates. For example, among our preclinical candidates we are developing a “switchable” system. This system has the potential to be a “switchable” on/off system that may limit the long-term exposure to any selected therapeutic payloads, but it requires further preclinical testing as well as additional manufacturing validation. Moreover, our platform is designed to allow us to use other therapeutic payloads, other than IFN-α. This has the potential to open a multitude of therapeutic indications but further preclinical testing as well as additional manufacturing validation are required. Any modification of our product candidates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95" w:lineRule="exact"/>
        <w:rPr>
          <w:sz w:val="20"/>
          <w:szCs w:val="20"/>
          <w:color w:val="auto"/>
        </w:rPr>
      </w:pPr>
    </w:p>
    <w:p>
      <w:pPr>
        <w:jc w:val="both"/>
        <w:ind w:right="140"/>
        <w:spacing w:after="0" w:line="381" w:lineRule="auto"/>
        <w:rPr>
          <w:sz w:val="20"/>
          <w:szCs w:val="20"/>
          <w:color w:val="auto"/>
        </w:rPr>
      </w:pPr>
      <w:r>
        <w:rPr>
          <w:rFonts w:ascii="Arial" w:cs="Arial" w:eastAsia="Arial" w:hAnsi="Arial"/>
          <w:sz w:val="15"/>
          <w:szCs w:val="15"/>
          <w:b w:val="1"/>
          <w:bCs w:val="1"/>
          <w:i w:val="1"/>
          <w:iCs w:val="1"/>
          <w:color w:val="auto"/>
        </w:rPr>
        <w:t>The results of preclinical studies, early-stage clinical trials, data obtained from real-world use, and published third-party studies may not be indicative of results in future clinical trials and we cannot assure you that any clinical trials will lead to results sufficient for the necessary regulatory approvals.</w:t>
      </w:r>
    </w:p>
    <w:p>
      <w:pPr>
        <w:spacing w:after="0" w:line="12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and analyses from our ongoing clinical trials do not necessarily predict final results. Moreover, preliminary data and analyses from our ongoing clinical trials may change as more patient data become available. In general, we conduct interim analyses at pre-specified times, which do not include data subsequent to the cut-off date and will not be available until the next planned interim analysis. From time to time, preliminary data and analyses might be presented, typically by academic investigators at scientific conferences or in scientific publications. Interim data and analyses are subject to the risk that one or more of the clinical outcomes may materially change as patient enrollment continues and/or more patient data become available to us. Interim and preliminary data/analyses also remain subject to audit and verification procedures that may result in the final data being materially different from the preliminary data available to us or that we previously published. As a result, preliminary and interim data/analyses should be viewed with caution until the final data are available. Material adverse changes in the final data compared to the preliminary or interim data/analyses could significantly harm our business prospects.</w:t>
      </w:r>
    </w:p>
    <w:p>
      <w:pPr>
        <w:spacing w:after="0" w:line="20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Indeed, our product candidates may fail to show the desired safety and efficacy in clinical development despite demonstrating positive results in preclinical studies or having successfully advanced through initial clinical trials.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Our company has limited experience in designing and conducting clinical trials and we may be unable to design and execute a clinical trial to support regulatory approval. There can be no assurance that any of our clinical trials will ultimately be successful or support further clinical development of any of our product candidates. A number of companies in the pharmaceutical and biotechnology industries have suffered significant setbacks in clinical development even after achieving promising results in earlier studies, and any such setbacks in our clinical development could have a negative impact on our business. Any of our product candidates, including Temferon, may fail to show the desired safety and efficacy in clinical development despite positive results in preclinical studies. Any such failure would cause us to abandon the product candidate.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6" w:name="page27"/>
    <w:bookmarkEnd w:id="26"/>
    <w:p>
      <w:pPr>
        <w:ind w:right="40" w:firstLine="648"/>
        <w:spacing w:after="0" w:line="269" w:lineRule="auto"/>
        <w:rPr>
          <w:sz w:val="20"/>
          <w:szCs w:val="20"/>
          <w:color w:val="auto"/>
        </w:rPr>
      </w:pPr>
      <w:r>
        <w:rPr>
          <w:rFonts w:ascii="Arial" w:cs="Arial" w:eastAsia="Arial" w:hAnsi="Arial"/>
          <w:sz w:val="17"/>
          <w:szCs w:val="17"/>
          <w:color w:val="auto"/>
        </w:rPr>
        <w:t>Additionally, our ongoing clinical trial utilizes, and our planned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1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19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our ability and on the speed at which we can recruit patients to participate in testing our product candidates, as well as the completion of required follow-up periods. We may experience delays in our clinical trials if we encounter difficulties in enrollment. Patients may be unwilling to participate in our gene therapy clinical trials because of negative publicity from adverse events related to the biotechnology or gene therapy fields, the safety profile of our product candidate under study, the perceived risks and benefits of the product candidate under study; the perceived risks and benefits of gene therapy-based approaches to treatment of diseases, including any required pretreatment conditioning regimens, the existence of competitive clinical trials for similar patient populations.</w:t>
      </w:r>
    </w:p>
    <w:p>
      <w:pPr>
        <w:spacing w:after="0" w:line="22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we may not be able to identify, recruit and enroll a sufficient number of patients due to the existence of efficacious alternative treatments, the size of the patient population and process for identifying subjects, the design of the trial protocol, the exclusion/inclusion criteria that we are currently targeting may limit the pool of patients that may be enrolled in our ongoing or planned clinical trials, the proximity and availability of clinical trial sites for prospective subjects and the patient referral practices of physicians; the ability to obtain and maintain subject consent; the risk that enrolled subjects will drop out before completion of the trial.</w:t>
      </w:r>
    </w:p>
    <w:p>
      <w:pPr>
        <w:spacing w:after="0" w:line="21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the evolving COVID-19 pandemic may directly or indirectly impact the pace of enrollment in our clinical trials as patients may avoid or may not be able to travel to healthcare facilities and physicians’ offices due to a health emergency and clinical trial staff can no longer get to the clinic. Additionally, such facilities and offices have been and may continue to be required to focus limited resources on non-clinical trial matters, including treatment of COVID-19 patients, thereby decreasing availability, in whole or in part, for clinical trial services. See “Risks Related to Our Business Operations – We face business disruption and related risks resulting from the recent outbreak of COVID-19, which could have a material adverse effect on our business and results of operations” for additional information.</w:t>
      </w:r>
    </w:p>
    <w:p>
      <w:pPr>
        <w:spacing w:after="0" w:line="21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If patients are unwilling to participate in our studies for any reason, the timeline for recruiting patients, conducting studies and obtaining regulatory approval of potential product candidates will be delayed.</w:t>
      </w:r>
    </w:p>
    <w:p>
      <w:pPr>
        <w:spacing w:after="0" w:line="19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If we experience delays in the commencement or completion or termination of any clinical trial of our product candidates, the commercial prospects of our product candidates will be harmed, and our ability to generate product candidate revenue from any of these product candidates could be delayed or prevented. In addition, any delays in completing our clinical trials will increase our costs, slow down our product candidate development and approval process and jeopardize our ability to commence product candidate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0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The results of clinical trials conducted at clinical sites outside the United States may not be accepted by the FDA and the results of clinical trials conducted at clinical sites in the United States may not be accepted by international regulatory authorities.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date our only ongoing recruiting clinical trial has been conducted in Europe but we are planning to globally develop Temferon, including in the United States. Although the FDA may accept data from clinical trials conducted outside the United States, acceptance of this data is subject to certain conditions imposed by the FDA. For example, the clinical trial must be well-designed and conducted and performed by qualified investigators in accordance with, GCPs, ethical principles such as or IRB or ethics committee approval and informed consent. Generally, the subject population for any clinical trials conducted outside of the United States must be representative of the U.S. population, and the data must be applicable to the U.S. population and U.S. medical practice in ways that the FDA deems clinically meaningful. In addition, while these clinical trials are subject to the applicable local laws, FDA acceptance of the data will be dependent upon its determination that the trials were conducted consistent with all applicable U.S. laws and regulations. There can be no assurance the FDA or international regulatory authorities will accept data from trials conducted outside of the location in which each regulatory authority is based as adequate support of a marketing application in a given jurisdiction. If the FDA does not accept the data from sites in our globally conducted clinical trials, or if international regulatory authorities do not accept the data from our U.S. clinical trials, it would likely result in the need for additional trials, which would be costly and time-consuming and could delay or permanently halt the development of one or more of our product candidates.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7" w:name="page28"/>
    <w:bookmarkEnd w:id="27"/>
    <w:p>
      <w:pPr>
        <w:ind w:right="220" w:firstLine="648"/>
        <w:spacing w:after="0" w:line="277" w:lineRule="auto"/>
        <w:rPr>
          <w:sz w:val="20"/>
          <w:szCs w:val="20"/>
          <w:color w:val="auto"/>
        </w:rPr>
      </w:pPr>
      <w:r>
        <w:rPr>
          <w:rFonts w:ascii="Arial" w:cs="Arial" w:eastAsia="Arial" w:hAnsi="Arial"/>
          <w:sz w:val="18"/>
          <w:szCs w:val="18"/>
          <w:color w:val="auto"/>
        </w:rPr>
        <w:t>Our ability to successfully initiate, enroll and complete a clinical trial in any foreign country including the United States, is subject to numerous risks unique to conducting business in foreign countries, including:</w:t>
      </w:r>
    </w:p>
    <w:p>
      <w:pPr>
        <w:spacing w:after="0" w:line="19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84" w:lineRule="exact"/>
        <w:rPr>
          <w:rFonts w:ascii="Arial" w:cs="Arial" w:eastAsia="Arial" w:hAnsi="Arial"/>
          <w:sz w:val="18"/>
          <w:szCs w:val="18"/>
          <w:color w:val="auto"/>
        </w:rPr>
      </w:pPr>
    </w:p>
    <w:p>
      <w:pPr>
        <w:ind w:left="660" w:right="10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laws, medical standards and regulatory requirements, including the regulation of pharmaceutical and biotechnology products and treatment.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We may also experience delays in developing a sustainable, reproducible and scalable manufacturing process or delays in transferring that process to commercial partners, which may prevent us from initiating, completing or expanding our clinical trials or commercializing our products, if any, on a timely or profitable basis, if at all. For example, the anticipated transition of our cell processing to a different commercial partner in the U.S., or to a commercial partner(s) relying on automated closed system, if available, using all disposable supplies would require regulatory approvals, may not be successful or may experience unforeseen delays, which may cause shortages or delays in the supply of our products available for clinical trials and future commercial sales, if any. In addition, there is no assurance that products manufactured using a different commercial partner or an automated closed system, if and when available, will achieve the same results observed to date in Temferon clinical and preclinical and non-clinical studies. Any of these changes could cause our product candidates to perform differently and affect the results of planned clinical trials or other future clinical trials conducted with the materials manufactured using altered processes. Such changes may also require additional testing such as comparability studies, FDA or EMA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8" w:name="page29"/>
    <w:bookmarkEnd w:id="28"/>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19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cannot commercialize a product until the appropriate regulatory authorities have reviewed and approved the product candidate. Even if our product candidates demonstrate safety and efficacy in preclinical and clinical studies, the regulatory agencies may not complete their review processes in a timely manner, or we may not be able to obtain regulatory approval. Many companies in the pharmaceutical and biotechnology industries have suffered significant setbacks in late-stage clinical trials even after achieving promising results in preclinical testing and earlier-stage clinical trials. Additional delays may result if an FDA Advisory Committee or other regulatory authority does not recommend approval or recommends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product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9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may seek designations for our product candidates with the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21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FDA, and other comparable regulatory authorities, offer certain designations for product candidates that are intended to encourage the research and development of pharmaceutical and biotechnology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designation for Temferon. In addition, while such designations could expedite the development or approval process, they do not change the standards for approval. Even if we obtain such designations for one or more of our product candidates, there can be no assurance that we will realize their intended benefits.</w:t>
      </w:r>
    </w:p>
    <w:p>
      <w:pPr>
        <w:spacing w:after="0" w:line="2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For example, we may seek a Breakthrough Therapy Designation from the FDA for one or more of our product candidates. A Breakthrough Therapy Designation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Breakthrough Therapy Designation, interaction and communication between the FDA and the sponsor of the trial can help to identify the most efficient path for clinical development while minimizing the number of patients placed in ineffective control regimens. Therapies with Breakthrough Therapy Designation from the FDA are also eligible for accelerated approval. Designation as a breakthrough therapy is within the discretion of the FDA. Accordingly, even if we believe one of our product candidates meets the criteria for Breakthrough Therapy Designation,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for Breakthrough Therapy Designation, the FDA may later decide that such product candidates no longer meet the conditions for qualification.</w:t>
      </w:r>
    </w:p>
    <w:p>
      <w:pPr>
        <w:spacing w:after="0" w:line="20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may also seek Fast Track Designation from the FDA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9" w:name="page30"/>
    <w:bookmarkEnd w:id="29"/>
    <w:p>
      <w:pPr>
        <w:ind w:firstLine="648"/>
        <w:spacing w:after="0" w:line="267" w:lineRule="auto"/>
        <w:rPr>
          <w:sz w:val="20"/>
          <w:szCs w:val="20"/>
          <w:color w:val="auto"/>
        </w:rPr>
      </w:pPr>
      <w:r>
        <w:rPr>
          <w:rFonts w:ascii="Arial" w:cs="Arial" w:eastAsia="Arial" w:hAnsi="Arial"/>
          <w:sz w:val="17"/>
          <w:szCs w:val="17"/>
          <w:color w:val="auto"/>
        </w:rPr>
        <w:t>In addition, we may seek a regenerative medicine advanced therapy, or RMAT, designation for some of our product candidates. An RMAT is defined as a cell therapy, therapeutic tissue engineering products, human cell and tissue products, or any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and for which preliminary clinical evidence indicates that the candidate has potential to address unmet medical needs for such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seek a conditional marketing authorization in Europe for some or all of our current product candidates, but we may not be able to obtain or maintain such designation.</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part of its marketing authorization process, the EMA may grant marketing authorizations for certain categories of medicinal products on the basis of less complete data than is normally required, where the benefit of immediate availability of the medicine outweighs the risk inherent in the fact that additional data are still required or in the interests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or life-threatening diseases and those designated as orphan medicinal products.</w:t>
      </w:r>
    </w:p>
    <w:p>
      <w:pPr>
        <w:spacing w:after="0" w:line="22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9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applicant will provide the comprehensive clinical data post-authorization;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is still required.</w:t>
      </w:r>
    </w:p>
    <w:p>
      <w:pPr>
        <w:spacing w:after="0" w:line="19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granting of a conditional marketing authorization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0" w:name="page31"/>
    <w:bookmarkEnd w:id="30"/>
    <w:p>
      <w:pPr>
        <w:ind w:right="200" w:firstLine="648"/>
        <w:spacing w:after="0" w:line="279" w:lineRule="auto"/>
        <w:rPr>
          <w:sz w:val="20"/>
          <w:szCs w:val="20"/>
          <w:color w:val="auto"/>
        </w:rPr>
      </w:pPr>
      <w:r>
        <w:rPr>
          <w:rFonts w:ascii="Arial" w:cs="Arial" w:eastAsia="Arial" w:hAnsi="Arial"/>
          <w:sz w:val="17"/>
          <w:szCs w:val="17"/>
          <w:color w:val="auto"/>
        </w:rPr>
        <w:t>Granting a conditional marketing authorization allows medicines to reach patients with unmet medical needs earlier than might otherwise be the case and will ensure that additional data on a product is generated, submitted, assessed and acted upon. Although we may seek a conditional marketing authorization for one or more of our product candidates by the EMA, the CHMP may ultimately not agree that the requirements for such conditional marketing authorization have been satisfied and hence delay the commercialization of our product candidates.</w:t>
      </w:r>
    </w:p>
    <w:p>
      <w:pPr>
        <w:spacing w:after="0" w:line="19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Regulatory authorities in some jurisdictions, including the United States and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or a patient population of 200,000 or more individuals in the United States, but for which there is no reasonable expectation that the cost of developing the drug will be recovered from sales in the United States. In the EU, the European Commission grants orphan drug designation to promote the development of products that are intended for the diagnosis, prevention or treatment of a life-threatening or chronically debilitating condition affecting not more than five in 10,000 persons in the EU community.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drug or biologic product. In either case, the applicant for orphan designation must also demonstrate that no satisfactory method of diagnosis, prevention, or treatment for the condition has been authorized (or, if a method exists, the new product would be a significant benefit to those affected compared to the product available).</w:t>
      </w:r>
    </w:p>
    <w:p>
      <w:pPr>
        <w:spacing w:after="0" w:line="209" w:lineRule="exact"/>
        <w:rPr>
          <w:sz w:val="20"/>
          <w:szCs w:val="20"/>
          <w:color w:val="auto"/>
        </w:rPr>
      </w:pPr>
    </w:p>
    <w:p>
      <w:pPr>
        <w:ind w:right="360" w:firstLine="648"/>
        <w:spacing w:after="0" w:line="275" w:lineRule="auto"/>
        <w:rPr>
          <w:sz w:val="20"/>
          <w:szCs w:val="20"/>
          <w:color w:val="auto"/>
        </w:rPr>
      </w:pPr>
      <w:r>
        <w:rPr>
          <w:rFonts w:ascii="Arial" w:cs="Arial" w:eastAsia="Arial" w:hAnsi="Arial"/>
          <w:sz w:val="17"/>
          <w:szCs w:val="17"/>
          <w:color w:val="auto"/>
        </w:rPr>
        <w:t>If we request orphan drug designation (or the international equivalent) for Temferon or any of our other product candidates, there can be no assurances that the FDA or international regulatory authorities will grant any of our product candidates such designation. This designation of a product candidate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20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Generally, if a product candidate with an orphan drug designation subsequently receives the first marketing approval for the indication for which it has such designation, the drug may be entitled to a period of marketing exclusivity, which precludes the FDA or the EMA from approving another marketing application for the same drug for the same indication for that time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ten years in the EU. The exclusivity period in the EU can be reduced to six years if a drug no longer meets the criteria for orphan drug designation or if the drug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drug to meet the needs of patients with the rare disease or condition.</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indication.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marketing authorization may be granted to a similar medicinal product for the same orphan indication if:</w:t>
      </w:r>
    </w:p>
    <w:p>
      <w:pPr>
        <w:spacing w:after="0" w:line="215" w:lineRule="exact"/>
        <w:rPr>
          <w:sz w:val="20"/>
          <w:szCs w:val="20"/>
          <w:color w:val="auto"/>
        </w:rPr>
      </w:pPr>
    </w:p>
    <w:p>
      <w:pPr>
        <w:ind w:left="660" w:right="8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1" w:name="page32"/>
    <w:bookmarkEnd w:id="31"/>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207" w:lineRule="exact"/>
        <w:rPr>
          <w:rFonts w:ascii="Arial" w:cs="Arial" w:eastAsia="Arial" w:hAnsi="Arial"/>
          <w:sz w:val="16"/>
          <w:szCs w:val="16"/>
          <w:color w:val="auto"/>
        </w:rPr>
      </w:pPr>
    </w:p>
    <w:p>
      <w:pPr>
        <w:ind w:left="660" w:right="5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obtain and maintain regulatory approval for a product candidate, our products will remain subject to ongoing regulatory oversight.</w:t>
      </w:r>
    </w:p>
    <w:p>
      <w:pPr>
        <w:spacing w:after="0" w:line="2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as noted above in the United States,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marketing application also must submit new or supplemental applications and obtain FDA approval for certain changes to the approved product, product labeling or manufacturing process.</w:t>
      </w:r>
    </w:p>
    <w:p>
      <w:pPr>
        <w:spacing w:after="0" w:line="20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or comparable foreign regulatory authorities, Department of Justice, Department of Health and Human Services’, or HHS,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authority approval for desired uses or indications for our current product candidates and any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our products, including claims comparing our products to other companies’ products, and must abide by the FDA or a comparable foreign regulatory authority’s strict requirements regarding the content of promotion and advertising.</w:t>
      </w:r>
    </w:p>
    <w:p>
      <w:pPr>
        <w:spacing w:after="0" w:line="212"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trials and approved by the regulatory authorities, we and any third parties engaged on our behalf are prohibited from marketing and promoting the products for indications and uses that are not specifically approved by the FDA or comparable foreign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we are found to have impermissibly promoted any of our current product candidates and any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20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European Union, the advertising and promotion of our products are subject to European Union laws governing promotion of medicinal products, interactions with physicians, misleading and comparative advertising, and unfair commercial practices. In addition, other legislation adopted by individual European Union Member States may apply to the advertising and promotion of medicinal products. These laws require that promotional materials and advertising for medicinal products are consistent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European Union. The applicable laws at European Union level and in the individual European Union Member States also prohibit the direct-to-consumer advertising of prescription-only medicinal products. Violations of the rules governing the promotion of medicinal products in the European Union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20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fail to comply with applicable regulatory requirements, a regulatory authority may:</w:t>
      </w:r>
    </w:p>
    <w:p>
      <w:pPr>
        <w:spacing w:after="0" w:line="25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 an untitled letter or warning letter that we are in violation of the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511" w:gutter="0" w:footer="0" w:header="0"/>
        </w:sectPr>
      </w:pPr>
    </w:p>
    <w:bookmarkStart w:id="32" w:name="page33"/>
    <w:bookmarkEnd w:id="32"/>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refuse to approve BLA or comparable foreign marketing application (or any supplements thereto) submitted by us or our strategic partners;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seize or detain the products or require the withdrawal of the product from the market;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refuse to permit the import or export of the products;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the FDA’s policies, and those of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Both marketing authorization holders and manufacturers of medicinal products are subject to comprehensive regulatory oversight by the EMA and the competent authorities of the individual European Union Member States both before and after grant of the manufacturing and marketing authorizations. This includes control of compliance with GMP rules, which govern quality control of the manufacturing process and require documentation policies and procedures. We and our third-party manufacturers would be required to ensure that all of our processes, quality systems, methods, and equipment are compliant with GMP. Failure by us or by any of our third-party partners, including suppliers, manufacturers, and distributors to comply with European Union laws and the related national laws of individual European Union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or variation of the marketing authorization, total or partial suspension of production, distribution, manufacturing, or clinical trials, operating restrictions, injunctions, suspension of licenses, fines, and criminal penalties. operating restrictions, injunctions, suspension of licenses, fines, and criminal penalties.</w:t>
      </w:r>
    </w:p>
    <w:p>
      <w:pPr>
        <w:spacing w:after="0" w:line="19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addition, European Union legislation related to pharmacovigilance, or the assessment and monitoring of the safety of medicinal products, provides that EMA and the competent authorities of the European Union Member States have the authority to require companies to conduct additional post-approval clinical efficacy and safety studies. The legislation also governs the obligations of marketing authorization holders with respect to additional monitoring, adverse event management and reporting. Under the pharmacovigilance legislation and its related regulations and guidelines, we may be required to conduct a burdensome collection of data regarding the risks and benefits of marketed products and may be required to engage in ongoing assessments of those risks and benefits, including the possible requirement to conduct additional clinical trials, which may be time-consuming and expensive and could impact our profitability. Non-compliance with such obligations can lead to the variation, suspension or withdrawal of marketing authorization or imposition of financial penalties or other enforcement measures.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3" w:name="page34"/>
    <w:bookmarkEnd w:id="33"/>
    <w:p>
      <w:pPr>
        <w:ind w:right="80"/>
        <w:spacing w:after="0" w:line="308" w:lineRule="auto"/>
        <w:rPr>
          <w:sz w:val="20"/>
          <w:szCs w:val="20"/>
          <w:color w:val="auto"/>
        </w:rPr>
      </w:pPr>
      <w:r>
        <w:rPr>
          <w:rFonts w:ascii="Arial" w:cs="Arial" w:eastAsia="Arial" w:hAnsi="Arial"/>
          <w:sz w:val="17"/>
          <w:szCs w:val="17"/>
          <w:b w:val="1"/>
          <w:bCs w:val="1"/>
          <w:i w:val="1"/>
          <w:iCs w:val="1"/>
          <w:color w:val="auto"/>
        </w:rPr>
        <w:t>We do not have sales, distribution, and marketing capabilities. If we are unable to develop these capabilities or enter into agreements with third parties to market and sell Temferon and our other product candidates, we will be unable to generate any product revenue.</w:t>
      </w:r>
    </w:p>
    <w:p>
      <w:pPr>
        <w:spacing w:after="0" w:line="17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19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9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commercial success of Temferon will depend upon the acceptance of each product by the medical community, including physicians, patients and third-party payors. The degree of market acceptance of any approved product will depend on a number of factors, including:</w:t>
      </w:r>
    </w:p>
    <w:p>
      <w:pPr>
        <w:spacing w:after="0" w:line="17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available therapies;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or warnings, including use restrictions contained in the product’s approved labeling;</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the EMA or other regulatory authority or agreed to by us as part of a mandatory or voluntary risk management plan;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availability of alternative treatments, including competitive products expected to be commercially launched in the near future;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pricing and cost effectiveness in relation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product is included under physician treatment guidelines as a first-, second,- or third-line therapy;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the willingness of patients to pay out-of-pocket in the absence of coverage by third-party payors;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4" w:name="page35"/>
    <w:bookmarkEnd w:id="34"/>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Temferon is approved but does not achieve an adequate level of acceptance by physicians, third party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21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third-party relationship, we may have little control over such third parties, and any of these third parties may fail to devote the necessary resources and attention to sell, market and distribute our products effectively. If we are not successful in commercializing our product candidates, either on our own or through collaborations with one or more third parties, our future product revenue will suffer, and we may incur significant additional losses.</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third-party coverage and reimbursement policies, any of which could harm our business.</w:t>
      </w:r>
    </w:p>
    <w:p>
      <w:pPr>
        <w:spacing w:after="0" w:line="19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21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Obtaining and maintaining adequate reimbursement for our products may be difficult. We cannot be certain if and when we will obtain an adequate level of reimbursement for our products by third 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9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5" w:name="page36"/>
    <w:bookmarkEnd w:id="35"/>
    <w:p>
      <w:pPr>
        <w:ind w:right="140" w:firstLine="648"/>
        <w:spacing w:after="0" w:line="288"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drug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or cost-effective for a specific indication, or that coverage or an adequate level of reimbursement will be available.</w:t>
      </w:r>
    </w:p>
    <w:p>
      <w:pPr>
        <w:spacing w:after="0" w:line="19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 Our failure to obtain regulatory approval in international jurisdictions would prevent our product candidates from being marketed abroad, and any approval we are granted for our product candidates in the United States would not assure approval of product candidates in foreign jurisdictions.</w:t>
      </w:r>
    </w:p>
    <w:p>
      <w:pPr>
        <w:spacing w:after="0" w:line="19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clinical trial design, safety and efficacy. The research, testing, manufacturing, labeling, approval, sale, marketing and distribution of drugs are subject to extensive regulation by the FDA in the United States and other regulatory authorities in other countries. These regulations differ from country to country. Even if we obtain and maintain regulatory approval of our product candidates in one jurisdiction, such approval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w:t>
      </w:r>
    </w:p>
    <w:p>
      <w:pPr>
        <w:spacing w:after="0" w:line="21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Approval procedures vary among jurisdictions and can involve requirements and administrative review periods different from those in the United States, including additional non-clinical studies or clinical trials as investigations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These regulatory procedures can result in substantial delays in such countries. In other countries, product approval depends on showing superiority to an approved alternative therapy. This can result in significant expense for conducting complex clinical trials.</w:t>
      </w:r>
    </w:p>
    <w:p>
      <w:pPr>
        <w:spacing w:after="0" w:line="20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the EMA or other regulatory authorities in other countries or jurisdictions, and approval by the EMA or another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an MAA to the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 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6" w:name="page37"/>
    <w:bookmarkEnd w:id="36"/>
    <w:p>
      <w:pPr>
        <w:ind w:right="60" w:firstLine="648"/>
        <w:spacing w:after="0" w:line="255" w:lineRule="auto"/>
        <w:rPr>
          <w:sz w:val="20"/>
          <w:szCs w:val="20"/>
          <w:color w:val="auto"/>
        </w:rPr>
      </w:pPr>
      <w:r>
        <w:rPr>
          <w:rFonts w:ascii="Arial" w:cs="Arial" w:eastAsia="Arial" w:hAnsi="Arial"/>
          <w:sz w:val="18"/>
          <w:szCs w:val="18"/>
          <w:color w:val="auto"/>
        </w:rPr>
        <w:t>Finally, we do not have any products approved for sale in any jurisdiction, including international markets, and we do not have experience in obtaining regulatory approval. If we, or any third parties with whom we work, fail to comply with regulatory requirements in United States or international markets or to obtain and maintain required approvals or if regulatory approvals in international markets are delayed, our target market may be reduced and our ability to realize the full market potential of our products will likely be harmed. The inability to meet continuously evolving regulatory standards for approval may result in our failing to obtain regulatory approval to market our current product candidates, which could significantly harm our business, results of operations and prospects.</w:t>
      </w:r>
    </w:p>
    <w:p>
      <w:pPr>
        <w:spacing w:after="0" w:line="21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Additionally, on June 23, 2016, the electorate in the United Kingdom voted in favor of leaving the EU, commonly referred to as “Brexit.” On March 29, 2017, the country formally notified the EU of its intention to withdraw pursuant to Article 50 of the Lisbon Treaty and the withdrawal of the United Kingdom from the EU took effect on January 31, 2020. There was a transition period, during which EU pharmaceutical law remained applicable in the United Kingdom, however this ended on December 31, 2020. Since a significant proportion of the regulatory framework governing the development and commercialization of medicinal products in the United Kingdom is derived from EU Directives and Regulations, Brexit, now that the transition period is over, could materially impact the regulatory regime with respect to the approval of our product candidates in the United Kingdom or the EU, as United Kingdom legislation now has the potential to diverge from EU legislation. Any delay in obtaining, or an inability to obtain, any regulatory approvals, as a result of Brexit or otherwise, would prevent us from commercializing our product candidates in the United Kingdom and/or the EU and restrict our ability to generate revenue and achieve and sustain profitability. If any of these outcomes occur, we may be forced to restrict or delay efforts to seek regulatory approval in the United Kingdom and/or EU for our product candidates, which could significantly and materially harm our business.</w:t>
      </w:r>
    </w:p>
    <w:p>
      <w:pPr>
        <w:spacing w:after="0" w:line="1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22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w:t>
      </w:r>
    </w:p>
    <w:p>
      <w:pPr>
        <w:spacing w:after="0" w:line="21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EMA, FDA or other regulatory approval for their products more rapidly than we do, which could result in our competitors establishing a strong market position for either the product or a specific indication before we are able to enter the market.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 from biosimilar products.</w:t>
      </w:r>
    </w:p>
    <w:p>
      <w:pPr>
        <w:spacing w:after="0" w:line="25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as biologic products and we intend to seek approval for these product candidates pursuant to the BLA pathway.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w:t>
      </w:r>
    </w:p>
    <w:p>
      <w:pPr>
        <w:spacing w:after="0" w:line="20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There is a risk that any exclusivity we may be afforded if any of our product candidates are approved as a biologic product under a BLA could be shortened due to congressional action, the results of recent litigation,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December 2019, the US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and implement preferential reimbursement policies for biosimilars.</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Europe, the European Commission has granted marketing authorizations for several biosimilar products pursuant to a set of general and product class-specific guidelines for biosimilar approvals issued over the past few years. In the EEA, innovative medicinal products generally receive eight years of data exclusivity and an additional two years of marketing exclusivity. Data exclusivity prevents biosimilar applicants from referencing the innovator’s preclinical and clinical trial data when applying for a biosimilar marketing authorization, during a period of eight years from the date on which the reference product was first authorized in the EEA. During the additional two-year period of market exclusivity, biosimilar marketing authorization can be submitted, and the innovator’s data may be referenced, but no biosimilar product can be marketed until the expiration of the market exclusivity period.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marketing authorization based on an application with a complete independent data package of pharmaceutical tests, preclinical tests and clinical trials. In addition, companies may be developing biosimilar products in other countries that could compete with our products, if approved.</w:t>
      </w:r>
    </w:p>
    <w:p>
      <w:pPr>
        <w:spacing w:after="0" w:line="19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8" w:name="page39"/>
    <w:bookmarkEnd w:id="38"/>
    <w:p>
      <w:pPr>
        <w:ind w:right="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even if we have appropriate insurance policies, and we may be required to limit commercialization of our product candidates.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biopharmaceutical and biotechnology products. Currently, we have no products that have been approved for marketing or commercialization; however, the use of our product candidates in clinical trials, and the sale of these product candidates, if approved, in the future, may expose us to liability claims. Product liability claims may be brought against us or our partners by participants enrolled in our clinical trials, patients, health care providers, biotechnology and pharmaceutical companies, our collaborators or others using, administering or selling any of our future approved products. If we cannot successfully defend ourselves against any such claims, we may incur substantial liabilities, even if we have product liability or such other applicable insurance policies in effect. We may not be able to maintain adequate levels of insurance for these liabilities at reasonable cost and/or reasonable terms. Excessive insurance costs or uninsured claims would add to our future operating expenses and adversely affect our financial condition. As a result of such lawsuits and their potential results, we may be required to limit commercialization of our product candidates. Regardless of the merits or eventual outcome, liability claims may result in:</w:t>
      </w:r>
    </w:p>
    <w:p>
      <w:pPr>
        <w:spacing w:after="0" w:line="21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 and negative media attention;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recalls or increased warnings on product labels;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of to defend the related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management and our resources;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clinical trial participants, patients or other claimants;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insurance premiums;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initiation of investigations by regulators or other authorities;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successfully commercialize our product candidates, if approved.</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19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Biological products are inherently difficult to manufacture, and gene therapy products are complex biological products, the development and manufacture of which necessitates substantial expertise and capital investment.</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Temferon is individually manufactured for each patient using complex processes in specialized facilities. Our production process requires a variety of raw materials, some of which are highly specialized, including the viral vector that encodes for the therapeutic payload. Some of these raw materials have limited and, in some cases, sole suppliers. Even though we plan to have back-up supplies of raw materials whenever possible, we cannot be certain such supplies will be sufficient if our primary sources are unavailable. A shortage of a critical raw material or a technical issue during manufacturing may lead to delays in clinical development or commercialization of our product candidates.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9" w:name="page40"/>
    <w:bookmarkEnd w:id="39"/>
    <w:p>
      <w:pPr>
        <w:ind w:right="40" w:firstLine="648"/>
        <w:spacing w:after="0" w:line="253" w:lineRule="auto"/>
        <w:rPr>
          <w:sz w:val="20"/>
          <w:szCs w:val="20"/>
          <w:color w:val="auto"/>
        </w:rPr>
      </w:pPr>
      <w:r>
        <w:rPr>
          <w:rFonts w:ascii="Arial" w:cs="Arial" w:eastAsia="Arial" w:hAnsi="Arial"/>
          <w:sz w:val="18"/>
          <w:szCs w:val="18"/>
          <w:color w:val="auto"/>
        </w:rPr>
        <w:t>Several factors could cause production interruptions, including equipment malfunctions, facility contamination, raw material shortages or contamination, natural disasters, disruption in utility services, human error or disruptions in the operations of our suppliers. We have limited experience manufacturing our product candidates. We have contracted with a third party CMO for the manufacture of our viral vectors and drug product for clinical trials. We expect this CMO will be capable of providing sufficient quantities of our viral vectors and gene therapy products to meet the anticipated scales for our clinical trials, in due course, and commercial demands, if approved. However, to meet our projected needs for further commercial manufacturing and large scale clinical trials, third parties with whom we currently work might need to increase their scale and frequency of production, and we will likely need to secure alternate suppliers or develop our own capabilities. We believe that there are alternate sources of supply that can satisfy our requirements, although we cannot be certain that identifying and establishing relationships with such sources, if necessary, would not result in significant delay or material additional costs.</w:t>
      </w:r>
    </w:p>
    <w:p>
      <w:pPr>
        <w:spacing w:after="0" w:line="22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two vaccines for COVID-19 were granted Emergency Use Authorization by the FDA in late 2020,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21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All manufacturers of pharmaceutical products must comply with strictly enforced requirements and complex regulations. Any failure by our CMO to adhere to or document compliance to such regulatory requirements could lead to a delay or interruption in the availability of our product candidate for clinical trials or result in sanctions, including clinical holds, fines, injunctions, civil penalties, delays, suspension or withdrawal of approvals, license revocation, seizures or recalls of raw materials, product candidates or products, operating restrictions and criminal prosecutions, any of which could have significant adverse consequences on us. Our potential future dependence upon others for the manufacture of our gene therapies may also adversely affect our future profit margins and our ability to commercialize any product candidates that receive regulatory approval on a timely and competitive basis.</w:t>
      </w:r>
    </w:p>
    <w:p>
      <w:pPr>
        <w:spacing w:after="0" w:line="1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Delays in obtaining regulatory approval of our or our CMOs’ manufacturing process and facility or disruptions in our manufacturing process may delay or disrupt our commercialization efforts.</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Before we can begin to commercially manufacture our viral vector or product candidates in our own facility, or the facility of a CMO, we must obtain regulatory approval from the FDA for our manufacturing processes and for the facility in which manufacturing is performed. A manufacturing authorization must also be obtained from the appropriate European Union regulatory authorities. In addition, we must pass a pre-approval inspection of our or our CMOs manufacturing facility by the FDA and other relevant regulatory authorities before any of our gene therapy product candidates can obtain marketing approval. Since March 2020, foreign and domestic inspections by FDA have largely been on hold with FDA announcing plans in July 2020 to resume prioritized domestic inspections.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In order to obtain approval, we will need to ensure that all of our processes, quality systems, methods, equipment policies and procedures are compliant with GMP, and perform extensive audits of vendors, contract laboratories, CMOs and suppliers. If any of our vendors, contract laboratories, CMOs or suppliers is found to be out of compliance with GMP, we may experience delays or disruptions in manufacturing while we work with these third parties to remedy the violation or while we work to identify suitable replacement vendors. The GMP requirements govern quality control of the manufacturing process and documentation policies and procedures. In complying with 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40" w:name="page41"/>
    <w:bookmarkEnd w:id="40"/>
    <w:p>
      <w:pPr>
        <w:ind w:right="500"/>
        <w:spacing w:after="0" w:line="277" w:lineRule="auto"/>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time-consuming remedial measures.</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CMO or us could harm our business, financial condition, results of operations and prospects.</w:t>
      </w:r>
    </w:p>
    <w:p>
      <w:pPr>
        <w:spacing w:after="0" w:line="21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our CMOs or we fail to comply with applicable GMP regulations,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Additionally, if supply from any CMO or us is delayed or interrupted, there could be a significant disruption in the clinical or commercial supply of our product candidates. We have agreements in place with our CMO pursuant to which we are collaborating on GMP manufacturing processes and analytical methods for the manufacture and release of our viral vectors and drug product. Therefore, if we are unable to enter into an agreement with our CMO to manufacture clinical or commercial material for our product programs, or if our agreement with our CMOs were terminated, we would have to find suitable alternative manufacturers. This could delay our or our collaborators’ ability to conduct clinical trials or commercialize our current and future product candidates. The regulatory authorities also may require additional clinical trials and other nonclinical and or analytical evaluations if a new manufacturer is relied upon for clinical or commercial production. Switching manufacturers may involve substantial costs, require significant comparability studies and could result in a delay in our desired clinical and commercial timelines.</w:t>
      </w:r>
    </w:p>
    <w:p>
      <w:pPr>
        <w:spacing w:after="0" w:line="2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5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5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1" w:name="page42"/>
    <w:bookmarkEnd w:id="41"/>
    <w:p>
      <w:pPr>
        <w:ind w:right="40"/>
        <w:spacing w:after="0" w:line="308" w:lineRule="auto"/>
        <w:rPr>
          <w:sz w:val="20"/>
          <w:szCs w:val="20"/>
          <w:color w:val="auto"/>
        </w:rPr>
      </w:pPr>
      <w:r>
        <w:rPr>
          <w:rFonts w:ascii="Arial" w:cs="Arial" w:eastAsia="Arial" w:hAnsi="Arial"/>
          <w:sz w:val="17"/>
          <w:szCs w:val="17"/>
          <w:b w:val="1"/>
          <w:bCs w:val="1"/>
          <w:i w:val="1"/>
          <w:iCs w:val="1"/>
          <w:color w:val="auto"/>
        </w:rPr>
        <w:t>Patients’ cellular source material must be transported from the clinical collection site to the manufacturing facility and the cryopreserved drug product must be returned to the clinical site for administration into the patient using controlled temperature shipping containers.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collected from the patient, the cellular source material must be transported to the manufacturing facility using a shipping container that maintains the material at a required temperature and be delivered typically within three days of collection. While we intend to use reputable couriers and agents for the transport of such materials, if the shipping container is opened or damaged such that the required temperature is not maintained, the cellular source material may be adversely impacted and it may not be feasible to manufacture a drug product for the patient. Similarly, if a shipment is delayed due to adverse weather, misrouting, other events or held up at a customs point, the cellular source material may not be delivered within a time window that will allow for its use for the successful manufacture of a drug product. Similarly, the patient’s autologous drug product must be returned to the clinical site for administration into the patient using a specialized shipping container that maintains the material at a very low temperature for a period of typically up to ten days. While we intend to use reputable couriers and agents for the transport of our drug products, if the shipping container is opened or damaged such that the very low temperature is not maintained, the drug product may be adversely impacted and it may be unsuitable for administration to the patient or harmful. Similarly, if a shipment is delayed due to adverse weather, misrouting, held up at a customs point or other events, and is not delivered to the clinical site within the time period that the very low temperature is maintained, the drug product may be unsuitable for administration to the patient or harmful.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gene therapies are for autologous use only. Therefore, if a drug product is administered to the wrong patient, the patient could suffer harm.</w:t>
      </w:r>
    </w:p>
    <w:p>
      <w:pPr>
        <w:spacing w:after="0" w:line="2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gene therapies are autologous, so they must be administered back only to the patient from which the cellular source material was collected. While we implement specific identifiers, lot numbers and labels with cross checks for our products and operations from collection of cellular source material, through manufacture of drug product, transport of product to the clinical site up to thawing and administration of the product, it is possible that a product may be administered into the wrong patient. If an autologous gene therapies were to be administered into the wrong patient, the patient could suffer harm, including experiencing a severe adverse immune reaction and this event, should it happen, could adversely affect our business, financial condition, results of operations and prospects.</w:t>
      </w:r>
    </w:p>
    <w:p>
      <w:pPr>
        <w:spacing w:after="0" w:line="2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19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 namely Temferon.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Temferon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93" w:lineRule="exact"/>
        <w:rPr>
          <w:sz w:val="20"/>
          <w:szCs w:val="20"/>
          <w:color w:val="auto"/>
        </w:rPr>
      </w:pPr>
    </w:p>
    <w:p>
      <w:pPr>
        <w:jc w:val="both"/>
        <w:ind w:right="460" w:firstLine="648"/>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We have not yet succeeded and may never succeed in demonstrating efficacy and safety of our product candidates or any future product candidates in preclinical studies, clinical trials or in obtaining marketing approval thereafter and, therefore, may not result in the discovery and development of commercially viable products.</w:t>
      </w:r>
    </w:p>
    <w:p>
      <w:pPr>
        <w:spacing w:after="0" w:line="19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utilize, and expect to continue to utilize, third parties to conduct some or all aspects of our vector production and product manufacturing for the foreseeable future, and these third parties may not perform satisfactorily.</w:t>
      </w:r>
    </w:p>
    <w:p>
      <w:pPr>
        <w:spacing w:after="0" w:line="197"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We currently rely on our CMO and for the production of our viral vectors and product candidate for our ongoing clinical trials and preclinical studies. For future clinical trials we intend to utilize materials manufactured by GMP-compliant CMOs. If our partners do not successfully carry out their contractual duties, meet expected deadlines or manufacture our viral vector and product candidates in accordance with regulatory requirements or if there are disagreements between us and our CMO, we will not be able to complete, or may be delayed in completing, the clinical trials required to support approval of our product candidates or the FDA, EMA or other regulatory agencies may refuse to accept our clinical or preclinical data. In such instances, we may need to enter into an appropriate replacement third-party relationship, which may not be readily available or available on acceptable terms, which would cause additional delay or increased expense prior to the approval of our product candidates and would thereby have a negative impact on our business, financial condition, results of operations and prospects.</w:t>
      </w:r>
    </w:p>
    <w:p>
      <w:pPr>
        <w:spacing w:after="0" w:line="20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have partnered with a commercial GMP-compliant CMO and intend to utilize viral vectors and gene therapy products manufactured by such CMO for our future clinical trials and products for which we obtain marketing approval. There is no assurance that our CMO, or any other future third-party manufacturer that we engage, will be successful in producing any or all of our viral vector or product candidates, that any such product will, if required, pass the required comparability testing, or that any materials produced by any other third-party manufacturer that we engage will have the same effect in patients that we have observed to date. We believe that our manufacturing network will have sufficient capacity to meet demand for our clinical and existing and expected initial commercial needs, but there is a risk that if supplies are interrupted or result in poor yield or quality, it would materially harm our business. Additionally, if the gene therapy industry were to grow, we may encounter increasing competition for the raw materials and consumables necessary for the production of our product candidates. Furthermore, demand for CMO GMP manufacturing capabilities may grow at a faster rate than existing manufacturing capacity, which could disrupt our ability to find and retain third-party manufacturers capable of producing sufficient quantities of our viral vectors or product candidates for future clinical trials or to meet expected initial commercial demand.</w:t>
      </w:r>
    </w:p>
    <w:p>
      <w:pPr>
        <w:spacing w:after="0" w:line="19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certain circumstances, our current CMO is entitled to terminate their engagements with us. If we need to enter into alternative arrangements, it could delay our development activities. Our reliance on our CMO for certain manufacturing activities will reduce our control over these activities but will not relieve us of our responsibility to ensure compliance with all required regulations. In addition to our current CMO, we may rely on additional third parties to manufacture ingredients of our viral vectors and or drug product in the future and to perform quality testing, and reliance on these third parties entails risks including:</w:t>
      </w:r>
    </w:p>
    <w:p>
      <w:pPr>
        <w:spacing w:after="0" w:line="21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84"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any of our product candidates. Some of these events could be the basis for FDA, EMA or other regulatory authority action, including injunction, recall, seizure or total or partial suspension of product manufacture.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3" w:name="page44"/>
    <w:bookmarkEnd w:id="43"/>
    <w:p>
      <w:pPr>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do not expect to independently conduct all aspects of our lentiviral vector protocol development, research and preclinical and clinical testing. We currently rely, and plan to continue to rely, upon third-party CROs to monitor and manage data for our ongoing preclinical and clinical programs. Pursuant to the OSR License Agreement,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rely on these parties, including OSR, for execution of our preclinical and clinical studies, but we can only control limited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GMP, Good Clinical Practices, or GCP, and Good Laboratory Practices, or GLP, which are regulations and guidelines enforced by the FDA, the Competent Authorities of the Member States of the EEA, and comparable foreign regulatory authorities for all of our product candidates in clinical development. Regulatory authorities enforce these regulations through periodic inspections of study sponsors, principal investigators, study sites and other contractors. If we or any of our CROs or vendors fail to comply with applicable regulations, the clinical data generated in our clinical studies may be deemed unreliable and the FDA, the EMA or other comparable regulatory authorities may require us to perform additional clinical studies before approving our marketing applications. We cannot assure you that upon inspection by a given regulatory authority, such regulatory authority will determine that any of our clinical studies comply with GCP regulations. In addition, our clinical studies must be conducted with product candidates which are produced under GMP regulations. These risks may be heightened as a result of the evolving COVID-19 pandemic due to difficulties in recruiting study subjects during times of travel restriction, delays in obtaining required regulatory inspections, and potential unavailability of our CROs due to their involvement with COVID-related development activities. Our failure to comply with these regulations may require us to repeat clinical studies, which would delay the regulatory approval process.</w:t>
      </w:r>
    </w:p>
    <w:p>
      <w:pPr>
        <w:spacing w:after="0" w:line="19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and our collaborators and contract manufacturers are subject to significant regulation with respect to manufacturing our product candidates. The manufacturing facilities on which we rely may not meet regulatory requirements and have limited capacity.</w:t>
      </w:r>
    </w:p>
    <w:p>
      <w:pPr>
        <w:spacing w:after="0" w:line="173"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Contract manufacturers and their facilities are required to comply with extensive regulatory requirements, including ensuring that quality control and manufacturing procedures conform to GMPs. These GMP regulations cover all aspects of manufacturing relating to our product candidates and components used in clinical studies. These regulations govern manufacturing processes and procedures (including record keeping) and the implementation and operation of quality systems to control and assure the quality of investigational product candidates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an BLA or MAA on a timely basis and must adhere to GLP and GMP regulations enforced by the FDA and other regulatory authorities through their facilities inspection program.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 candidates. In addition, the regulatory authorities may, at any time, audit or inspect a manufacturing facility involved with the preparation of our product candidates or our other potential product candidates or the associated quality systems for compliance with the regulations applicable to the activities being conducted. We do not control the manufacturing process of, and are completely dependent on, our contract manufacturing partners for compliance with the regulatory requirements. If these facilities do not pass a pre-approval plant inspection, regulatory approval of the product candidates may not be granted or may be substantially delayed until any violations are corrected to the satisfaction of the regulatory authority, if ever. Moreover, if our contract manufacturers fail to achieve and maintain high manufacturing standards, in accordance with applicable regulatory requirements, or there are substantial manufacturing errors, this could result in patient injury or death, product shortages, product recalls or withdrawals, delays or failures in product testing or delivery, cost overruns or other problems that could seriously harm our business.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4" w:name="page45"/>
    <w:bookmarkEnd w:id="44"/>
    <w:p>
      <w:pPr>
        <w:ind w:right="440"/>
        <w:spacing w:after="0" w:line="277" w:lineRule="auto"/>
        <w:rPr>
          <w:sz w:val="20"/>
          <w:szCs w:val="20"/>
          <w:color w:val="auto"/>
        </w:rPr>
      </w:pPr>
      <w:r>
        <w:rPr>
          <w:rFonts w:ascii="Arial" w:cs="Arial" w:eastAsia="Arial" w:hAnsi="Arial"/>
          <w:sz w:val="18"/>
          <w:szCs w:val="18"/>
          <w:b w:val="1"/>
          <w:bCs w:val="1"/>
          <w:i w:val="1"/>
          <w:iCs w:val="1"/>
          <w:color w:val="auto"/>
        </w:rPr>
        <w:t>We are dependent on a limited number of suppliers and, in some instances, a sole supplier, for some of our components and materials used in our product candidates.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currently depend on a limited number of suppliers and, in some instances, a sole supplier, for some of the components and equipment necessary for the production of our viral vectors and drug product. We cannot be sure that these suppliers will remain in business, or that they will not be purchased by one of our competitors or another company that is not interested in continuing to produce these materials for our intended purpose. Our use of a sole or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in some cases, no alternatives.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20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are required to switch to a replacement supplier, the manufacture and delivery of our viral vectors and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or EMA could require additional supplemental data, manufacturing data and comparability data up to and including clinical trial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208"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19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5" w:name="page46"/>
    <w:bookmarkEnd w:id="45"/>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may seek collaboration arrangements with biotechnology or pharmaceutical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biotechnology or pharmaceutical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21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Collaborations with biotechnology or pharmaceutical companies and other third parties often are terminated or allowed to expire by the other party. Any such termination or expiration could adversely affect us financially and could harm our business reputation.</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otherwise disclosed.</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22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these agreements typically restrict the ability of our collaborators, advisors, employees and consultants to publish data potentially relating to our trade secrets. Our principal investigators, physicians and academic collaborators typically have rights to publish data, provided that we are notified in advance and may delay publication for a specified time in order to secure our intellectual property rights arising from the collaboration.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depend on license agreements with OSR to permit us to use patents and patent applications, as well as to exploit specific OSR know-how. Termination of these rights or the failure to comply with obligations under these agreements could materially harm our business and prevent us from developing or commercializing our product candidates (Temferon in particular).</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party to a license agreement with OSR under which we were granted rights to patents and patent applications, as well as proprietary technologies, that are important and necessary to our business, including our Temferon based product candidates. Our rights to use these patents and patent applications and employ the inventions claimed in these licensed patents, as well as the exploitation of OSR proprietary technology, are subject to the continuation of, and our compliance with, the terms of our license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license agreement with OSR imposes upon us various diligence, payment and other obligations, including the following:</w:t>
      </w:r>
    </w:p>
    <w:p>
      <w:pPr>
        <w:spacing w:after="0" w:line="252" w:lineRule="exact"/>
        <w:rPr>
          <w:sz w:val="20"/>
          <w:szCs w:val="20"/>
          <w:color w:val="auto"/>
        </w:rPr>
      </w:pPr>
    </w:p>
    <w:p>
      <w:pPr>
        <w:ind w:left="660" w:right="20" w:hanging="328"/>
        <w:spacing w:after="0" w:line="25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obligation to pay OSR various milestone payments in the aggregate amount of up to €10 million related to the Lympho-Hematopoietic Indication of each Licensed Product and up to €53 million related to each Solid Cancer indication, contingent upon our achievement of certain late-stage regulatory and sales milestones with respect to use of Temferon for GBM, and additional amounts for milestones with other solid cancer indications upon exercising those rights. However, starting with the fifth Solid Cancer indication, the first two related milestone payments totaling €7.0 million are reduced to €3.5 million.</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obligation to pay OSR royalties based on net sales of each licensed product that we commercialize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obligation to pay a percentage of income derived from sublicensees for each licensed product sublicensed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obligation to pay fees associated with the prosecution, maintenance, or filing of the patents and patent applications we have licensed.</w:t>
      </w:r>
    </w:p>
    <w:p>
      <w:pPr>
        <w:spacing w:after="0" w:line="26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we fail to comply with any of our obligations under the OSR license agreement, or we are subject to a bankruptcy or dissolution, OSR may have the right to terminate the license agreement, in which event we would not be able to market any product candidates covered by the license.</w:t>
      </w:r>
    </w:p>
    <w:p>
      <w:pPr>
        <w:spacing w:after="0" w:line="17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do not currently own any patents, and we are heavily reliant upon license from OSR to certain patent rights that are important or necessary to the development of our technology and product candidates, including the patents relating to Temferon. Our license is exclusive only to specific fields of use, namely: GBM, solid liver cancer and any lympho-hematopoietic indication. Although we have exclusive option rights to license additional fields of use, or indications, upon the payment of additional fees to OSR, there is no guarantee that we will be in a position to do so within the time period specified to exercise such right. As a result, we may not be able to prevent competitors from developing and commercializing competitive products.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do not control the prosecution, maintenance, or filing of the patents and patent applications that are licensed to us under the OSR license agreement (unless OSR chooses i) not to file and/or prosecute certain patent applications, or ii) to abandon such patent application and issued patents, in which cases we have the right to – at our expense – file, prosecute and/or maintain such patent applications), or the enforcement of these patents and patent applications against infringement by third parties. Thus, these patents and patent applications were not drafted by us or our attorneys, and we do not control or have any input into the prosecution of these patents and patent applications. We cannot be certain that drafting or prosecution of the patents and patent applications licensed to us has been conducted in compliance with applicable laws and regulations or will result in valid and enforceable patents. OSR controls the preparation, filing and prosecution of patent applications, and is responsible for maintaining the patents, covering technology that we license.</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our license, we are required to file an IND regarding Temferon for GBM prior to February 2022. If we fail to comply with the obligations under our license agreement, including as a result of COVID-19 impacting our operations or due to lack of funds, or if we use the licensed intellectual property in an unauthorized manner, we may be required to pay damages and our licensors may have the right to terminate the license. If our license agreement is terminated, we may not be able to develop, manufacture, market or sell the product candidates covered by our agreement and those being tested or approved in combination with such products. Such an occurrence could materially adversely affect the value of the product candidates being developed under any such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7" w:name="page48"/>
    <w:bookmarkEnd w:id="47"/>
    <w:p>
      <w:pPr>
        <w:ind w:right="60" w:firstLine="648"/>
        <w:spacing w:after="0" w:line="277" w:lineRule="auto"/>
        <w:rPr>
          <w:sz w:val="20"/>
          <w:szCs w:val="20"/>
          <w:color w:val="auto"/>
        </w:rPr>
      </w:pPr>
      <w:r>
        <w:rPr>
          <w:rFonts w:ascii="Arial" w:cs="Arial" w:eastAsia="Arial" w:hAnsi="Arial"/>
          <w:sz w:val="18"/>
          <w:szCs w:val="18"/>
          <w:color w:val="auto"/>
        </w:rPr>
        <w:t>Disputes may arise regarding intellectual property subject to, and any of our rights and obligations under, any license or other strategic agreement, including:</w:t>
      </w:r>
    </w:p>
    <w:p>
      <w:pPr>
        <w:spacing w:after="0" w:line="19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misappropriate or violate the intellectual property of the licensor that is not subject to the license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sublicensing of patent and other rights to third parties under any such agreement or collaborative relationships;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91"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if we are unable to successfully obtain rights to required third-party intellectual property rights or maintain the existing intellectual property rights we have, we may have to seek alternative options, such as developing new product candidates with design-around technologies, which may require more time and investment, or abandon development of the relevant research programs or product candidates and our business, financial condition, results of operations and prospects could suffer.</w:t>
      </w:r>
    </w:p>
    <w:p>
      <w:pPr>
        <w:spacing w:after="0" w:line="21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have been granted licenses in certain fields of use to patent applications. There can be no assurance that any of the patent applications that we have licenses to will result in issued patents. As a result, our ability to protect our proprietary technology in the marketplace may be limited.</w:t>
      </w:r>
    </w:p>
    <w:p>
      <w:pPr>
        <w:spacing w:after="0" w:line="15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have been granted licenses in certain fields of use to patent applications in many countries worldwide. These applications cover a range of areas including: applications relating, in general terms, to the use of gene vectors comprising a miRNA target sequence, and the use of gene vectors comprising an interferon-alpha transgene operably linked to a miRNA-130a or miRNA-126 target sequence. Unless and until the pending patent applications are issued, their protective scope is impossible to determine. It is also impossible to predict whether or how many of the patent applications will result in issued patents. Even if pending applications are issued, they may be issued with coverage significantly narrower than what is currently sought.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8" w:name="page49"/>
    <w:bookmarkEnd w:id="48"/>
    <w:p>
      <w:pPr>
        <w:ind w:right="560"/>
        <w:spacing w:after="0" w:line="277" w:lineRule="auto"/>
        <w:rPr>
          <w:sz w:val="20"/>
          <w:szCs w:val="20"/>
          <w:color w:val="auto"/>
        </w:rPr>
      </w:pPr>
      <w:r>
        <w:rPr>
          <w:rFonts w:ascii="Arial" w:cs="Arial" w:eastAsia="Arial" w:hAnsi="Arial"/>
          <w:sz w:val="18"/>
          <w:szCs w:val="18"/>
          <w:b w:val="1"/>
          <w:bCs w:val="1"/>
          <w:i w:val="1"/>
          <w:iCs w:val="1"/>
          <w:color w:val="auto"/>
        </w:rPr>
        <w:t>Our proprietary position for our product candidates currently depends in part upon licenses to patents protecting methods of use, which may not prevent a competitor or other third party from using the same product candidate for another use.</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Composition of matter patent claims on the active pharmaceutical ingredient, or API, in pharmaceutical drug products are generally considered to be the favored form of intellectual property protection for pharmaceutical products, as such patents generally provide protection without regard to any particular method of use, manufacture or formulation of the API used. Method of use patent claims protect the use of a product for the specified method and dosing. These types of patent claims do not prevent a competitor or other third party from making and marketing an identical API for an indication that is outside the scope of the method claims or from developing a different dosing regimen. Moreover,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such infringement is difficult to prevent or prosecute.</w:t>
      </w:r>
    </w:p>
    <w:p>
      <w:pPr>
        <w:spacing w:after="0" w:line="205"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Even if patents are issued based on patent applications to which we have been granted a license, because the patent positions of pharmaceutical and biotechnology products are complex and uncertain, we cannot predict the scope and extent of patent protection for our product candidates.</w:t>
      </w:r>
    </w:p>
    <w:p>
      <w:pPr>
        <w:spacing w:after="0" w:line="1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patents that may be issued based on patent applications that we have been granted licenses to will not ensure sufficient protection with respect to our activities for a number of reasons, including without limitation the following:</w:t>
      </w:r>
    </w:p>
    <w:p>
      <w:pPr>
        <w:spacing w:after="0" w:line="197" w:lineRule="exact"/>
        <w:rPr>
          <w:sz w:val="20"/>
          <w:szCs w:val="20"/>
          <w:color w:val="auto"/>
        </w:rPr>
      </w:pPr>
    </w:p>
    <w:p>
      <w:pPr>
        <w:ind w:left="660" w:right="4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issued patents may not be broad or strong enough to prevent competition from other gene therapy products including identical or similar products;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patents are not issued or if issued patents expire, there would be no protections against competitors making generic equivalents;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w:t>
      </w:r>
    </w:p>
    <w:p>
      <w:pPr>
        <w:spacing w:after="0" w:line="184"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other patents existing, now or in the future, in the patent landscape for Temferon, or any other product candidates that we seek to commercialize or develop, if any, that will affect our freedom to operate;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patents that we have been granted licenses to are challenged, a court could determine that they are not valid or enforceable;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court could determine that a competitor’s technology or product does not infringe patents that we have been granted licenses to;</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patents to which we have been granted licenses could irretrievably lapse due to failure to pay fees or otherwise comply with regulations, or could be subject to compulsory licensing; and</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9" w:name="page50"/>
    <w:bookmarkEnd w:id="49"/>
    <w:p>
      <w:pPr>
        <w:jc w:val="both"/>
        <w:ind w:right="86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United States Patent and Trademark Office (USPTO) and foreign Intellectual Property Offices in several stages over the term of the patent. Maintenance fees are also due for pending patent applications in some countries.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office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0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The life of patent protection is limited, and third parties could develop and commercialize products and technologies similar or identical to ours and compete directly with us after the patent licensed to us expires, which could materially and adversely affect our ability to commercialize our products and technologies.</w:t>
      </w:r>
    </w:p>
    <w:p>
      <w:pPr>
        <w:spacing w:after="0" w:line="211"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In Europe, the expiration of an invention patent is 20 years from its filing date. Even if we successfully obtain patent protection for an approved drug candidate, it may face competition from generic or biosimilar medications. Manufacturers of generic or biosimilar drugs may challenge the scope, validity or enforceability of the patents underlying our technology in court or before a patent office, and the patent holder may not be successful in enforcing or defending those intellectual property rights and, as a result, we may not be able to develop or market the relevant product candidate exclusively, which would materially adversely affect any potential sales of that product.</w:t>
      </w:r>
    </w:p>
    <w:p>
      <w:pPr>
        <w:spacing w:after="0" w:line="22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Given the amount of time required for the development, testing and regulatory review of new drug candidates, patents protecting such drug candidates might expire before or shortly after such drug candidates are commercialized. As a result, the patents and patent applications licensed to us may not provide us with sufficient rights to exclude others from commercializing products similar or identical to ours. Even if we believe that the patents involved are eligible for certain (and time-limited) patent term extensions, there can be no assurance that the applicable authorities, including the FDA and the USPTO, and any equivalent regulatory authority in other countries, will agree with our assessment of whether such extensions are available, and such authorities may refuse to grant extensions to such patents, or may grant more limited extensions than requested. For example, depending upon the timing, duration and specifics of any FDA marketing approval of any product candidates we may develop, one or more of the U.S. patents licensed to us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 If we are unable to obtain patent term extension or term of any such extension is less than requested, our competitors may obtain approval of competing products following our patent expiration, and our business could be harmed. Changes in either the patent laws or interpretation of the patent laws in the United States and other countries may diminish the value of our patents or narrow the scope of our patent protection.</w:t>
      </w:r>
    </w:p>
    <w:p>
      <w:pPr>
        <w:spacing w:after="0" w:line="20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patents and pending patent applications licensed to us for our product candidates are expected to expire on various dates as described in “Business—Intellectual Property.” Upon the expiration, we will not be able to assert such licensed patent rights against potential competitors, which would materially adversely affect our business, financial condition, results of operations and prospects.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0" w:name="page51"/>
    <w:bookmarkEnd w:id="50"/>
    <w:p>
      <w:pPr>
        <w:ind w:right="60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 or at all.</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There may be intellectual property rights existing now, or in the future, relevant to Temferon, or any other product candidates that we seek to commercialize or develop, if any, that may affect our ability to commercialize such product candidates. Although the Company is not aware of any such intellectual property rights, a third-party may hold intellectual property rights, including patent rights, that are important or necessary to the development or manufacture of our product candidates. Even if all our main product candidates are covered by patents,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our business could be harmed.</w:t>
      </w:r>
    </w:p>
    <w:p>
      <w:pPr>
        <w:spacing w:after="0" w:line="22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intellectual property, which could be expensive, time consuming and unsuccessful.</w:t>
      </w:r>
    </w:p>
    <w:p>
      <w:pPr>
        <w:spacing w:after="0" w:line="27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addition to the possibility of litigation relating to infringement claims asserted against it, we may become a party to other patent litigation and other proceedings,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post-grant review proceedings, derivation proceedings declared by the USPTO and similar proceedings in foreign countries, regarding intellectual property rights with respect to our current or future technologies or product candidates or products. Pursuant to the OSR License Agreement, OSR has the right to enforce the patents at its own expense. However, if OSR fails to do so, we have the right to enforce the licensed patents in the field of use, at our expense.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spacing w:after="0" w:line="19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Competitors may infringe or otherwise violate our intellectual property, including patents that may issue to or be licensed by us. As a result, we may be required to file claims in an effort to stop third-party infringement or unauthorized use. Any such claims could provoke these parties to assert counterclaims against us, including claims alleging that we infringe their patents or other intellectual property rights, and/or that any of our IP, including licensed IP, is invalid and/or unenforceable.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its technology. An adverse determination in any litigation or defense proceedings could put our intellectual property at risk of being invalidated or interpreted narrowly and could put our patent applications at risk of not issuing.</w:t>
      </w:r>
    </w:p>
    <w:p>
      <w:pPr>
        <w:spacing w:after="0" w:line="22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the breadth or strength of our patent or other intellectual property rights is compromised or threatened, it could allow third parties to exploit and, in particular, commercialize our technology or products or result in our inability to exploit and/or commercialize our technology and products without infringing third-party intellectual property rights. Further, third parties may be dissuaded from collaborating with us.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Interference or derivation proceedings brought by the USPTO or its foreign counterparts may be necessary to determine the priority of inventions with respect to our patent applications, and we may also become involved in other proceedings, such as re-examination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1" w:name="page52"/>
    <w:bookmarkEnd w:id="51"/>
    <w:p>
      <w:pPr>
        <w:ind w:right="20" w:firstLine="648"/>
        <w:spacing w:after="0" w:line="29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even if some jurisdictions have specific rules so as to maintain confidentiality during the proceedings. Moreover, intellectual property law relating to the fields in which we operate is still evolving and, consequently, patent and other intellectual property rights in our industry are subject to change and are often uncertain. We may not prevail in any of these suits or other efforts to protect our technology, and the damages or other remedies awarded, if any, may not be commercially valuable. During the course of this type of litigation, there could be public announcements of the results of hearings, motions or other interim proceedings or developments. If securities analysts or investors perceive these results to be negative, the market price for our common stock could be significantly harmed.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spacing w:after="0" w:line="20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expect to rely on trademarks, including Temferon, as one means to distinguish any of our product candidates that are approved for marketing from the products of our competitors. Other than Temferon, which we have registered in the EU and the U.S., we have not yet selected trademarks for our product candidates and have not yet begun the process of applying to register trademarks for any other of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20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any proprietary name we propose to use with our clinical-stage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The EMA may also object to our proposed proprietary product name that infringes the existing rights of third parties.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2" w:name="page53"/>
    <w:bookmarkEnd w:id="52"/>
    <w:p>
      <w:pPr>
        <w:ind w:right="80" w:firstLine="648"/>
        <w:spacing w:after="0" w:line="296" w:lineRule="auto"/>
        <w:rPr>
          <w:sz w:val="20"/>
          <w:szCs w:val="20"/>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intellectual property rights throughout the world.</w:t>
      </w:r>
    </w:p>
    <w:p>
      <w:pPr>
        <w:spacing w:after="0" w:line="25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Filing, prosecuting, and defending patent applications and issued patents on product candidates in all countries throughout the world would be prohibitively expensive, and intellectual property rights that we have been granted licenses to in some countries outside the United States and Italy can be less extensive than those in the United States and Italy. In addition, the laws of some foreign countries do not protect intellectual property to the same extent as laws in the United States and Italy. Consequently, we may not be able to seek to prevent third parties from practicing inventions that are the subject of patents that we have been granted licenses to in all countries outside the United States and Italy, or from selling or importing products made using inventions that are the subject of patents that we have been granted licenses to in and into the United States or other jurisdictions. Competitors, for example, may use technologies that are the subject of patents that we have been granted licenses to in jurisdictions where we have not licensed patents to develop their own products and further, may export otherwise infringing products to territories where we have been granted licenses to patents, but enforcement is not as strong as that in the United States and Italy.</w:t>
      </w:r>
    </w:p>
    <w:p>
      <w:pPr>
        <w:spacing w:after="0" w:line="20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in foreign jurisdictions.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patents that we have been granted licenses to or marketing of competing products in violation of our proprietary rights generally. To date, we have not sought to enforce any issued patents in these foreign jurisdictions. Proceedings to enforce patent rights that we have been granted licenses to in foreign jurisdictions could result in substantial costs and divert our efforts and attention from other aspects of our business, could put patents that we have been granted licenses to at risk of being invalidated or interpreted narrowly and patent applications that we have been granted licenses to at risk of not issuing and could provoke third parties to assert claims against us. We may not prevail in any lawsuits that we initiate, and the damages or other remedies awarded, if any, may not be commercially meaningful. The requirements for patentability may differ in certain countries, particularly developing countries. Certain countries in Europe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that we have been granted licenses to around the world may be inadequate to obtain a significant commercial advantage from the intellectual property that we develop or license.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effective proprietary rights for our product candidates, we may not be able to compete effectively in our markets.</w:t>
      </w:r>
    </w:p>
    <w:p>
      <w:pPr>
        <w:spacing w:after="0" w:line="27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addition to the protection afforded by any issued patents to which we have been granted licenses and future patents that may be granted, our license agreement with OSR provides rights to access know-how, or trade secrets. We seek to preserve the integrity and confidentiality of our data, trade secrets and intellectual property by maintaining physical security of our premises and physical and electronic security of our information technology systems, as well as by entering into confidentiality agreements. Agreements or security measures may be breached or could expire, and we may not have adequate remedies for any breach and/or expiration. In addition, our trade secrets may otherwise become known or be independently discovered by competitors.</w:t>
      </w:r>
    </w:p>
    <w:p>
      <w:pPr>
        <w:spacing w:after="0" w:line="21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cannot provide any assurances that trade secrets and other confidential proprietary information will not be disclosed in violation of confidentiality agreements or that competitors will not otherwise gain access to trade secrets or independently develop substantially equivalent information and techniques. Also, misappropriation or unauthorized and unavoidable disclosure of trade secrets could impair our competitive position and may have a material adverse effect on our business. Additionally, if the steps taken to maintain trade secrets and intellectual property are deemed inadequate, we may have insufficient recourse against third parties for misappropriating any trade secret.</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53" w:name="page54"/>
    <w:bookmarkEnd w:id="53"/>
    <w:p>
      <w:pPr>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9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commercial success depends upon our ability to develop, manufacture, market and sell our platform technology without infringing the proprietary rights of third parties. There is considerable intellectual property litigation in the biotechnology and pharmaceutical industries. While no such judicial litigation has been brought against us and we have not been held by any court to have infringed a third party’s intellectual property rights, we cannot guarantee that our technology or use of our technology does not infringe third-party patents. It is also possible that we have failed to identify relevant third-party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which is referred to as the priority date in cases where priority is claimed. Therefore, patent applications covering our technology could have been filed by others without our knowledge. Additionally, pending patent applications which have been published can, subject to certain limitations, be later amended in a manner that could cover our technology.</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March 2013, the United States transitioned to a ‘first to file’ system in which the first inventor to file a patent application will be entitled to the patent. Third parties are allowed to submit prior art prior to the issuance of a patent by the USPTO and may become involved in post-grant review or derivation proceedings for applications filed on or after March 16, 2013, interference proceedings for applications filed before March 16, 2013,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challenging our patent rights or the patent rights of others. An adverse determination in any such submission, proceeding or litigation could reduce the scope of, or invalidate, our patent rights, which could adversely affect our competitive position with respect to third parties. We may become party to, or threatened with, future adversarial proceedings or litigation regarding intellectual property rights with respect to our technology,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aware of issued patents in the United States that cover the lentiviral vectors used in the manufacture of our product candidates.</w:t>
      </w:r>
    </w:p>
    <w:p>
      <w:pPr>
        <w:spacing w:after="0" w:line="264"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technology. However, we may not be able to obtain any required license on commercially reasonable terms or at all. Any inability to secure licenses or alternative technology could result in delays in the introduction of our products or lead to prohibition of the manufacture or sale of products by us. Even if we were able to obtain a license, it could be non-exclusive, thereby giving our competitors access to the same technologies licensed to us. We could be forced, including by court order, to cease commercializing the infringing technology. In addition, we could be found liable for monetary damages, including treble damages and attorneys’ fees if we are found to have willfully infringed a patent. A finding of infringement could prevent us from commercializing our technology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inventions or intellectual property rights of their current or former employers or claims asserting ownership of what we regard as intellectual property that we have been granted licenses to.</w:t>
      </w:r>
    </w:p>
    <w:p>
      <w:pPr>
        <w:spacing w:after="0" w:line="21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this respect, our key people Mr. Luigi Naldini and Mr. Bernhard Gentner are also employees of Ospedale San Raffaele, and have been appointed, according to a consultancy agreement, as directors of our scientific committee for the purpose of designing and developing the preclinic research and clinic experimentation program in the area of cancers (Prof. Naldini) and mieloma (Dr. Gentner) gene therapy. The relevant consultancy agreements do not set forth any specific representation and warranty in our favor that their activities do not infringe any third-party’s intellectual property rights (in particular, of OSR). In this respect, Mr. Naldini and Mr. Gentner have executed a statement whereby they have declared that their consultancy activities in our favor have been carried out by the same without infringing upon the intellectual property rights of OSR. OSR is not part of this statement and, therefore, OSR could in any case address claims against us with respect to an infringement of its intellectual property right by Mr. Naldini and Mr.Gentner in relation to their activity in our favor.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There may be claims challenging the inventorship of patents and other intellectual property that we have been granted licenses to.</w:t>
      </w:r>
    </w:p>
    <w:p>
      <w:pPr>
        <w:spacing w:after="0" w:line="25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There may be claims that former employees, collaborators or other third parties have an interest in patents or other intellectual property that we have been granted licenses to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there may be a loss of valuable intellectual property rights to us or our licensors,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In addition, we may receive less revenue from future products if any of our employees successfully claim for compensation for their work in developing intellectual property, which in turn could impact our future profitability.</w:t>
      </w:r>
    </w:p>
    <w:p>
      <w:pPr>
        <w:spacing w:after="0" w:line="192" w:lineRule="exact"/>
        <w:rPr>
          <w:sz w:val="20"/>
          <w:szCs w:val="20"/>
          <w:color w:val="auto"/>
        </w:rPr>
      </w:pPr>
    </w:p>
    <w:p>
      <w:pPr>
        <w:ind w:right="100"/>
        <w:spacing w:after="0" w:line="327" w:lineRule="auto"/>
        <w:rPr>
          <w:sz w:val="20"/>
          <w:szCs w:val="20"/>
          <w:color w:val="auto"/>
        </w:rPr>
      </w:pPr>
      <w:r>
        <w:rPr>
          <w:rFonts w:ascii="Arial" w:cs="Arial" w:eastAsia="Arial" w:hAnsi="Arial"/>
          <w:sz w:val="15"/>
          <w:szCs w:val="15"/>
          <w:b w:val="1"/>
          <w:bCs w:val="1"/>
          <w:i w:val="1"/>
          <w:iCs w:val="1"/>
          <w:color w:val="auto"/>
        </w:rPr>
        <w:t>Under applicable employment laws, we may not be able to prevent our employees or key consultants, after the termination of their relationship with us or - with reference to key consultants - during the same, to perform competitive activity in favor of other companies nor to enforce covenants not to compete and therefore may be unable to prevent our competitors from benefiting from the expertise of such employees or consultants. In addition, employees and consultants may be entitled to seek compensation for their inventions irrespective of their agreements with us.</w:t>
      </w:r>
    </w:p>
    <w:p>
      <w:pPr>
        <w:spacing w:after="0" w:line="14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To date, we have not entered into non-competition agreements with our current employees in order to prevent them, after the termination of their employment, to perform competitive activity in favor of other employers. Therefore, we cannot exclude that, after the termination of the employment, such employers may benefit from the expertise of our current employees developed while working for us. We sometimes enter into non-competition agreements with certain key consultants. These agreements prohibit key consultants, if they cease working for us, from competing directly with us or working for our competitors or clients for a limited period of time. We may be unable to enforce these agreements under the laws of the jurisdictions in which our consultants work and it may be difficult for us to restrict our competitors from benefitting from the expertise our former consultants developed while working for us. Under Italian law, a non-competition agreement could be invalidated if, for example, the geographic scope of the non-competition agreement is too broad, or, alternatively, such an agreement could be deemed by an Italian court to be an occupation ban. Such actions would make enforcing our non-competition agreements more challenging and could make it easier for our competitors to employ or benefit from the expertise of our key consultants. In addition, we cannot exclude that our current independent consultants may perform activities –during their relationship with us- which could result in competition / conflict with our activity (e.g., in case they perform their activity for the benefit of other employers or companies). Lastly, with reference to the key consultants with whom no non-competition agreement has been entered into, we cannot exclude that, after the termination of their relationship with us, other employers or companies may benefit from the expertise of such consultants developed while working for us.</w:t>
      </w:r>
    </w:p>
    <w:p>
      <w:pPr>
        <w:spacing w:after="0" w:line="20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under Italian law, if we wish to obtain ownership over inventions developed by our employees, which inventions were developed while performing their employment activities, but outside the performance of their contractual duties, we are required to compensate the employee for the rights to their respective inventions. Moreover, Italian law provides that, save for the case in which the inventive activity of the independent consultant has been set forth as the subject of the consulting agreement and compensated for this purpose, the rights to economically exploit the original contributions and inventions realized in the execution of the consulting agreement will belong to consultant. There can be no guarantee that we will be able to obtain any such inventions and the failure to obtain such ownership rights over employees’ or independent consultants’ inventions could have a material adverse effect on our operations and ability to effectively compete. In addition, employees and independent consultants may ask for a fair compensation due to such inventions.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product candidates we may develop will eventually become commercially available in generic or biosimilar product forms;</w:t>
      </w:r>
    </w:p>
    <w:p>
      <w:pPr>
        <w:spacing w:after="0" w:line="184"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make the inventions covered by the issued patent or pending patent application that we own or license now or in the future;</w:t>
      </w:r>
    </w:p>
    <w:p>
      <w:pPr>
        <w:spacing w:after="0" w:line="129"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file patent applications covering certain of our or their inventions;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5" w:name="page56"/>
    <w:bookmarkEnd w:id="55"/>
    <w:p>
      <w:pPr>
        <w:ind w:left="660" w:right="48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pending patent applications currently licensed or those to which we may enter into a license regarding in the future will not lead to issued patents;</w:t>
      </w:r>
    </w:p>
    <w:p>
      <w:pPr>
        <w:spacing w:after="0" w:line="129"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the issued patents that have been licensed to us, or parts of such issued patents;</w:t>
      </w:r>
    </w:p>
    <w:p>
      <w:pPr>
        <w:spacing w:after="0" w:line="129"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issued patents to which we hold rights to may be held invalid or unenforceable, including as a result of legal challenges by our competitors;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claims of patent applications, if and when issued, may not cover our product candidates;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inventors of our patent applications may become involved with competitors, develop products or processes that design around our patents, or become hostile to us or the patents or patent applications on which they are named as inventors;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engage in scientific collaborations and will continue to do so in the future, and our collaborators may develop adjacent or competing products that are outside the scope of our patents;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product candidates we develop may be covered by third parties’ patents or other exclusive rights;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harm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 The patent positions of biotechnology and pharmaceutical companies generally are highly uncertain, involve complex legal, technical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As a company currently with substantial operations outside of the United States, our business is subject to economic, political, regulatory and other risks associated with international operations.</w:t>
      </w:r>
    </w:p>
    <w:p>
      <w:pPr>
        <w:spacing w:after="0" w:line="197"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As a company with substantial operations in Italy,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21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differing and changing regulatory requirements for product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6" w:name="page57"/>
    <w:bookmarkEnd w:id="56"/>
    <w:p>
      <w:pPr>
        <w:ind w:left="660" w:right="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foreign exchange risks and currency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including, for example, the variable tax treatment in different jurisdictions of options granted under our share incentive plans;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84" w:lineRule="exact"/>
        <w:rPr>
          <w:rFonts w:ascii="Arial" w:cs="Arial" w:eastAsia="Arial" w:hAnsi="Arial"/>
          <w:sz w:val="18"/>
          <w:szCs w:val="18"/>
          <w:color w:val="auto"/>
        </w:rPr>
      </w:pPr>
    </w:p>
    <w:p>
      <w:pPr>
        <w:ind w:left="660" w:right="120" w:hanging="328"/>
        <w:spacing w:after="0" w:line="25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litigation or administrative actions resulting from claims against us by current or former employees or by employees of third party contractors or consultants, individually or as part of class actions, including: (i) claims of wrongful terminations and payment of the related damages, (ii) discrimination, (iii) misclassification, (iv) claims for salary differences or for a different classification according to national collective bargaining agreement, (v) claims for the payment of social security charges or severance benefits, (vi) claims from suppliers’ employees or external consultants such as, by way of example, claims for reclassification as employees, rather than independent contractors, or, as indicated above, requests for payment of salary / social security charges, (vii) any sanctions due to the above-mentioned obligations, (viii) or other violations of labor law or other alleged conduct;</w:t>
      </w:r>
    </w:p>
    <w:p>
      <w:pPr>
        <w:spacing w:after="0" w:line="15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84"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health epidemics, or natural disasters including earthquakes, typhoons, floods and fires.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manage our business through a small number of employees, key consultants and third-party contractors.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key people include our Chief Executive Officer and current Chairman, Pierluigi Paracchi, who co-founded our company in 2014 along with Luigi Naldini, our Executive Scientific Board Chairman, and Bernhard Gentner, a member of our Executive Scientific Board. Our other key people include Carlo Russo, our Chief Medical Officer &amp; Head of Development, Richard Slansky, our Chief Financial Officer, Stefania Mazzoleni, our Scientific Project Manager and Communications Officer, Tiziana Magnani our Clinical Project Manager and Valentina Brambilla our Clinical Trials Administrator &amp; Regulatory Expert. With the exception of Ms. Mazzoleni, Ms. Magnani and Ms. Brambilla, our key personnel are not (currently) engaged as full-time employees and we expect that some of these key personnel and other key personnel that join us after the completion of this offering will be engaged as full-time employees in the immediate future. Our future growth and success depend on our ability to recruit, retain, manage and motivate our employees and key consultants. The loss of the services of our Chief Executive Officer or any of our key personnel or the inability to hire or retain experienced management personnel could adversely affect our ability to execute our business plan and harm our operating results. Although we expect to enter into employment agreements with management, these agreements will likely be terminable at will with notice.</w:t>
      </w:r>
    </w:p>
    <w:p>
      <w:pPr>
        <w:spacing w:after="0" w:line="21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laws and regulations on executive compensation, including legislation in our home country, Italy, may restrict our ability to attract, motivate and retain the required level of qualified personnel.</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Because of the specialized scientific and managerial nature of our business, we rely heavily on our ability to attract and retain qualified scientific and technical consultants. In particular, the loss of one or more of our key personnel could be detrimental to us if we cannot recruit suitable replacements in a timely manner.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 We do not currently carry “key person” insurance on the lives of members of senior management. The competition for qualified personnel in the biotechnology and pharmaceutical fields is intense. Due to this intense competition, we may be unable to attract and retain qualified personnel necessary for the development of our business or to recruit suitable replacement personnel.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7" w:name="page58"/>
    <w:bookmarkEnd w:id="57"/>
    <w:p>
      <w:pPr>
        <w:ind w:right="400"/>
        <w:spacing w:after="0" w:line="277" w:lineRule="auto"/>
        <w:rPr>
          <w:sz w:val="20"/>
          <w:szCs w:val="20"/>
          <w:color w:val="auto"/>
        </w:rPr>
      </w:pPr>
      <w:r>
        <w:rPr>
          <w:rFonts w:ascii="Arial" w:cs="Arial" w:eastAsia="Arial" w:hAnsi="Arial"/>
          <w:sz w:val="18"/>
          <w:szCs w:val="18"/>
          <w:b w:val="1"/>
          <w:bCs w:val="1"/>
          <w:i w:val="1"/>
          <w:iCs w:val="1"/>
          <w:color w:val="auto"/>
        </w:rPr>
        <w:t>We face business disruption and related risks resulting from the recent outbreak of the COVID-19 pandemic, which could have a material adverse effect on our business and results of operations.</w:t>
      </w:r>
    </w:p>
    <w:p>
      <w:pPr>
        <w:spacing w:after="0" w:line="19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In December 2019, a novel strain of coronavirus, COVID-19, was identified in Wuhan, China. This virus continues to spread globally and, as of February 2021, has spread to over 200 countries and territories, including Italy and the United States. The spread of COVID-19 from China to other countries has resulted in the World Health Organization declaring the outbreak of COVID-19 as a “pandemic,” or a worldwide spread of a new disease. Many countries around the world have imposed quarantines and restrictions on travel and mass gatherings to slow the spread of the virus. Authorities around the world have and may continue implementing similar restrictions on businesses and individuals in their jurisdictions. While COVID-19 is still spreading and the final implications of the pandemic are difficult to estimate at this stage, it is clear that it has affected the lives of a large portion of the global population, including significant infections in Italy and the United States.</w:t>
      </w:r>
    </w:p>
    <w:p>
      <w:pPr>
        <w:spacing w:after="0" w:line="20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operations and business have experienced disruption due to the unprecedented conditions surrounding the COVID-19 pandemic spreading throughout Italy and the world. There can be no assurance we will be able to enact any remedial measures that will enable us to avoid part or all of any impact from the spread of COVID-19 or its consequences, including downturns in business sentiment generally or in our sector in particular. In addition, the impact of COVID-19 may cause delays to our preclinical studies and future clinical trials, and may make it difficult for us to enroll patients to clinical trials.</w:t>
      </w:r>
    </w:p>
    <w:p>
      <w:pPr>
        <w:spacing w:after="0" w:line="21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It is not possible at this time to estimate the full impact that the COVID-19 pandemic, the continued spread of COVID-19, and any additional measures taken by governments, health officials or by us in response to such spread, could have on our business, including the timing of our future clinical trials, results of operations and financial condition. The COVID-19 pandemic and mitigation measures have also negatively impacted global economic conditions, which, in turn, could adversely affect our business, including the timing of our future clinical trials, results of operations and financial condition. We continue to monitor our operations and government recommendations. A significant reduction in our workforce and our compliance with instructions imposed by Italian and other European authorities may harm our ability to continue operating our business and materially and adversely affect our operations and financial condition. Therefore, there can be no assurances that we will be able to immediately comply with all government regulations and we may be subject to authorities’ inspections which may result, in case of non-compliance, in the application of sanctions (in the worst case, even the suspension of work activity). Moreover, we cannot foresee whether the Italian or other European authorities or the U.S. federal government will impose further restrictive instructions, which if implemented may lead to significant changes. The spread of COVID-19 may also result in the inability of our suppliers to deliver components or raw materials on a timely basis. The extent to which COVID-19 impacts our business, results of operations and financial condition will depend on future developments, which are highly uncertain and cannot be predicted, including new information which may emerge concerning the severity of COVID-19 and the actions to contain COVID-19 or treat its impact, among others. See “</w:t>
      </w:r>
      <w:r>
        <w:rPr>
          <w:rFonts w:ascii="Arial" w:cs="Arial" w:eastAsia="Arial" w:hAnsi="Arial"/>
          <w:sz w:val="17"/>
          <w:szCs w:val="17"/>
          <w:i w:val="1"/>
          <w:iCs w:val="1"/>
          <w:color w:val="auto"/>
        </w:rPr>
        <w:t>Risks Related to Product Development,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Approval and Commercialization – We may find it difficult to enroll patients in our clinical trials. Difficulty in enrolling patients could delay or prevent clinical trials of our product candidates</w:t>
      </w:r>
      <w:r>
        <w:rPr>
          <w:rFonts w:ascii="Arial" w:cs="Arial" w:eastAsia="Arial" w:hAnsi="Arial"/>
          <w:sz w:val="17"/>
          <w:szCs w:val="17"/>
          <w:color w:val="auto"/>
        </w:rPr>
        <w:t>” for additional information.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currently have a very limited number of employees. If we are successful in executing our business strategy and in order to commercialize our products, if approved,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214"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 our clinical trials and the regulatory process effectively;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 our administrative, accounting and management information systems and internal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hire and train additional qualified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integrate current and additional management, administrative, financial and sales and marketing personnel.</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9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EMA or of other foreign regulatory authorities, provide accurate information to the FDA, EMA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We plan to adopt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1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73"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03" w:lineRule="exact"/>
        <w:rPr>
          <w:sz w:val="20"/>
          <w:szCs w:val="20"/>
          <w:color w:val="auto"/>
        </w:rPr>
      </w:pPr>
    </w:p>
    <w:p>
      <w:pPr>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43" w:lineRule="exact"/>
        <w:rPr>
          <w:rFonts w:ascii="Arial" w:cs="Arial" w:eastAsia="Arial" w:hAnsi="Arial"/>
          <w:sz w:val="18"/>
          <w:szCs w:val="18"/>
          <w:color w:val="auto"/>
        </w:rPr>
      </w:pPr>
    </w:p>
    <w:p>
      <w:pPr>
        <w:ind w:left="660" w:right="38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4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9" w:right="439" w:bottom="1440" w:gutter="0" w:footer="0" w:header="0"/>
        </w:sectPr>
      </w:pPr>
    </w:p>
    <w:bookmarkStart w:id="59" w:name="page60"/>
    <w:bookmarkEnd w:id="59"/>
    <w:p>
      <w:pPr>
        <w:ind w:left="660" w:right="40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certain requirements relating to the privacy, security and transmission of individually identifiable health information;</w:t>
      </w:r>
    </w:p>
    <w:p>
      <w:pPr>
        <w:spacing w:after="0" w:line="129" w:lineRule="exact"/>
        <w:rPr>
          <w:rFonts w:ascii="Arial" w:cs="Arial" w:eastAsia="Arial" w:hAnsi="Arial"/>
          <w:sz w:val="18"/>
          <w:szCs w:val="18"/>
          <w:color w:val="auto"/>
        </w:rPr>
      </w:pPr>
    </w:p>
    <w:p>
      <w:pPr>
        <w:ind w:left="660" w:right="140" w:hanging="328"/>
        <w:spacing w:after="0" w:line="25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or the PPACA, requires manufacturers of drugs, devices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w:t>
      </w:r>
    </w:p>
    <w:p>
      <w:pPr>
        <w:spacing w:after="0" w:line="147" w:lineRule="exact"/>
        <w:rPr>
          <w:rFonts w:ascii="Arial" w:cs="Arial" w:eastAsia="Arial" w:hAnsi="Arial"/>
          <w:sz w:val="18"/>
          <w:szCs w:val="18"/>
          <w:color w:val="auto"/>
        </w:rPr>
      </w:pPr>
    </w:p>
    <w:p>
      <w:pPr>
        <w:ind w:left="660" w:right="40" w:hanging="328"/>
        <w:spacing w:after="0" w:line="291"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that may apply to items or services reimbursed by any third-party payor, including commercial insurers; state laws that require biotechnology and pharmaceutical companies to comply with the biotechnology and pharmaceutical industries’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25" w:lineRule="exact"/>
        <w:rPr>
          <w:rFonts w:ascii="Arial" w:cs="Arial" w:eastAsia="Arial" w:hAnsi="Arial"/>
          <w:sz w:val="16"/>
          <w:szCs w:val="16"/>
          <w:color w:val="auto"/>
        </w:rPr>
      </w:pPr>
    </w:p>
    <w:p>
      <w:pPr>
        <w:ind w:left="660" w:hanging="328"/>
        <w:spacing w:after="0" w:line="293"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European and other foreign law equivalents of each of the laws, including reporting requirements detailing interactions with and payments to healthcare providers, and the European General Data Protection Regulation, or GDPR, which became effective in May 2018 and contains new provisions specifically directed at the processing of health information, higher sanctions and extra-territoriality measures intended to bring non-EU companies under the regulation, including companies like us that conduct clinical trials in the EU; we anticipate that over time we may expand our business operations to include additional operations in the EU and with such expansion, we would be subject to increased governmental regulation in the EU countries in which we might operate, including the GDPR and all relevant data protection rulings and further legislation.</w:t>
      </w:r>
    </w:p>
    <w:p>
      <w:pPr>
        <w:spacing w:after="0" w:line="19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including, without limitation, damages, fines, imprisonment, disgorgement, exclusion from participation in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Efforts to ensure that our business arrangements comply with applicable healthcare laws and regulations, as well as responding to possible investigations by government authorities, can be time- and resource-consuming and can divert a company’s attention from the business.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and regulatory reform measures may have a material adverse effect on our business and results of operations.</w:t>
      </w:r>
    </w:p>
    <w:p>
      <w:pPr>
        <w:spacing w:after="0" w:line="2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industry is highly regulated and changes in law may adversely impact our business, operations or financial results. The PPACA is a sweeping measure intended to, among other things, expand healthcare coverage within the United States, primarily through the imposition of health insurance mandates on employers and individuals and expansion of the Medicaid program. Several provisions of the law may affect us and increase certain of our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0" w:name="page61"/>
    <w:bookmarkEnd w:id="60"/>
    <w:p>
      <w:pPr>
        <w:ind w:right="180" w:firstLine="648"/>
        <w:spacing w:after="0" w:line="293" w:lineRule="auto"/>
        <w:rPr>
          <w:sz w:val="20"/>
          <w:szCs w:val="20"/>
          <w:color w:val="auto"/>
        </w:rPr>
      </w:pPr>
      <w:r>
        <w:rPr>
          <w:rFonts w:ascii="Arial" w:cs="Arial" w:eastAsia="Arial" w:hAnsi="Arial"/>
          <w:sz w:val="16"/>
          <w:szCs w:val="16"/>
          <w:color w:val="auto"/>
        </w:rPr>
        <w:t>In addition, other legislative changes have been adopted since the PPACA was enacted. These changes include aggregate reductions in Medicare payments to providers of 2% per fiscal year, which went into effect on April 1, 2013 and, following passage of the Bipartisan Budget Act of 2018, will remain in effect through 2027 unless additional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laws may result in additional reductions in Medicare and other healthcare funding, which could have a material adverse effect on our customers and, accordingly, our financial operations.</w:t>
      </w:r>
    </w:p>
    <w:p>
      <w:pPr>
        <w:spacing w:after="0" w:line="19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anticipate that the PPACA, as well as other healthcare reform measures that may be adopted in the future, may result in more rigorous coverage criteria and an additional downward pressure on the reimbursement our customers may receive for our products. Further, there have been, and there may continue to be, judicial and Congressional challenges to certain aspects of the PPACA. For example, the U.S. Tax Cuts and Jobs Act of 2017, or TCJA,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 legislative and regulatory changes to the PPACA, its implementing regulations and guidance and its policies, remain possible. However, it remains unclear how any new legislation or regulation might affect the prices we may obtain for any of our product candidates for which regulatory approval is obtained. Any reduction in reimbursement from Medicare and other government programs may result in a similar reduction in payments from private payers. The implementation of cost containment measures or other healthcare reforms may prevent us from being able to generate revenue, attain profitability or commercialize our products.</w:t>
      </w:r>
    </w:p>
    <w:p>
      <w:pPr>
        <w:spacing w:after="0" w:line="22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20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the price of our securities or limit our ability to raise capital or to enter into collaboration agreements for the further development and potential commercialization of our products.</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use of any of our product candidates could result in product liability or similar claims that could be expensive, damage our reputation and harm our business.</w:t>
      </w:r>
    </w:p>
    <w:p>
      <w:pPr>
        <w:spacing w:after="0" w:line="19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exposes us to an inherent risk of potential product liability or similar claims. The biotechnology and pharmaceutical industries has historically been litigious, and we face financial exposure to product liability or similar claims if the use of any of our products were to cause or contribute to injury or death. There is also the possibility that defects in the design or manufacture of any of our products might necessitate a product recall. Although we plan to maintain product liability insurance, the coverage limits of these policies may not be adequate to cover future claims. In the future, we may be unable to maintain product liability insurance on acceptable terms or at reasonable costs and such insurance may not provide us with adequate coverage against potential liabilities. A product liability claim, regardless of merit or ultimate outcome, or any product recall could result in substantial costs to us, damage to our reputation, customer dissatisfaction and frustration and a substantial diversion of management attention. A successful claim brought against us in excess of, or outside of, our insurance coverage could have a material adverse effect on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1" w:name="page62"/>
    <w:bookmarkEnd w:id="61"/>
    <w:p>
      <w:pPr>
        <w:ind w:right="12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vendors, collaborators or other contractors or consultants, may fail or suffer security breaches or other unauthorized or improper access, which could result in a significant disruption of our product development programs, give rise to significant liability, subject us to costly and protracted litigation, cause significant reputational harm and impact our ability to operate our business effectively.</w:t>
      </w:r>
    </w:p>
    <w:p>
      <w:pPr>
        <w:spacing w:after="0" w:line="21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information. We also have outsourced elements of our operations to third parties, and as a result we manage a number of third-party vendors and other contractors and consultants who have access to our confidential information.</w:t>
      </w:r>
    </w:p>
    <w:p>
      <w:pPr>
        <w:spacing w:after="0" w:line="21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internal information technology systems and those of our current and any future third-party vendors, collaborators and other contractors or consultants may be vulnerable to a variety of disruptive elements, including data breaches, cyber-attacks by malicious third parties (including the deployment of computer viruses, harmful malware, ransomware, denial-of-service attacks, social engineering, and other means to affect service reliability and threaten the confidentiality, integrity, and availability of information), unauthorized access, natural disasters, terrorism, war, telecommunication and electrical failures and persons with access to systems inside our organization. In particular, the risk of a security breach or disruption, particularly through cyber-attacks or cyber intrusion, including by computer hackers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Because the techniques used by cyber criminals change frequently, may not be recognized until launched, and can originate from a wide variety of sources, including outside groups such as external service providers, organized crime affiliates or terrorist organizations, we and our partners may be unable to anticipate these techniques or implement adequate preventative measures. Further, we do not have any control over the operations of the facilities or technology of third parties that collect, process and store personal data on our behalf.</w:t>
      </w:r>
    </w:p>
    <w:p>
      <w:pPr>
        <w:spacing w:after="0" w:line="20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or a loss of, or damage to, our data or applications, or those of our third-party vendors and other collaborators, contractors and consultants, it could result in a disruption of our development programs and our business operations, whether due to a loss of our trade secrets or other confidential, personal or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personal or proprietary information, we could incur significant liability, our competitive position could be harmed, our reputation could be damaged, and the further development and commercialization of our product candidates could be delayed.</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Unauthorized disclosure of sensitive or confidential data, including personal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damage to our reputation and/or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If the information technology systems of our third-party vendors and other collaborators, contractors and consultants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Any of the foregoing could adversely affect our business, financial condition, results of operations or prospects.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62" w:name="page63"/>
    <w:bookmarkEnd w:id="62"/>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Unsuccessful compliance with certain European privacy regulations could have an adverse effect on our business and reputation.</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collection and use of personal health data in the EU is governed, as of May 2018, by the General Data Protection Regulation 2016/679 (GDPR) as implemented by European Data Protection Board (EDPB) guidelines and EU Member States national legislations. General EU data protection rules impose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extends the geographical scope of EU data protection law to non-EU entities under certain conditions, tightens existing EU data protection principles and creates new obligations for companies and new rights for individuals. Failure to comply with the requirements of the GDPR, the EDPB guidelines and the related national data protection laws of the EU Member States may result in fines and other administrative penalties. The GDPR introduces new data protection requirements in the EU and substantial fines for breaches of the data protection rules, including violation of articles 44 to 49 GDPR related to transfer of personal data to a recipient in a non-EU country. The GDPR regulations impose additional responsibility and liability in relation to personal data that we process, and we intend to put in place additional mechanisms ensuring compliance with these and/or new data protection rules. In addition, other jurisdictions, including Italy, have implemented regulations similar to GDPR. With regard to Italian legislation, the national Privacy and Data Protection Code has been amended according to GDPR provisions (Legislative Decree n. 196/2003 as amended and updated by Legislative Decree n. 101/2018) and imposes additional fines and administrative penalties in relation to the processing of health data and processing of data for scientific research purposes. Moreover, European data protection background is constantly changing under the drive of the European Data Protection Board (EDPB) on the correct interpretation and application of GDPR and the ruling activity of the Court of Justice of the European Union (see, for instance, the recent CJEU case C-3111/18, also known as Schremes II which invalidated the EU-US Privacy Shield Framework for transfer of data to United States).</w:t>
      </w:r>
    </w:p>
    <w:p>
      <w:pPr>
        <w:spacing w:after="0" w:line="17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is compliant with most recent legislative changes in European data protection rules, adopting Data Processing Agreements containing Standard Contractual Clauses with all partners based in the United States and (for the transition period until June 2021) in the United Kingdom. However, changes to these European privacy regulations (and similar regulations in other jurisdictions) and unsuccessful compliance may be onerous and adversely affect our business, financial condition, prospects, results of operations and reputation.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the ADSs may not develop and you may not be able to resell the ADSs at or above the initial offering price, or at all.</w:t>
      </w:r>
    </w:p>
    <w:p>
      <w:pPr>
        <w:spacing w:after="0" w:line="27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This offering constitutes the initial public offering of the ADSs, and no public market has previously existed for the ADSs. Any delay in the commencement of trading of the ADSs on Nasdaq would impair the liquidity of the market for the ADSs and make it more difficult for holders to sell the ADSs. There can be no assurance that an active trading market for the ADSs will develop or be sustained after this offering is completed. The lack of an active trading market may also reduce the fair market value of the ADSs. The initial offering price was determined by negotiations among the lead underwriters and us. Among the factors considered in determining the initial public offering price were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initial public offering price.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as to the use of the net proceeds from this offering and may not use the proceeds effectively.</w:t>
      </w:r>
    </w:p>
    <w:p>
      <w:pPr>
        <w:spacing w:after="0" w:line="264"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currently intend to use the net proceeds of this offering for working capital and general corporate purposes, possible in licensing of additional intellectual property and product candidates, and next generation product development. See “Use of Proceeds.” However,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 Pending their use, we may invest the net proceeds from this offering in a manner that does not produce income. The decisions made by our management may not result in positive returns on your investment and you will not have an opportunity to evaluate the economic, financial or other information upon which our management bases its decisions.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If you purchase the ADSs in this offering, you will incur immediate and substantial dilution in the book value of the ADSs.</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Because the price per ADS being offered is substantially higher than our net tangible book value per ADS, you will suffer substantial dilution in the net tangible book value of any ADSs you purchase in this offering. After giving effect to the sale by us of ADSs in this offering, based on an assumed public offering price of $ per ADS, the midpoint of the estimated price range set forth on the cover page of this prospectus, and after deducting underwriting discounts and commissions and offering expenses payable by us, our as adjusted net tangible book value of the ADSs would be approximately</w:t>
      </w:r>
    </w:p>
    <w:p>
      <w:pPr>
        <w:spacing w:after="0" w:line="1" w:lineRule="exact"/>
        <w:rPr>
          <w:sz w:val="20"/>
          <w:szCs w:val="20"/>
          <w:color w:val="auto"/>
        </w:rPr>
      </w:pPr>
    </w:p>
    <w:p>
      <w:pPr>
        <w:ind w:right="160" w:firstLine="8"/>
        <w:spacing w:after="0" w:line="302" w:lineRule="auto"/>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million, or approximately $ per ADS, as of December 31, 2020. If you purchase ADSs in this offering, you will suffer immediate and substantial dilution of our as adjusted net tangible book value of approximately $ per ADS. As a result of this dilution, investors purchasing shares in this offering may receive significantly less than the purchase price paid in this offering in the event of liquidation. See “Dilution” for additional information.</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 representing a substantial percentage of our outstanding ordinary shares may be sold in this offering, which could cause the price of the ADSs to decline.</w:t>
      </w:r>
    </w:p>
    <w:p>
      <w:pPr>
        <w:spacing w:after="0" w:line="197" w:lineRule="exact"/>
        <w:rPr>
          <w:sz w:val="20"/>
          <w:szCs w:val="20"/>
          <w:color w:val="auto"/>
        </w:rPr>
      </w:pPr>
    </w:p>
    <w:p>
      <w:pPr>
        <w:ind w:left="660"/>
        <w:spacing w:after="0"/>
        <w:tabs>
          <w:tab w:leader="none" w:pos="4760" w:val="left"/>
          <w:tab w:leader="none" w:pos="7540" w:val="left"/>
        </w:tabs>
        <w:rPr>
          <w:sz w:val="20"/>
          <w:szCs w:val="20"/>
          <w:color w:val="auto"/>
        </w:rPr>
      </w:pPr>
      <w:r>
        <w:rPr>
          <w:rFonts w:ascii="Arial" w:cs="Arial" w:eastAsia="Arial" w:hAnsi="Arial"/>
          <w:sz w:val="18"/>
          <w:szCs w:val="18"/>
          <w:color w:val="auto"/>
        </w:rPr>
        <w:t>We may sell in this offering ADSs representing</w:t>
      </w:r>
      <w:r>
        <w:rPr>
          <w:sz w:val="20"/>
          <w:szCs w:val="20"/>
          <w:color w:val="auto"/>
        </w:rPr>
        <w:tab/>
      </w:r>
      <w:r>
        <w:rPr>
          <w:rFonts w:ascii="Arial" w:cs="Arial" w:eastAsia="Arial" w:hAnsi="Arial"/>
          <w:sz w:val="18"/>
          <w:szCs w:val="18"/>
          <w:color w:val="auto"/>
        </w:rPr>
        <w:t>ordinary shares, or approximately</w:t>
      </w:r>
      <w:r>
        <w:rPr>
          <w:sz w:val="20"/>
          <w:szCs w:val="20"/>
          <w:color w:val="auto"/>
        </w:rPr>
        <w:tab/>
      </w:r>
      <w:r>
        <w:rPr>
          <w:rFonts w:ascii="Arial" w:cs="Arial" w:eastAsia="Arial" w:hAnsi="Arial"/>
          <w:sz w:val="16"/>
          <w:szCs w:val="16"/>
          <w:color w:val="auto"/>
        </w:rPr>
        <w:t>%, of our outstanding ordinary shares as of</w:t>
      </w:r>
    </w:p>
    <w:p>
      <w:pPr>
        <w:spacing w:after="0" w:line="23" w:lineRule="exact"/>
        <w:rPr>
          <w:sz w:val="20"/>
          <w:szCs w:val="20"/>
          <w:color w:val="auto"/>
        </w:rPr>
      </w:pPr>
    </w:p>
    <w:p>
      <w:pPr>
        <w:ind w:right="20" w:firstLine="728"/>
        <w:spacing w:after="0" w:line="287" w:lineRule="auto"/>
        <w:tabs>
          <w:tab w:leader="none" w:pos="81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2021. This sale and any future sales of a substantial number of ADSs in the public market, or the perception that such sales may occur, could materially adversely affect the price of the ADSs. We cannot predict the effect, if any, that market sales of those ADSs or the availability of those ADSs for sale will have on the market price of the ADSs. While the ADSs sold to non-affiliates in this offering will be freely tradable in the public market, substantially all of the securities owned prior to this offering or purchased in this offering by our existing shareholders are expected to be subject to lock-up agreements with the underwriters that restrict the ability of these shareholders to transfer our securities held by them for at least six months from the date of this prospectus. These outstanding securities that are subject to lock-up agreements are expected to become eligible for unrestricted sale upon expiration of the lock-up period. In addition, securities issued or issuable upon exercise of options and warrants vested as of the expiration of the lock-up period will be eligible for sale at that time. Sales of securities by these shareholders could have a material adverse effect on the trading price of the ADSs.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know what the trading price of the ADSs will be following this offering and as a result it may be difficult for you to sell the ADSs.</w:t>
      </w:r>
    </w:p>
    <w:p>
      <w:pPr>
        <w:spacing w:after="0" w:line="26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trading price of the ADSs is likely to be volatile. The following factors, in addition to other risk factors described in this section, may have a significant impact on the market price of the ADSs:</w:t>
      </w:r>
    </w:p>
    <w:p>
      <w:pPr>
        <w:spacing w:after="0" w:line="19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adverse results or delays in pre- and non-clinical studies or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4" w:name="page65"/>
    <w:bookmarkEnd w:id="64"/>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adverse actions taken by regulatory authorities with respect to our clinical trials, manufacturing supply chain or sales and marketing activities;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changes or developments in laws or regulations applicable to the treatment of cancer tumors, or any other indication that we may seek to develop;</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announcements concerning our competitors or the biotechnology and pharmaceutical industries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recruit and retain qualified regulatory, research and development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legislation in the United States relating to the sale or pricing of biotechnology or gene therapy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depth of the trading market in the ADSs;</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termination of the lock-up agreements or other restrictions limiting our ability or that of any of our existing shareholders to sell our securities (or any other securities that we may issue, if any) after this offering;</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84"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business interruptions resulting from a local or worldwide pandemic, such as COVID-19, geopolitical actions, including war and terrorism, or natural disasters;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granting or exercise of employee stock options or other equity awards;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investors’ and securities analysts’ perception of the business risks and conditions of our business.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our ADS price to decline rapidly and unexpectedly.</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65" w:name="page66"/>
    <w:bookmarkEnd w:id="65"/>
    <w:p>
      <w:pPr>
        <w:ind w:right="180"/>
        <w:spacing w:after="0" w:line="263" w:lineRule="auto"/>
        <w:rPr>
          <w:sz w:val="20"/>
          <w:szCs w:val="20"/>
          <w:color w:val="auto"/>
        </w:rPr>
      </w:pPr>
      <w:r>
        <w:rPr>
          <w:rFonts w:ascii="Arial" w:cs="Arial" w:eastAsia="Arial" w:hAnsi="Arial"/>
          <w:sz w:val="18"/>
          <w:szCs w:val="18"/>
          <w:b w:val="1"/>
          <w:bCs w:val="1"/>
          <w:i w:val="1"/>
          <w:iCs w:val="1"/>
          <w:color w:val="auto"/>
        </w:rPr>
        <w:t>Holders of ADSs may not receive the same distributions or dividends as those we make to the holders of our ordinary shares, and, in some limited circumstances, you may not receive dividends or other distributions on our ordinary shares and you may not receive any value for them, if it is illegal or impractical to make them available to you.</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Depositary for the ADSs has agreed to pay to you the cash dividends or other distributions it or the custodian receives on ordinary shares or other deposited securities underlying the ADSs, after deducting its fees and expenses and subject to the terms of the deposit agreement. You will receive these distributions in proportion to the number of ordinary shares the ADSs represent. However, in accordance with the limitations set forth in the deposit agreement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In addition, conversion into U.S. dollars from foreign currency that was part of a dividend made in respect of deposited ordinary shares may require the approval or license of, or a filing with, any government or agency thereof, which may be unobtainable. In these cases, the Depositary may determine not to distribute such property and hold it as “deposited securities” or may distribute the net cash proceeds from the sale of the dividends.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In addition, the Depositary may withhold from such dividends or distributions its fees and an amount on account of taxes or other governmental charges to the extent the Depositary believes it is required to make such withholding. This means that you may not receive the same distributions or dividends as those we make to the holders of our ordinary shares, and, in some limited circumstances, you may not receive any value for such distributions or dividends if it is illegal or impractical for us to make them available to you. These restrictions may cause a material decline in the value of the ADSs.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must act through the Depositary to exercise voting rights relating to the ordinary shares.</w:t>
      </w:r>
    </w:p>
    <w:p>
      <w:pPr>
        <w:spacing w:after="0" w:line="25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Holders of the ADSs do not have the same rights of our shareholders and may only exercise the voting rights with respect to the underlying ordinary shares in accordance with the provisions of the Deposit Agreement. When a shareholder meeting is convened, holders of ADSs may not receive sufficient notice of a shareholder meeting to permit them to cancel their ADSs and withdraw their ordinary shares to allow them to directly cast their vote with respect to any specific matter. In addition, the Depositary and its agents may not be able to send voting instructions to holders of ADSs or carry out their voting instructions in a timely manner. We will make all reasonable efforts to cause the Depositary to extend voting rights to holders of the ADSs in a timely manner, but we cannot assure holders that they will receive the voting materials in time to ensure that they can instruct the Depositary to vote their ordinary shares underlying their ADSs. Furthermore, the Depositary and its agents will not be responsible for any failure to carry out any instructions to vote, for the manner in which any vote is cast or for the effect of any such vote. As a result, holders of the ADSs may not be able to exercise their right to vote and they may lack recourse if their ordinary shares underlying their ADSs are not voted as they requested. In addition, in the capacity as a holder of ADSs, they will not be able to call a shareholder meeting.</w:t>
      </w:r>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augur less favorable results to the plaintiff(s) in any such action.</w:t>
      </w:r>
    </w:p>
    <w:p>
      <w:pPr>
        <w:spacing w:after="0" w:line="197"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deposit agreement governing the ADSs representing our shares provides that owners and holders of ADSs, including those who purchase the ADSs in a secondary transaction, irrevocably waive the right to a trial by jury in any legal proceeding arising out of or relating to the deposit agreement, our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shares or the ADSs or the transactions contemplated thereby. No condition, stipulation or provision of the deposit agreement or ADSs serves as a waiver by any owner or holder of ADSs or by us or the depositary of compliance with any provision of the federal securities laws. If you or any other owner or holder of ADSs brings a claim against us or the depositary in connection with matters arising under the deposit agreement, our shares or the ADSs or the transactions contemplated thereby, you or such other owner or holder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owner or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6" w:name="page67"/>
    <w:bookmarkEnd w:id="66"/>
    <w:p>
      <w:pPr>
        <w:jc w:val="both"/>
        <w:ind w:right="520"/>
        <w:spacing w:after="0" w:line="311"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our remediation of the material weaknesses is not effective or if we identify additional material weaknesses in the future, we may not be able to accurately or timely report our financial results, or prevent fraud, and investor confidence in our Company and the market price of our shares may be adversely affected.</w:t>
      </w:r>
    </w:p>
    <w:p>
      <w:pPr>
        <w:spacing w:after="0" w:line="176" w:lineRule="exact"/>
        <w:rPr>
          <w:sz w:val="20"/>
          <w:szCs w:val="20"/>
          <w:color w:val="auto"/>
        </w:rPr>
      </w:pPr>
    </w:p>
    <w:p>
      <w:pPr>
        <w:jc w:val="both"/>
        <w:ind w:right="360" w:firstLine="648"/>
        <w:spacing w:after="0" w:line="279"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 Section 404 of the Sarbanes-Oxley Act requires that we evaluate and determine the effectiveness of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9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To date, we have had limited financial and accounting personnel, which has resulted in a limited segregation of duties to fully execute our accounting processes and address our internal control over financial reporting. In connection with the audits of our financial statements as of and for the years ended December 31, 2020 and 2019, we identified certain material weaknesses in our internal control over financial reporting, including but not limited to our lack of adequate staff to: (i) process financial information in a timely manner; (ii) analyze and account for complex, non-routine transactions</w:t>
      </w:r>
    </w:p>
    <w:p>
      <w:pPr>
        <w:spacing w:after="0" w:line="1" w:lineRule="exact"/>
        <w:rPr>
          <w:sz w:val="20"/>
          <w:szCs w:val="20"/>
          <w:color w:val="auto"/>
        </w:rPr>
      </w:pPr>
    </w:p>
    <w:p>
      <w:pPr>
        <w:ind w:right="60" w:firstLine="8"/>
        <w:spacing w:after="0" w:line="260" w:lineRule="auto"/>
        <w:tabs>
          <w:tab w:leader="none" w:pos="1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including those subject to our critical accounting policies; and, (iii) maintain adequate segregation of duties; and, the lack of documentation related to our internal control over financial reporting including our policy over related party relationships and transactions.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plan to take steps to address the internal control deficiencies that contributed to the material weaknesses, including the following:</w:t>
      </w:r>
    </w:p>
    <w:p>
      <w:pPr>
        <w:spacing w:after="0" w:line="264" w:lineRule="exact"/>
        <w:rPr>
          <w:sz w:val="20"/>
          <w:szCs w:val="20"/>
          <w:color w:val="auto"/>
        </w:rPr>
      </w:pPr>
    </w:p>
    <w:p>
      <w:pPr>
        <w:ind w:left="660" w:right="4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hiring of additional finance and accounting personnel with prior experience working for finance departments and technical accounting experience, supplemented by third-party resources;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documenting and formally assessing our accounting and financial reporting policies and procedures; and</w:t>
      </w:r>
    </w:p>
    <w:p>
      <w:pPr>
        <w:spacing w:after="0" w:line="184"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increasing the use of third-party consultants in assessing significant accounting transactions and other technical accounting and financial reporting issues, preparing accounting memoranda addressing these issues and maintaining these memoranda in our corporate records.</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While we believe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these deficiencies or others could result in a misstatement of our accounts or disclosures that would result in a material misstatement of our financial statements that would not be prevented or detected on a timely basis.</w:t>
      </w:r>
    </w:p>
    <w:p>
      <w:pPr>
        <w:spacing w:after="0" w:line="20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management and independent registered public accounting firm did not perform an evaluation of our internal control over financial reporting during any period in accordance with the provisions of the Sarbanes-Oxley Act. Had we and our independent registered public accounting firm performed an evaluation of our internal control over financial reporting in accordance with the provisions of the Sarbanes-Oxley Act, additional control deficiencies amounting to material weaknesses may have been identified. If we identify new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we may be late with the filing of our periodic reports,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financial condition or divert financial and management resources from our core business.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5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Chief Executive Officer, directors and shareholders who own more than 5% of our outstanding ordinary shares before this offering currently own approximately % of our outstanding ordinary shares and will own approximately % of our ordinary shares upon the completion of this offering. They will therefore be able to exert significant control over matters submitted to our shareholders for approval.</w:t>
      </w:r>
    </w:p>
    <w:p>
      <w:pPr>
        <w:spacing w:after="0" w:line="17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After this offering, our Chief Executive Officer and directors, and shareholders who own more than 5% of our outstanding ordinary shares before this offering will, in the aggregate, beneficially own approximately % of our ordinary shares (assuming no exercise of the underwriters’ over-allotment option). This significant concentration of share ownership may adversely affect the trading price for the ADSs because investors often perceive disadvantages in owning securities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Also, the concentration of our beneficial ownership may have the effect of delaying, deterring or preventing a change in our control, or may discourage bids for our shares at a premium over the market price of the shares. The significant concentration of share ownership may adversely affect the trading price of our ordinary shares due to investors’ perception that conflicts of interest may exist or arise.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were to be characterized as a “passive foreign investment company” for U.S. tax purposes, U.S. holders of the ADSs could have adverse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consequences.</w:t>
      </w:r>
    </w:p>
    <w:p>
      <w:pPr>
        <w:spacing w:after="0" w:line="23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general, we will be treated as a passive foreign investment company, or a PFIC, for U.S. federal income tax purposes in any taxable year in which either (1) 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We have not made the formal analysis necessary to determine whether or not we are currently a PFIC or whether we have ever been a PFIC, although preliminarily it appears we may have been a PFIC at certain points in the past.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If we are a PFIC in any taxable year during which a U.S. taxpayer holds the ADSs, such U.S. taxpayer would be subject to certain adverse U.S. federal income tax rules. In particular, if the U.S. taxpayer did not make an election to treat us as a “qualified electing fund,” or QEF, or make a “mark-to- market” election, then “excess distributions” to the U.S. taxpayer, and any gain realized on the sale or other disposition of the ADSs by the U.S. taxpayer: (1) would be allocated ratably over the U.S. taxpayer’s holding period for the ADSs;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or the IRS, determines that we are a PFIC for a year with respect to which we have determined that we were not a PFIC, it may be too late for a U.S. taxpayer to make a timely QEF or mark-to-market election. U.S. taxpayers that have held the ADSs during a period when we were a PFIC will be subject to the foregoing rules, even if we cease to be a PFIC in subsequent years, subject to exceptions for U.S. taxpayer who made a timely QEF or mark-to-market election. A U.S. taxpayer can make a QEF election by completing the relevant portions of and filing IRS Form 8621 in accordance with the instructions thereto. U.S. taxpayers that hold the ADSs are strongly urged to consult their tax advisors about the PFIC rules, including tax return filing requirements and the eligibility, manner, and consequences to them of making a QEF or mark-to-market election with respect to the ADSs in the event that we are a PFIC. See “Taxation —U.S. Federal Income Tax Consequences—Passive Foreign Investment Companies” for additional information.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8" w:name="page69"/>
    <w:bookmarkEnd w:id="68"/>
    <w:p>
      <w:pPr>
        <w:ind w:right="120"/>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securities, our ADS price and trading volume could decline.</w:t>
      </w:r>
    </w:p>
    <w:p>
      <w:pPr>
        <w:spacing w:after="0" w:line="12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trading market for the ADSs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securities, or provide more favorable relative recommendations about our competitors, our ADS price would likely decline. If any analyst who may cover us were to cease coverage of our Company or fail to regularly publish reports on us, we could lose visibility in the financial markets, which in turn could cause our ADS price or trading volume to decline.</w:t>
      </w:r>
    </w:p>
    <w:p>
      <w:pPr>
        <w:spacing w:after="0" w:line="2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not paid, and do not intend to pay, dividends on our ordinary shares and, therefore, unless our traded securities appreciate in value, our investors may not benefit from holding our securities.</w:t>
      </w:r>
    </w:p>
    <w:p>
      <w:pPr>
        <w:spacing w:after="0" w:line="1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In particular,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and “Description of Share Capital and Governing Documents—Dividends and Other Distributions”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will require significant company resources and management attention.</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Following this offering, we will become subject to the reporting requirements of the Exchange Act, Nasdaq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securities, fines, sanctions and other regulatory action and potentially civil litigation.</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69" w:name="page70"/>
    <w:bookmarkEnd w:id="69"/>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The JOBS Act allows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the ADSs.</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97" w:lineRule="exact"/>
        <w:rPr>
          <w:sz w:val="20"/>
          <w:szCs w:val="20"/>
          <w:color w:val="auto"/>
        </w:rPr>
      </w:pPr>
    </w:p>
    <w:p>
      <w:pPr>
        <w:ind w:left="660" w:right="38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29" w:lineRule="exact"/>
        <w:rPr>
          <w:rFonts w:ascii="Arial" w:cs="Arial" w:eastAsia="Arial" w:hAnsi="Arial"/>
          <w:sz w:val="18"/>
          <w:szCs w:val="18"/>
          <w:color w:val="auto"/>
        </w:rPr>
      </w:pPr>
    </w:p>
    <w:p>
      <w:pPr>
        <w:ind w:left="660" w:right="160" w:hanging="328"/>
        <w:spacing w:after="0" w:line="25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107 of the JOBS Act, which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 As a result of this election, our financial statements may not be comparable to companies that comply with the public company effective date;</w:t>
      </w:r>
    </w:p>
    <w:p>
      <w:pPr>
        <w:spacing w:after="0" w:line="14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furnish two rather than three years of income statements and statements of cash flows in various required filings.</w:t>
      </w:r>
    </w:p>
    <w:p>
      <w:pPr>
        <w:spacing w:after="0" w:line="25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date of the completion of this offering, (b) in which we have total annual gross revenue of at least $1.07 billion, or (c) in which we are deemed to be a large accelerated filer, as defined in the rule under the Exchange Act, and (2) the date on which we have issued more than $1.0 billion in non-convertible debt during the prior three-year period.</w:t>
      </w:r>
    </w:p>
    <w:p>
      <w:pPr>
        <w:spacing w:after="0" w:line="18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We cannot predict if investors will find our securities less attractive because we may rely on these exemptions. If some investors find our securities less attractive as a result, there may be a less active trading market for the ADSs, and our ADS price may be more volatile and may decline.</w:t>
      </w:r>
    </w:p>
    <w:p>
      <w:pPr>
        <w:spacing w:after="0" w:line="151"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2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status as a foreign private issuer exempts us from compliance with certain SEC laws and regulations and certain regulations of the Nasdaq Stock Market, including the proxy rules, the short-swing profits recapture rules, and certain governance requirements such as independent director oversight of the nomination of directors and executive compensation. In addition, we will not be required under the Exchange Act to file current reports and financial statements with the SEC as frequently or as promptly as U.S. domestic companies whose securities are registered under the Exchange Act and we will generally be exempt from filing quarterly reports with the SEC. Furthermore, as a foreign private issuer, we are also not subject to the requirements of Regulation FD (Fair Disclosure) promulgated under the Exchange Act. These exemptions and leniencies will reduce the frequency and scope of information and protections to which you are entitled as an investor. See “Management – Differences between Italian Laws and Nasdaq Requirements” for additional information.</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As a foreign private issuer, we are permitted, and intend, to phase-in our compliance with certain Nasdaq Listing Rules, as permitted by Nasdaq Listing Rule 5615(b)(1), instead of otherwise having to be in compliance with such rules as of the date of our initial listing on Nasdaq, which may result in less protection than is accorded to investors under rules applicable to domestic U.S. issuers and if we do not obtain compliance within the allotted time, we could become subject to delisting by Nasdaq.</w:t>
      </w:r>
    </w:p>
    <w:p>
      <w:pPr>
        <w:spacing w:after="0" w:line="21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accordance with Nasdaq Listing Rule 5615(b)(1), as a foreign private issuer, we are permitted, and intend, to phase-in our compliance with certain Nasdaq Listing Rules, instead of otherwise having to be in compliance with such rules as of the date of our initial listing on Nasdaq. For instance, although we are a foreign private issuer and have opted into following our home country rules, which are the laws of the Italy, in lieu of following certain Nasdaq Listing Rules, we are still required to have an audit committee that satisfies Nasdaq Listing Rule 5605(c)(3) and ensure that such audit committee members meet the independence requirement in Nasdaq Listing Rule 5605(c)(2)(A)(ii), provided, however, that in light of Nasdaq Listing Rule 5615(b)(1), we have up to one year from the date of our listing to have an audit committee and members who meet such requirements. This phased-in period of compliance may result in less protection than is accorded to investors under rules applicable to domestic U.S. issuers and if we do not obtain compliance within the allotted time, we could become subject to delisting by Nasdaq.</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taxable in a jurisdiction other than Italy and this may increase the aggregate tax burden on us.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Since incorporation, we have, on a continuous basis, had our place of effective management in Italy. We are therefore a tax resident of Italy under Italian tax law. However, we may become subject to limited income tax liability in other countries with respect to our operations in other countries, for example, the United States, due to the existence of a permanent establishment or a permanent representative. The applicable tax laws or interpretations thereof may change. We have our place of effective management in Italy and, as such, we believe we are tax residents in Italy, although that determination is largely a matter of fact and degree based on all the circumstances, rather than a question of law, which facts and degree may also change. Changes to applicable laws or interpretations thereof and changes to applicable facts and circumstances (for example, a change of board members or the place where board meetings take place), may result in us becoming a tax resident of a jurisdiction other than Italy. As a consequence, our overall effective income tax rate and income tax expense could materially increase, which could have a material adverse effect on our business, results of operations, financial condition and prospects. However, if there is a double tax treaty between Italy and the respective other country, double taxation of income may be avoided and the detrimental tax effects mitigated by the application of the treaty.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84"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Risks Related to Italian Law and Our Operations in Italy</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Italian corporation. The rights of our shareholders may be different from the rights of shareholders in companies governed by the laws of U.S. jurisdictions.</w:t>
      </w:r>
    </w:p>
    <w:p>
      <w:pPr>
        <w:spacing w:after="0" w:line="19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are an Italian corporation. Our corporate affairs are governed by our articles of association and by the laws governing companies incorporated in Italy. The rights of our shareholders and the responsibilities of members of our board of directors may be different from the rights and obligations of shareholders and directors of companies governed by the laws of U.S. jurisdictions. While performing its duties, our board of directors is required by Italian law to act with the diligence required by the nature of their assignment and by their specific expertise. Italian corporate law limits the ability of our shareholders to challenge resolutions made or other actions taken by our board of directors in court. Our shareholders generally are not permitted to file a suit to reverse or void a decision or an action taken by our board of directors, except for those decisions that are detrimental to their rights. If a board resolution has not been taken in accordance with the Italian law or the company’s articles of association, only the board of statutory auditors and the absent or dissenting members of the board of directors may challenge it within 90 days of such resolution. However, the shareholders may, where they represent the thresholds provided for by Italian law, bring corporate liability action against our directors where they have acted in violation of their duties of conduct. The individual shareholder may also take action for compensation for the damage directly caused to them by the director’s conduct. Under Italian law, shareholders’ claims against a member of our board of directors for breach of their duties of conduct must be filed in Milan, Italy, as the place where the company was incorporated. See “Share Capital Description and Reference Documents” and “Comparison between Delaware Law and Italian Law”.</w:t>
      </w:r>
    </w:p>
    <w:p>
      <w:pPr>
        <w:spacing w:after="0" w:line="19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Our shares are not listed in Italy, our home jurisdiction. As a result, our shareholders will not benefit from certain provisions of Italian law that are designed to protect shareholders in a public takeover offer or a change-of-control transaction and may not be protected in the same degree in a public takeover offer or a change-of-control transaction as are shareholders of certain U.S. companies or in an Italian company listed in Italy.</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the ADSs will be listed exclusively on Nasdaq and not in Italy’s stock exchange, our shareholders will not benefit from the protection afforded by certain provisions of Italian law that are designed to protect shareholders in the event of a public takeover offer or a change-of-control transaction. For example, Article 120 of the Italian Financials’ Consolidated Act and its implementing provisions require investors to disclose their interest in the relevant listed company if they reach, exceed or fall below certain ownership thresholds. Similarly, the Italian takeover regime imposes a duty on any person or group of persons who acquires more than the 30% of a company’s voting rights (or the 25% if such company is not a small-medium enterprise, where there is no other shareholder holding a higher stake) to make a mandatory offer for all of the company’s outstanding listed equity securities. In addition, the Italian takeover regime imposes certain restrictions and obligations on bidders in a voluntary public takeover offer that are designed to protect shareholders. However, these protections are applicable only to issuers that list their equity securities in Italy and, because the ADSs will be listed exclusively on Nasdaq, will not be applicable to us. Furthermore, since Italian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certain U.S. companies or in an Italian company listed in Italy.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71" w:name="page72"/>
    <w:bookmarkEnd w:id="71"/>
    <w:p>
      <w:pPr>
        <w:ind w:right="280"/>
        <w:spacing w:after="0" w:line="308" w:lineRule="auto"/>
        <w:rPr>
          <w:sz w:val="20"/>
          <w:szCs w:val="20"/>
          <w:color w:val="auto"/>
        </w:rPr>
      </w:pPr>
      <w:r>
        <w:rPr>
          <w:rFonts w:ascii="Arial" w:cs="Arial" w:eastAsia="Arial" w:hAnsi="Arial"/>
          <w:sz w:val="17"/>
          <w:szCs w:val="17"/>
          <w:b w:val="1"/>
          <w:bCs w:val="1"/>
          <w:i w:val="1"/>
          <w:iCs w:val="1"/>
          <w:color w:val="auto"/>
        </w:rPr>
        <w:t>The process of seeking to raise additional funds is cumbersome, subject to the verification of an Italian notary public in compliance with our bylaws and applicable law and may require prior approval of our shareholders at an extraordinary shareholder meeting.</w:t>
      </w:r>
    </w:p>
    <w:p>
      <w:pPr>
        <w:spacing w:after="0" w:line="17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incorporated under the laws of the Republic of Italy. The principal laws and regulations that apply to our operations, those of Italy and the European Union, are different from those of the United States. With some exceptions, in order to issue new equity or debt securities convertible into equity, we must increase our authorized capital. In order to do so, our board of directors must meet and resolve to recommend that our shareholders approve an amendment to our bylaws increasing our capital. The holders of the majority of our outstanding shares must then approve that amendment at an extraordinary shareholder meeting duly called. These meetings take time to call and it might be very difficult to get a majority of the holders of all outstanding shares to vote in favor of the proposed resolution. In addition, an Italian notary public must verify that the capital increase is in compliance with our bylaws and with applicable Italian law. Further, under Italian law, our existing shareholders and any holders of convertible securities have preemptive rights (except in specific cases) to acquire any such shares pro-rated on their percentage interest in our company, and on the same terms as approved for such capital increase.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would need to meet again to re-delegate this authority.</w:t>
      </w:r>
    </w:p>
    <w:p>
      <w:pPr>
        <w:spacing w:after="0" w:line="20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With respect to shareholder resolutions approving a capital increase, Italian law provides that in the absence of meeting minutes, or in the event of the impossibility or illegality of the resolution, any interested person may, for a period of 180 days following the filing of the shareholder resolution with the competent Register of Companies, challenge such resolution. If a shareholder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 resolution has been, also partially, executed. In addition, once our shareholders authorize a capital increase, all those authorized shares that have been subscribed need to be entirely paid-up before the shareholders may perform/execute a new capital increase. These restrictions could limit our ability to issue new equity or convertible debt securities on a timely basis.</w:t>
      </w:r>
    </w:p>
    <w:p>
      <w:pPr>
        <w:spacing w:after="0" w:line="193"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Italian law places restrictions on the amount of debt securities that we may issue relative to our equity to the extent that such debt securities are not listed on regulated markets or do not otherwise provide the holder of such securities the right to purchase or convert the same into our shares.</w:t>
      </w:r>
    </w:p>
    <w:p>
      <w:pPr>
        <w:spacing w:after="0" w:line="12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Under Italian law, we may issue debt securities in an amount not to exceed twice the sum of our capital, our legal reserve and any other disposable reserves appearing on our latest Italian GAAP balance sheet approved by our shareholders, unless the debt securities are listed on regulated markets or provide the holder of such securities the right to purchase or convert the same into our shares, in which case such restrictions do not apply. The legal reserve is a reserve to which we allocate 5% of our Italian GAAP net income each year until it equals at least 20% of our capital. One of the other reserves that we maintain on our balance sheet is a “share premium reserve,” meaning amounts paid for our ordinary shares in excess of the amount of such ordinary shares that is allocated to the capital. At December 31, 2020, the sum of our capital, legal reserves and other reserves on our unaudited Italian GAAP financial statements was € million. If, in the future, we issue debt securities that are not listed on regulated markets or do not provide the holder of the securities the right to purchase or convert the same into our shares, until such debt securities are repaid in full, we may not voluntarily reduce our capital or allocate our reserves (such as by declaring dividends) if it results in the aggregate of the capital and reserves being less than half of the outstanding amount of the debt. In such a case, if our equity is reduced by losses or otherwise such that the amount of the outstanding debt securities is more than twice the amount of our equity, some legal scholars are of the opinion that the ratio must be restored through a recapitalization of our company. If our equity is reduced, we could recapitalize by issuing new shares or having our shareholders contribute additional capital to us, although there can be no assurance that we would be able to find purchasers of new shares or that any of our current shareholders would be willing to contribute additional capital.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i w:val="1"/>
          <w:iCs w:val="1"/>
          <w:color w:val="auto"/>
        </w:rPr>
        <w:t>If we suffer losses that reduce our capital to less than €50,000, we would need to recapitalize, change our form of entity or be liquidated.</w:t>
      </w:r>
    </w:p>
    <w:p>
      <w:pPr>
        <w:spacing w:after="0" w:line="26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Italian law requires us to reduce our shareholders’ equity and, in particular, our capital, to reflect on-going losses, in certain cases of losses exceeding 1/3 of the capital of the company. Also, as an S.p.A., we are also required to maintain a minimum capital of €50,000. At December 31, 2020, our unaudited Italian GAAP capital was approximately € million. If we suffer losses from operations that reduce our capital to less than €50,000, then we must either increase our capital (which we could do by issuing new shares or having our shareholders contribute additional capital to our company) to at least €50,000 (or convert the form of our company into an S.r.l. but such conversion would not be applicable since the S.r.l. form is not consistent with being listed pursuant to Italian law). If we do not take these steps, our company could be liquidated.</w:t>
      </w:r>
    </w:p>
    <w:p>
      <w:pPr>
        <w:spacing w:after="0" w:line="20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apply our operational losses against our legal reserves and capital. If our capital is reduced more than one-third as a result of losses, our board of directors must call a shareholder meeting as soon as possible. The shareholders should take appropriate measures, which may include, inter alia, reducing the legal reserves and capital by the amount of the remaining losses, or carrying the losses forward for up to one year. If the shareholders vote to carry the losses forward up to one year, and the losses are still more than one-third of the amount of the capital at the end of the year, then we must reduce our capital by the amount of the losses.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labor laws could impair our flexibility to restructure our business.</w:t>
      </w:r>
    </w:p>
    <w:p>
      <w:pPr>
        <w:spacing w:after="0" w:line="25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Italy, our employees are protected by various laws which afford them consultation rights with respect to specific matters regarding their employers’ business and operations, including the downsizing or closure of facilities and employee terminations. In particular, among other applicable Italian laws: (i) Laws no. 604/1966, 300/1970 and 92/2012 regulate the individual dismissals; (ii) Law no. 223/1991, concerns the collective dismissal procedure; (iii) Law no. 428/1990 as amended by legislative decree no. 18/2001, provides for the information and consultation procedure in case of a transfer of the undertaking or a part thereof; (iv) Legislative decree no. 25/2007, introduces a general right to information and consultation for employees and (v) Legislative Decree no. 23/2015 regulates the consequences of individual dismissals with specific reference to the employees hired starting from March 7, 2015. In addition, due to COVID-19 emergency, various government decrees have introduced a specific ban on dismissals for objective reasons and collective dismissal procedures. These laws and the collective bargaining agreements to which we are subject could impair our flexibility if we need to restructure our business.</w:t>
      </w:r>
    </w:p>
    <w:p>
      <w:pPr>
        <w:spacing w:after="0" w:line="20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Purchasers of our Ordinary Shares and ADSs may be exposed to increased transaction costs as a result of the Italian financial transaction tax or the proposed European financial transaction tax.</w:t>
      </w:r>
    </w:p>
    <w:p>
      <w:pPr>
        <w:spacing w:after="0" w:line="193"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On February 14, 2013, the European Commission adopted a proposal for a directive on the financial transaction tax (“EU FTT”) to be implemented under the enhanced cooperation procedure by eleven Member States initially (Austria, Belgium, Estonia, France, Germany, Greece, Italy, Portugal, Slovenia, Slovakia and Spain). Following Estonia’s formal withdrawal on March 16, 2016, ten Member States are currently participating in the negotiations on the proposed directive. Member States may join or leave the group of participating Member States at later stages and, subject to an agreement being reached by the participating Member States, a final directive will be enacted. The participating Member States will then implement the directive in local legislation. If the proposed directive is adopted and implemented in local legislation, investors in Ordinary Shares and ADSs may be exposed to increased transaction costs.</w:t>
      </w:r>
    </w:p>
    <w:p>
      <w:pPr>
        <w:spacing w:after="0" w:line="22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Italian financial transaction tax (the “IFTT”) applies with respect to trades entailing the transfer of (i) shares or equity-like financial instruments issued by companies resident in Italy, such as the Ordinary Shares; and (ii) securities representing the shares and financial instruments under (i) above (including depositary receipts such as the ADSs), regardless of the residence of the issuer. The IFTT may also apply to the transfer of Ordinary Shares and ADSs by a U.S. resident. The IFTT does not apply to companies having an average market capitalization lower than €500 million in the month of November of the year preceding the year in which the trade takes place. In order to benefit from this exemption, companies whose securities are listed on a foreign regulated market, such as the Company, need to be included on a list published annually by the Italian Ministry of Economy and Finance. The Company is in the process of starting the relevant procedures to be included in such list by the end of 2020. For so long as the Company is not included in such list, investors in the Ordinary Shares and ADSs may be exposed to increased transaction costs. See “Taxation.”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3" w:name="page74"/>
    <w:bookmarkEnd w:id="73"/>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Some of the statements made under “Prospectus Summary,” “Risk Factors,” “Use of Proceeds,” “Management’s Discussion and Analysis of Financial Condition and Results of Operations,” “Business” and elsewhere in this prospectus constitute forward- 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52" w:lineRule="exact"/>
        <w:rPr>
          <w:sz w:val="20"/>
          <w:szCs w:val="20"/>
          <w:color w:val="auto"/>
        </w:rPr>
      </w:pPr>
    </w:p>
    <w:p>
      <w:pPr>
        <w:ind w:left="660" w:right="8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14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interactions with the regulatory bodies, key opinion leaders and partnering clinical centers that may result in changes to clinical trials and manufacturing programs;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and technology;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scope of protection we and/or our licensors are able to establish and maintain for intellectual property rights covering our product candidates;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84"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15" w:right="479" w:bottom="1440" w:gutter="0" w:footer="0" w:header="0"/>
        </w:sectPr>
      </w:pPr>
    </w:p>
    <w:bookmarkStart w:id="74" w:name="page75"/>
    <w:bookmarkEnd w:id="74"/>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ability of our management team to lead the development of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including on our planned clinical trials, operations and financial position.</w:t>
      </w:r>
    </w:p>
    <w:p>
      <w:pPr>
        <w:spacing w:after="0" w:line="26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left="660"/>
        <w:spacing w:after="0"/>
        <w:tabs>
          <w:tab w:leader="none" w:pos="6580" w:val="left"/>
          <w:tab w:leader="none" w:pos="9920" w:val="left"/>
        </w:tabs>
        <w:rPr>
          <w:sz w:val="20"/>
          <w:szCs w:val="20"/>
          <w:color w:val="auto"/>
        </w:rPr>
      </w:pPr>
      <w:r>
        <w:rPr>
          <w:rFonts w:ascii="Arial" w:cs="Arial" w:eastAsia="Arial" w:hAnsi="Arial"/>
          <w:sz w:val="18"/>
          <w:szCs w:val="18"/>
          <w:color w:val="auto"/>
        </w:rPr>
        <w:t>We estimate that the net proceeds from this offering will be approximately $</w:t>
      </w:r>
      <w:r>
        <w:rPr>
          <w:sz w:val="20"/>
          <w:szCs w:val="20"/>
          <w:color w:val="auto"/>
        </w:rPr>
        <w:tab/>
      </w:r>
      <w:r>
        <w:rPr>
          <w:rFonts w:ascii="Arial" w:cs="Arial" w:eastAsia="Arial" w:hAnsi="Arial"/>
          <w:sz w:val="18"/>
          <w:szCs w:val="18"/>
          <w:color w:val="auto"/>
        </w:rPr>
        <w:t>million, assuming an offering price of $</w:t>
      </w:r>
      <w:r>
        <w:rPr>
          <w:sz w:val="20"/>
          <w:szCs w:val="20"/>
          <w:color w:val="auto"/>
        </w:rPr>
        <w:tab/>
      </w:r>
      <w:r>
        <w:rPr>
          <w:rFonts w:ascii="Arial" w:cs="Arial" w:eastAsia="Arial" w:hAnsi="Arial"/>
          <w:sz w:val="16"/>
          <w:szCs w:val="16"/>
          <w:color w:val="auto"/>
        </w:rPr>
        <w:t>per ADS, the</w:t>
      </w:r>
    </w:p>
    <w:p>
      <w:pPr>
        <w:spacing w:after="0" w:line="23" w:lineRule="exact"/>
        <w:rPr>
          <w:sz w:val="20"/>
          <w:szCs w:val="20"/>
          <w:color w:val="auto"/>
        </w:rPr>
      </w:pPr>
    </w:p>
    <w:p>
      <w:pPr>
        <w:ind w:right="160"/>
        <w:spacing w:after="0" w:line="186" w:lineRule="auto"/>
        <w:rPr>
          <w:sz w:val="20"/>
          <w:szCs w:val="20"/>
          <w:color w:val="auto"/>
        </w:rPr>
      </w:pPr>
      <w:r>
        <w:rPr>
          <w:rFonts w:ascii="Arial" w:cs="Arial" w:eastAsia="Arial" w:hAnsi="Arial"/>
          <w:sz w:val="12"/>
          <w:szCs w:val="12"/>
          <w:color w:val="auto"/>
        </w:rPr>
        <w:t>midpoint of the estimated price range set forth on the cover page of this prospectus, and after deducting underwriting discounts and commissions and offering expenses payable by us. If the underwriters exercise the over-allotment option in full, we estimate that the net proceeds from this offering will be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approximately $ million, assuming an offering price of $ per ADS, the midpoint of the estimated price range set forth on the cover page of this prospectus, and after deducting underwriting discounts and commissions and offering expenses payable by us.</w:t>
      </w:r>
    </w:p>
    <w:p>
      <w:pPr>
        <w:spacing w:after="0" w:line="197"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color w:val="auto"/>
        </w:rPr>
        <w:t>A $1.00 increase or decrease in the assumed public offering price of $ per ADS would increase or decrease the net proceeds from this offering by approximately $ million, assuming that the number of ADSs offered by us, as set forth on the cover page of this prospectus, remains the</w:t>
      </w:r>
    </w:p>
    <w:p>
      <w:pPr>
        <w:spacing w:after="0"/>
        <w:rPr>
          <w:sz w:val="20"/>
          <w:szCs w:val="20"/>
          <w:color w:val="auto"/>
        </w:rPr>
      </w:pPr>
      <w:r>
        <w:rPr>
          <w:rFonts w:ascii="Arial" w:cs="Arial" w:eastAsia="Arial" w:hAnsi="Arial"/>
          <w:sz w:val="16"/>
          <w:szCs w:val="16"/>
          <w:color w:val="auto"/>
        </w:rPr>
        <w:t>same and after deducting the estimated underwriting discounts and commissions and estimated offering expenses payable by us. An increase or decrease of</w:t>
      </w:r>
    </w:p>
    <w:p>
      <w:pPr>
        <w:spacing w:after="0" w:line="32"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1,000,000 in the number of ADSs offered by us would increase or decrease our proceeds by approximately $ million, assuming the assumed public offering price remains the same,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currently estimate that we will use the net proceeds from this offering, together with our existing cash and cash equivalents, as follows:</w:t>
      </w:r>
    </w:p>
    <w:p>
      <w:pPr>
        <w:spacing w:after="0" w:line="264"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conduct a clinical trial of Temferon in GBM patients in the United States;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support the ongoing Temferon TEM-GBM 001 trial and its long-term patient monitoring program;</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start a new Temferon clinical program in a second solid tumor indication;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further preclinical research for the development of Temferon™ across broad cancer indications;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 million to fund Temferon manufacturing activities, including LVV manufacturing, stability and process scalability studies and tech transfer activities; and</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remainder to fund ongoing business development activities, general and administrative expenses, the costs of operating as a public company, working capital, and other general corporate purposes.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the expected net proceeds from this offering, together with our existing cash and cash equivalents, will be sufficient to enable us to fund our operating expenses through at least the next 24-36 months, including expenses related to:</w:t>
      </w:r>
    </w:p>
    <w:p>
      <w:pPr>
        <w:spacing w:after="0" w:line="197"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initiation of our US-based clinical trial;</w:t>
      </w:r>
    </w:p>
    <w:p>
      <w:pPr>
        <w:spacing w:after="0" w:line="184"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completion of our ongoing Temferon TEM-GBM 001 trial, the reporting of preliminary results on exploratory endpoints and the start of the long-term monitoring program;</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design of the second solid tumor indication program;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advancement of the preclinical research activity on Temferon biological effects.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76" w:name="page77"/>
    <w:bookmarkEnd w:id="76"/>
    <w:p>
      <w:pPr>
        <w:ind w:right="80" w:firstLine="648"/>
        <w:spacing w:after="0" w:line="272" w:lineRule="auto"/>
        <w:rPr>
          <w:sz w:val="20"/>
          <w:szCs w:val="20"/>
          <w:color w:val="auto"/>
        </w:rPr>
      </w:pPr>
      <w:r>
        <w:rPr>
          <w:rFonts w:ascii="Arial" w:cs="Arial" w:eastAsia="Arial" w:hAnsi="Arial"/>
          <w:sz w:val="17"/>
          <w:szCs w:val="17"/>
          <w:color w:val="auto"/>
        </w:rPr>
        <w:t>It is difficult to predict the cost and timing required to complete such trials due to, among other factors; the final study design, the timeline for regulatory agency approval, the rate of enrollment of patients, and/or the timing and costs of manufacturing and supplying our product candidates for our planned trials. Furthermore, we estimated our budget for US activities by referencing the rates we are paying to sites and third-party vendors involved in our ongoing programs in Italy, and subsequently appling an adjustment to those rates. Our estimated rates may change as a result of discussions with regulatory bodies, key opinion leaders and partnering clinical centers. We may also use a portion of the net proceeds to in-license, acquire or invest in additional businesses, technologies, products and/or assets. Therefore, we cannot predict with certainty all of the particular uses of the net proceeds from the offering or the actual amounts that we will spend on the uses set forth above.</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expected net proceeds from this offering, together with our existing cash and cash equivalents, will only allow us to initiate our US-based clinical trial and complete our ongoing Temferon TEM-GBM 001 trial and will not be sufficient for us to fund certain manufacturing-associated activities needed to expand the Temferon programs in the United States and/or in Europe as well as any of our product candidates through regulatory approval. Accordingly, we will need to raise additional capital to complete the development and commercialization of our product candidates after the read out from our preclinical and clinical trials. We expect to finance our cash needs primarily through equity offerings and potentially through debt financings, collaborations, license and development agreements. We have based these estimates on assumptions that may prove to be incorrect, and we could expend our available capital resources at a rate greater than we currently expect.</w:t>
      </w:r>
    </w:p>
    <w:p>
      <w:pPr>
        <w:spacing w:after="0" w:line="204"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7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Pending our use of the net proceeds from this offering, we may invest the net proceeds in a variety of capital preservation investments, including short-term, investment grade, and interest-bearing instruments and U.S. government securities.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19" w:right="4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shareholders, upon proposal by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Italian law, Italian companies are required to furnish certain information to the Italian tax authorities regarding the identity of non-resident shareholders in connection with the payment of dividends. Shareholders are required to provide their Italian tax identification number, if any, or alternatively, in the case of legal entities, their name, country of establishment and address, or in the case of individuals, their name, address and place and date of birth, or in the case of partnerships, the information required for individuals with respect to one of their representatives. Payment of dividends may be subject to Italian withholding taxes. See “Taxation—Italy Tax Considerations” for additional information. However, beneficial U.S. holders are entitled to a reduction of the withholding taxes applicable to dividends paid to them under the income tax convention for the avoidance of double taxation between the United States and Italy, which was signed on August 25, 1999 and went into effect on December 16, 2009 (the “Income Tax Convention”); provided, however, that conditions set out in the Income Tax Convention are met and subject to the applicable anti-avoidance provisions contained therein. In order for you to benefit from that reduction, we are required to furnish certain information about you to the Italian tax authorities and, therefore, any claim by you for those benefits would need to be accompanied by the required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CORPORATE CONVERSION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currently operate as an Italian limited liability company under the name Genenta Science S.r.l. Immediately prior to the effectiveness of the registration statement of which this prospectus forms a part and following approval by the Quotaholders’ Meeting of Genenta Science S.r.l., we will convert Genenta Science S.r.l. from a limited liability company to an Italian joint-stock company pursuant to Italian law and change its name to Genenta Science S.p.A. The purpose of the Corporate Conversion is to reorganize our corporate structure so that the entity that is offering ADSs to the public in this offering is a corporation rather than a limited liability company.</w:t>
      </w:r>
    </w:p>
    <w:p>
      <w:pPr>
        <w:spacing w:after="0" w:line="21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conjunction with, and a result of, the Corporate Conversion, all of the quotas held by the existing quotaholders of the various classes of Genenta Science S.r.l. will be converted into an aggregate of 15,000,000 ordinary shares of Genenta Science S.p.A. The number of ordinary shares issuable to each quotaholder in connection with the Corporate Conversion will be determined pursuant to the applicable provisions of the plan of conversion approved by the Quotaholders Meeting of Genenta Science S.r.l. under Italian law and based on each quotaholder’s percentage ownership of Genenta Science S.r.l.</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a result of the Corporate Conversion, Genenta Science S.p.A. will retain all of the properties and assets, all of the debts and obligations of Genenta Science S.r.l. Genenta Science S.p.A. will be governed by articles of association and bylaws (</w:t>
      </w:r>
      <w:r>
        <w:rPr>
          <w:rFonts w:ascii="Arial" w:cs="Arial" w:eastAsia="Arial" w:hAnsi="Arial"/>
          <w:sz w:val="18"/>
          <w:szCs w:val="18"/>
          <w:i w:val="1"/>
          <w:iCs w:val="1"/>
          <w:color w:val="auto"/>
        </w:rPr>
        <w:t>Statuto</w:t>
      </w:r>
      <w:r>
        <w:rPr>
          <w:rFonts w:ascii="Arial" w:cs="Arial" w:eastAsia="Arial" w:hAnsi="Arial"/>
          <w:sz w:val="18"/>
          <w:szCs w:val="18"/>
          <w:color w:val="auto"/>
        </w:rPr>
        <w:t>), the material provisions of which are described under the heading “Description of Capital Stock” On the effective date of the Corporate Conversion, each of our directors and executive officers will be the persons as described elsewhere in this prospectus. See “Management”.</w:t>
      </w:r>
    </w:p>
    <w:p>
      <w:pPr>
        <w:spacing w:after="0" w:line="21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Except as otherwise noted herein, the financial statements included elsewhere in this prospectus are those of Genenta Science S.r.l. and its operations. We do not expect that the Corporate Conversion will have an effect on our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2020:</w:t>
      </w:r>
    </w:p>
    <w:p>
      <w:pPr>
        <w:spacing w:after="0" w:line="252"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a pro forma basis to reflect the Corporate Conversion; and</w:t>
      </w:r>
    </w:p>
    <w:p>
      <w:pPr>
        <w:spacing w:after="0" w:line="185" w:lineRule="exact"/>
        <w:rPr>
          <w:sz w:val="20"/>
          <w:szCs w:val="20"/>
          <w:color w:val="auto"/>
        </w:rPr>
      </w:pPr>
    </w:p>
    <w:p>
      <w:pPr>
        <w:ind w:left="340"/>
        <w:spacing w:after="0"/>
        <w:tabs>
          <w:tab w:leader="none" w:pos="640" w:val="left"/>
          <w:tab w:leader="none" w:pos="6660" w:val="left"/>
        </w:tabs>
        <w:rPr>
          <w:sz w:val="20"/>
          <w:szCs w:val="20"/>
          <w:color w:val="auto"/>
        </w:rPr>
      </w:pPr>
      <w:r>
        <w:rPr>
          <w:rFonts w:ascii="Arial" w:cs="Arial" w:eastAsia="Arial" w:hAnsi="Arial"/>
          <w:sz w:val="18"/>
          <w:szCs w:val="18"/>
          <w:color w:val="auto"/>
        </w:rPr>
        <w:t>●</w:t>
        <w:tab/>
        <w:t>on a pro forma as adjusted basis to give further effect to the issuance and sale of</w:t>
      </w:r>
      <w:r>
        <w:rPr>
          <w:sz w:val="20"/>
          <w:szCs w:val="20"/>
          <w:color w:val="auto"/>
        </w:rPr>
        <w:tab/>
      </w:r>
      <w:r>
        <w:rPr>
          <w:rFonts w:ascii="Arial" w:cs="Arial" w:eastAsia="Arial" w:hAnsi="Arial"/>
          <w:sz w:val="16"/>
          <w:szCs w:val="16"/>
          <w:color w:val="auto"/>
        </w:rPr>
        <w:t>ADSs in this offering at an assumed public offering price of</w:t>
      </w:r>
    </w:p>
    <w:p>
      <w:pPr>
        <w:spacing w:after="0" w:line="23" w:lineRule="exact"/>
        <w:rPr>
          <w:sz w:val="20"/>
          <w:szCs w:val="20"/>
          <w:color w:val="auto"/>
        </w:rPr>
      </w:pPr>
    </w:p>
    <w:p>
      <w:pPr>
        <w:ind w:left="660" w:right="80" w:hanging="4"/>
        <w:spacing w:after="0" w:line="255" w:lineRule="auto"/>
        <w:tabs>
          <w:tab w:leader="none" w:pos="142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 ADS, the midpoint of the estimated price range set forth on the cover page of this prospectus, after deducting estimated underwriting discounts and commissions and estimated offering expenses payable by us, and to the application of the net proceeds as described in “Use of Proceeds,” as if the sale of the ADSs had occurred on December 31, 2020.</w:t>
      </w:r>
    </w:p>
    <w:p>
      <w:pPr>
        <w:spacing w:after="0" w:line="21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public offering price and other terms of this offering determined at pricing.</w:t>
      </w:r>
    </w:p>
    <w:p>
      <w:pPr>
        <w:spacing w:after="0" w:line="197"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2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December 31, 2020</w:t>
            </w: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6"/>
        </w:trPr>
        <w:tc>
          <w:tcPr>
            <w:tcW w:w="2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3"/>
              </w:rPr>
              <w:t>Pro Forma As</w:t>
            </w:r>
          </w:p>
        </w:tc>
        <w:tc>
          <w:tcPr>
            <w:tcW w:w="100" w:type="dxa"/>
            <w:vAlign w:val="bottom"/>
          </w:tcPr>
          <w:p>
            <w:pPr>
              <w:spacing w:after="0"/>
              <w:rPr>
                <w:sz w:val="11"/>
                <w:szCs w:val="11"/>
                <w:color w:val="auto"/>
              </w:rPr>
            </w:pPr>
          </w:p>
        </w:tc>
      </w:tr>
      <w:tr>
        <w:trPr>
          <w:trHeight w:val="209"/>
        </w:trPr>
        <w:tc>
          <w:tcPr>
            <w:tcW w:w="3580" w:type="dxa"/>
            <w:vAlign w:val="bottom"/>
            <w:gridSpan w:val="2"/>
          </w:tcPr>
          <w:p>
            <w:pPr>
              <w:ind w:left="1960"/>
              <w:spacing w:after="0"/>
              <w:rPr>
                <w:sz w:val="20"/>
                <w:szCs w:val="20"/>
                <w:color w:val="auto"/>
              </w:rPr>
            </w:pPr>
            <w:r>
              <w:rPr>
                <w:rFonts w:ascii="Arial" w:cs="Arial" w:eastAsia="Arial" w:hAnsi="Arial"/>
                <w:sz w:val="14"/>
                <w:szCs w:val="14"/>
                <w:b w:val="1"/>
                <w:bCs w:val="1"/>
                <w:i w:val="1"/>
                <w:iCs w:val="1"/>
                <w:color w:val="auto"/>
                <w:w w:val="87"/>
              </w:rPr>
              <w:t>in Euros, except share data</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Actual</w:t>
            </w:r>
          </w:p>
        </w:tc>
        <w:tc>
          <w:tcPr>
            <w:tcW w:w="1880" w:type="dxa"/>
            <w:vAlign w:val="bottom"/>
            <w:gridSpan w:val="2"/>
          </w:tcPr>
          <w:p>
            <w:pPr>
              <w:jc w:val="center"/>
              <w:ind w:right="320"/>
              <w:spacing w:after="0" w:line="202" w:lineRule="exact"/>
              <w:rPr>
                <w:sz w:val="20"/>
                <w:szCs w:val="20"/>
                <w:color w:val="auto"/>
              </w:rPr>
            </w:pPr>
            <w:r>
              <w:rPr>
                <w:rFonts w:ascii="Arial" w:cs="Arial" w:eastAsia="Arial" w:hAnsi="Arial"/>
                <w:sz w:val="14"/>
                <w:szCs w:val="14"/>
                <w:b w:val="1"/>
                <w:bCs w:val="1"/>
                <w:color w:val="auto"/>
                <w:w w:val="90"/>
              </w:rPr>
              <w:t xml:space="preserve">Pro Forma </w:t>
            </w:r>
            <w:r>
              <w:rPr>
                <w:rFonts w:ascii="Arial" w:cs="Arial" w:eastAsia="Arial" w:hAnsi="Arial"/>
                <w:sz w:val="23"/>
                <w:szCs w:val="23"/>
                <w:b w:val="1"/>
                <w:bCs w:val="1"/>
                <w:color w:val="auto"/>
                <w:w w:val="90"/>
                <w:vertAlign w:val="superscript"/>
              </w:rPr>
              <w:t>(1)</w:t>
            </w:r>
          </w:p>
        </w:tc>
        <w:tc>
          <w:tcPr>
            <w:tcW w:w="1680" w:type="dxa"/>
            <w:vAlign w:val="bottom"/>
            <w:gridSpan w:val="2"/>
          </w:tcPr>
          <w:p>
            <w:pPr>
              <w:jc w:val="center"/>
              <w:ind w:right="100"/>
              <w:spacing w:after="0" w:line="202" w:lineRule="exact"/>
              <w:rPr>
                <w:sz w:val="20"/>
                <w:szCs w:val="20"/>
                <w:color w:val="auto"/>
              </w:rPr>
            </w:pPr>
            <w:r>
              <w:rPr>
                <w:rFonts w:ascii="Arial" w:cs="Arial" w:eastAsia="Arial" w:hAnsi="Arial"/>
                <w:sz w:val="14"/>
                <w:szCs w:val="14"/>
                <w:b w:val="1"/>
                <w:bCs w:val="1"/>
                <w:color w:val="auto"/>
                <w:w w:val="89"/>
              </w:rPr>
              <w:t xml:space="preserve">Adjusted </w:t>
            </w:r>
            <w:r>
              <w:rPr>
                <w:rFonts w:ascii="Arial" w:cs="Arial" w:eastAsia="Arial" w:hAnsi="Arial"/>
                <w:sz w:val="23"/>
                <w:szCs w:val="23"/>
                <w:b w:val="1"/>
                <w:bCs w:val="1"/>
                <w:color w:val="auto"/>
                <w:w w:val="89"/>
                <w:vertAlign w:val="superscript"/>
              </w:rPr>
              <w:t>(2)</w:t>
            </w:r>
          </w:p>
        </w:tc>
      </w:tr>
      <w:tr>
        <w:trPr>
          <w:trHeight w:val="216"/>
        </w:trPr>
        <w:tc>
          <w:tcPr>
            <w:tcW w:w="2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15,465,243</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Shareholders’ deficit:</w:t>
            </w:r>
          </w:p>
        </w:tc>
        <w:tc>
          <w:tcPr>
            <w:tcW w:w="10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Ordinary shares, par value of €</w:t>
            </w:r>
          </w:p>
        </w:tc>
        <w:tc>
          <w:tcPr>
            <w:tcW w:w="1040" w:type="dxa"/>
            <w:vAlign w:val="bottom"/>
          </w:tcPr>
          <w:p>
            <w:pPr>
              <w:jc w:val="right"/>
              <w:ind w:right="570"/>
              <w:spacing w:after="0" w:line="201" w:lineRule="exact"/>
              <w:rPr>
                <w:sz w:val="20"/>
                <w:szCs w:val="20"/>
                <w:color w:val="auto"/>
              </w:rPr>
            </w:pPr>
            <w:r>
              <w:rPr>
                <w:rFonts w:ascii="Arial" w:cs="Arial" w:eastAsia="Arial" w:hAnsi="Arial"/>
                <w:sz w:val="18"/>
                <w:szCs w:val="18"/>
                <w:color w:val="auto"/>
              </w:rPr>
              <w:t>,</w:t>
            </w: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shares registered:</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540" w:type="dxa"/>
            <w:vAlign w:val="bottom"/>
          </w:tcPr>
          <w:p>
            <w:pPr>
              <w:ind w:left="640"/>
              <w:spacing w:after="0"/>
              <w:rPr>
                <w:sz w:val="20"/>
                <w:szCs w:val="20"/>
                <w:color w:val="auto"/>
              </w:rPr>
            </w:pPr>
            <w:r>
              <w:rPr>
                <w:rFonts w:ascii="Arial" w:cs="Arial" w:eastAsia="Arial" w:hAnsi="Arial"/>
                <w:sz w:val="18"/>
                <w:szCs w:val="18"/>
                <w:color w:val="auto"/>
              </w:rPr>
              <w:t>shares issued, actual;</w:t>
            </w:r>
          </w:p>
        </w:tc>
        <w:tc>
          <w:tcPr>
            <w:tcW w:w="2980" w:type="dxa"/>
            <w:vAlign w:val="bottom"/>
            <w:gridSpan w:val="2"/>
          </w:tcPr>
          <w:p>
            <w:pPr>
              <w:ind w:left="280"/>
              <w:spacing w:after="0"/>
              <w:rPr>
                <w:sz w:val="20"/>
                <w:szCs w:val="20"/>
                <w:color w:val="auto"/>
              </w:rPr>
            </w:pPr>
            <w:r>
              <w:rPr>
                <w:rFonts w:ascii="Arial" w:cs="Arial" w:eastAsia="Arial" w:hAnsi="Arial"/>
                <w:sz w:val="18"/>
                <w:szCs w:val="18"/>
                <w:color w:val="auto"/>
              </w:rPr>
              <w:t>shares, pro forma</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37,056</w:t>
            </w: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0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36,604,728</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Accumulated deficit</w:t>
            </w:r>
          </w:p>
        </w:tc>
        <w:tc>
          <w:tcPr>
            <w:tcW w:w="1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(21,490,475)</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Total (deficit) equity</w:t>
            </w:r>
          </w:p>
        </w:tc>
        <w:tc>
          <w:tcPr>
            <w:tcW w:w="10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15,151,309</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0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15,151,309</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459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21"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30"/>
          <w:szCs w:val="30"/>
          <w:color w:val="auto"/>
          <w:vertAlign w:val="superscript"/>
        </w:rPr>
      </w:pPr>
      <w:r>
        <w:rPr>
          <w:rFonts w:ascii="Arial" w:cs="Arial" w:eastAsia="Arial" w:hAnsi="Arial"/>
          <w:sz w:val="18"/>
          <w:szCs w:val="18"/>
          <w:color w:val="auto"/>
        </w:rPr>
        <w:t>Reflects the Corporate Conversion.</w:t>
      </w:r>
    </w:p>
    <w:p>
      <w:pPr>
        <w:spacing w:after="0" w:line="1" w:lineRule="exact"/>
        <w:rPr>
          <w:rFonts w:ascii="Arial" w:cs="Arial" w:eastAsia="Arial" w:hAnsi="Arial"/>
          <w:sz w:val="30"/>
          <w:szCs w:val="30"/>
          <w:color w:val="auto"/>
          <w:vertAlign w:val="superscript"/>
        </w:rPr>
      </w:pPr>
    </w:p>
    <w:p>
      <w:pPr>
        <w:ind w:left="340" w:right="240" w:hanging="332"/>
        <w:spacing w:after="0" w:line="236" w:lineRule="auto"/>
        <w:tabs>
          <w:tab w:leader="none" w:pos="340" w:val="left"/>
        </w:tabs>
        <w:numPr>
          <w:ilvl w:val="0"/>
          <w:numId w:val="63"/>
        </w:numPr>
        <w:rPr>
          <w:rFonts w:ascii="Arial" w:cs="Arial" w:eastAsia="Arial" w:hAnsi="Arial"/>
          <w:sz w:val="29"/>
          <w:szCs w:val="29"/>
          <w:color w:val="auto"/>
          <w:vertAlign w:val="superscript"/>
        </w:rPr>
      </w:pPr>
      <w:r>
        <w:rPr>
          <w:rFonts w:ascii="Arial" w:cs="Arial" w:eastAsia="Arial" w:hAnsi="Arial"/>
          <w:sz w:val="17"/>
          <w:szCs w:val="17"/>
          <w:color w:val="auto"/>
        </w:rPr>
        <w:t>A $1.00 increase or decrease in the assumed public offering price of $ per ADS would increase or decrease the amount of each of cash and cash equivalents and total shareholders’ deficit by approximately $ million, assuming that the number of ADSs offered by us, as set forth on the cover page of this prospectus, remains the same and after deducting estimated underwriting discounts and commissions and estimated offering expenses payable by us. An increase or decrease of 1,000,000 in the number of ADSs offered by us would increase or decrease each of cash and cash equivalents and total shareholders’ deficit by approximately € million, assuming the assumed public offering price remains the same, after deducting estimated underwriting discounts and commissions and any estimated offering expenses payable by us.</w:t>
      </w:r>
    </w:p>
    <w:p>
      <w:pPr>
        <w:sectPr>
          <w:pgSz w:w="11900" w:h="16838" w:orient="portrait"/>
          <w:cols w:equalWidth="0" w:num="1">
            <w:col w:w="11240"/>
          </w:cols>
          <w:pgMar w:left="320" w:top="715" w:right="339" w:bottom="1440" w:gutter="0" w:footer="0" w:header="0"/>
        </w:sect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our ordinary shares to be outstanding immediately after this offering is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 based on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57" w:lineRule="exact"/>
        <w:rPr>
          <w:sz w:val="20"/>
          <w:szCs w:val="20"/>
          <w:color w:val="auto"/>
        </w:rPr>
      </w:pPr>
    </w:p>
    <w:p>
      <w:pPr>
        <w:sectPr>
          <w:pgSz w:w="11900" w:h="16838" w:orient="portrait"/>
          <w:cols w:equalWidth="0" w:num="3">
            <w:col w:w="6860" w:space="480"/>
            <w:col w:w="1800" w:space="720"/>
            <w:col w:w="1380"/>
          </w:cols>
          <w:pgMar w:left="320" w:top="715" w:right="339" w:bottom="1440" w:gutter="0" w:footer="0" w:header="0"/>
          <w:type w:val="continuous"/>
        </w:sectPr>
      </w:pPr>
    </w:p>
    <w:p>
      <w:pPr>
        <w:spacing w:after="0"/>
        <w:tabs>
          <w:tab w:leader="none" w:pos="1440" w:val="left"/>
        </w:tabs>
        <w:rPr>
          <w:sz w:val="20"/>
          <w:szCs w:val="20"/>
          <w:color w:val="auto"/>
        </w:rPr>
      </w:pPr>
      <w:r>
        <w:rPr>
          <w:rFonts w:ascii="Arial" w:cs="Arial" w:eastAsia="Arial" w:hAnsi="Arial"/>
          <w:sz w:val="18"/>
          <w:szCs w:val="18"/>
          <w:color w:val="auto"/>
        </w:rPr>
        <w:t>outstanding as of</w:t>
      </w:r>
      <w:r>
        <w:rPr>
          <w:sz w:val="20"/>
          <w:szCs w:val="20"/>
          <w:color w:val="auto"/>
        </w:rPr>
        <w:tab/>
      </w:r>
      <w:r>
        <w:rPr>
          <w:rFonts w:ascii="Arial" w:cs="Arial" w:eastAsia="Arial" w:hAnsi="Arial"/>
          <w:sz w:val="16"/>
          <w:szCs w:val="16"/>
          <w:color w:val="auto"/>
        </w:rPr>
        <w:t>, 2021, after giving pro forma effect to the Corporate Conversion, and excludes:</w:t>
      </w:r>
    </w:p>
    <w:p>
      <w:pPr>
        <w:sectPr>
          <w:pgSz w:w="11900" w:h="16838" w:orient="portrait"/>
          <w:cols w:equalWidth="0" w:num="1">
            <w:col w:w="11240"/>
          </w:cols>
          <w:pgMar w:left="320" w:top="715" w:right="339" w:bottom="1440" w:gutter="0" w:footer="0" w:header="0"/>
          <w:type w:val="continuous"/>
        </w:sect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of common stock issuable upon vesting of stock options outstanding as of</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 2021;</w:t>
      </w:r>
    </w:p>
    <w:p>
      <w:pPr>
        <w:spacing w:after="0" w:line="200" w:lineRule="exact"/>
        <w:rPr>
          <w:sz w:val="20"/>
          <w:szCs w:val="20"/>
          <w:color w:val="auto"/>
        </w:rPr>
      </w:pPr>
    </w:p>
    <w:p>
      <w:pPr>
        <w:sectPr>
          <w:pgSz w:w="11900" w:h="16838" w:orient="portrait"/>
          <w:cols w:equalWidth="0" w:num="3">
            <w:col w:w="440" w:space="440"/>
            <w:col w:w="6460" w:space="220"/>
            <w:col w:w="3680"/>
          </w:cols>
          <w:pgMar w:left="320" w:top="715" w:right="339" w:bottom="1440" w:gutter="0" w:footer="0" w:header="0"/>
          <w:type w:val="continuous"/>
        </w:sectPr>
      </w:pPr>
    </w:p>
    <w:p>
      <w:pPr>
        <w:spacing w:after="0" w:line="8" w:lineRule="exact"/>
        <w:rPr>
          <w:sz w:val="20"/>
          <w:szCs w:val="20"/>
          <w:color w:val="auto"/>
        </w:rPr>
      </w:pPr>
    </w:p>
    <w:p>
      <w:pPr>
        <w:ind w:left="920" w:hanging="588"/>
        <w:spacing w:after="0"/>
        <w:tabs>
          <w:tab w:leader="none" w:pos="9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ordinary shares that are available for future issuance under our 2021-2025 Equity Incentive Plan; and</w:t>
      </w:r>
    </w:p>
    <w:p>
      <w:pPr>
        <w:spacing w:after="0" w:line="207" w:lineRule="exact"/>
        <w:rPr>
          <w:rFonts w:ascii="Arial" w:cs="Arial" w:eastAsia="Arial" w:hAnsi="Arial"/>
          <w:sz w:val="16"/>
          <w:szCs w:val="16"/>
          <w:color w:val="auto"/>
        </w:rPr>
      </w:pPr>
    </w:p>
    <w:p>
      <w:pPr>
        <w:ind w:left="920" w:hanging="588"/>
        <w:spacing w:after="0"/>
        <w:tabs>
          <w:tab w:leader="none" w:pos="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ordinary shares issuable upon exercise of the Representatives’ Warrants.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DILUTION</w:t>
      </w:r>
    </w:p>
    <w:p>
      <w:pPr>
        <w:sectPr>
          <w:pgSz w:w="11900" w:h="16838" w:orient="portrait"/>
          <w:cols w:equalWidth="0" w:num="1">
            <w:col w:w="11240"/>
          </w:cols>
          <w:pgMar w:left="320" w:top="715" w:right="339" w:bottom="1440" w:gutter="0" w:footer="0" w:header="0"/>
        </w:sectPr>
      </w:pP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you invest in our securities, your interest will be diluted immediately to the extent of the difference between the public offering price per ADS you will pay in this offering and the pro forma net tangible book value per ADS after the offering. At December 31, 2020, we had net tangible book value of €15,151,309, corresponding to a net tangible book value of € per ordinary share or $ per ADS (using the ratio of ordinary shares to one ADS). Net tangible book value per ordinary share or per ADS represents the amount of our total tangible assets less our total liabilities, divided by the total number of ordinary shares outstanding at December 31, 2020, or , the total number of ADSs that would represent such total number of shares based on a share-to-ADS ratio of one-to-one.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722" w:lineRule="exact"/>
        <w:rPr>
          <w:sz w:val="20"/>
          <w:szCs w:val="20"/>
          <w:color w:val="auto"/>
        </w:rPr>
      </w:pPr>
    </w:p>
    <w:p>
      <w:pPr>
        <w:sectPr>
          <w:pgSz w:w="11900" w:h="16838" w:orient="portrait"/>
          <w:cols w:equalWidth="0" w:num="2">
            <w:col w:w="11080" w:space="20"/>
            <w:col w:w="140"/>
          </w:cols>
          <w:pgMar w:left="320" w:top="715" w:right="339" w:bottom="1440" w:gutter="0" w:footer="0" w:header="0"/>
          <w:type w:val="continuous"/>
        </w:sectPr>
      </w:pPr>
    </w:p>
    <w:p>
      <w:pPr>
        <w:spacing w:after="0" w:line="1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After giving pro forma effect to the Corporate Conversion and the sale of the ADSs offered by us in this offering and after deducting the estimated underwriting discounts and commissions and estimated offering expenses payable by us, our pro forma estimated net tangible book value at December 31,</w:t>
      </w:r>
    </w:p>
    <w:p>
      <w:pPr>
        <w:ind w:right="20"/>
        <w:spacing w:after="0" w:line="265" w:lineRule="auto"/>
        <w:rPr>
          <w:sz w:val="20"/>
          <w:szCs w:val="20"/>
          <w:color w:val="auto"/>
        </w:rPr>
      </w:pPr>
      <w:r>
        <w:rPr>
          <w:rFonts w:ascii="Arial" w:cs="Arial" w:eastAsia="Arial" w:hAnsi="Arial"/>
          <w:sz w:val="17"/>
          <w:szCs w:val="17"/>
          <w:color w:val="auto"/>
        </w:rPr>
        <w:t>2020 would have been approximately € , representing € per ordinary share or $ per ADS. At the assumed public offering price for this offering of $ per ADS, the midpoint of the estimated price range set forth on the cover page of this prospectus, this represents an immediate increase in pro forma net tangible book value of € per ordinary share or $ per ADS to existing shareholders and an immediate dilution in pro forma net tangible book value of € per ordinary share or $ per ADS to purchasers of ADSs in this offering. Dilution for this purpose represents the</w:t>
      </w:r>
    </w:p>
    <w:p>
      <w:pPr>
        <w:spacing w:after="0" w:line="1"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difference between the price per ADS paid by these purchasers and pro forma net tangible book value per ADS immediately after the completion of this offering.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this dilution on a per ADS basis to purchasers of ADSs in this offering: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3"/>
              </w:rPr>
              <w:t>Assumed public offering price per ADS, the midpoint of the estimated price range set forth on the</w:t>
            </w:r>
          </w:p>
        </w:tc>
        <w:tc>
          <w:tcPr>
            <w:tcW w:w="4000" w:type="dxa"/>
            <w:vAlign w:val="bottom"/>
            <w:shd w:val="clear" w:color="auto" w:fill="CCEEFF"/>
          </w:tcPr>
          <w:p>
            <w:pPr>
              <w:spacing w:after="0"/>
              <w:rPr>
                <w:sz w:val="17"/>
                <w:szCs w:val="17"/>
                <w:color w:val="auto"/>
              </w:rPr>
            </w:pPr>
          </w:p>
        </w:tc>
      </w:tr>
      <w:tr>
        <w:trPr>
          <w:trHeight w:val="23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cover page of this prospectus</w:t>
            </w:r>
          </w:p>
        </w:tc>
        <w:tc>
          <w:tcPr>
            <w:tcW w:w="400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Historical net tangible book value (deficit) per ADS as of December 31, 2020</w:t>
            </w:r>
          </w:p>
        </w:tc>
        <w:tc>
          <w:tcPr>
            <w:tcW w:w="4000" w:type="dxa"/>
            <w:vAlign w:val="bottom"/>
          </w:tcPr>
          <w:p>
            <w:pPr>
              <w:jc w:val="right"/>
              <w:ind w:right="3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ADS attributable to new investors in this offering</w:t>
            </w:r>
          </w:p>
        </w:tc>
        <w:tc>
          <w:tcPr>
            <w:tcW w:w="4000" w:type="dxa"/>
            <w:vAlign w:val="bottom"/>
            <w:shd w:val="clear" w:color="auto" w:fill="CCEEFF"/>
          </w:tcPr>
          <w:p>
            <w:pPr>
              <w:jc w:val="right"/>
              <w:ind w:right="3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Pro forma as adjusted net tangible book value per ADS after offering</w:t>
            </w:r>
          </w:p>
        </w:tc>
        <w:tc>
          <w:tcPr>
            <w:tcW w:w="4000" w:type="dxa"/>
            <w:vAlign w:val="bottom"/>
          </w:tcPr>
          <w:p>
            <w:pPr>
              <w:jc w:val="right"/>
              <w:ind w:right="1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Dilution in tangible book value per ADS to new investors</w:t>
            </w:r>
          </w:p>
        </w:tc>
        <w:tc>
          <w:tcPr>
            <w:tcW w:w="400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Percentage of dilution in net tangible book value per ADS for new investors</w:t>
            </w:r>
          </w:p>
        </w:tc>
        <w:tc>
          <w:tcPr>
            <w:tcW w:w="40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dilution information set forth in the table above is illustrative only and will be adjusted based on the actual public offering price and other terms of this offering determined at pricing.</w:t>
      </w:r>
    </w:p>
    <w:p>
      <w:pPr>
        <w:spacing w:after="0" w:line="197" w:lineRule="exact"/>
        <w:rPr>
          <w:sz w:val="20"/>
          <w:szCs w:val="20"/>
          <w:color w:val="auto"/>
        </w:rPr>
      </w:pPr>
    </w:p>
    <w:p>
      <w:pPr>
        <w:ind w:right="180" w:firstLine="648"/>
        <w:spacing w:after="0" w:line="274" w:lineRule="auto"/>
        <w:rPr>
          <w:sz w:val="20"/>
          <w:szCs w:val="20"/>
          <w:color w:val="auto"/>
        </w:rPr>
      </w:pPr>
      <w:r>
        <w:rPr>
          <w:rFonts w:ascii="Arial" w:cs="Arial" w:eastAsia="Arial" w:hAnsi="Arial"/>
          <w:sz w:val="17"/>
          <w:szCs w:val="17"/>
          <w:color w:val="auto"/>
        </w:rPr>
        <w:t>A $1.00 increase or decrease in the assumed initial public offering price of $ per ADS would increase or decrease our as adjusted net tangible book value per ADS after this offering by $ and the dilution per ADS to new investors by $ , assuming the number of ADSs offered</w:t>
      </w:r>
    </w:p>
    <w:p>
      <w:pPr>
        <w:ind w:right="520"/>
        <w:spacing w:after="0" w:line="260" w:lineRule="auto"/>
        <w:rPr>
          <w:sz w:val="20"/>
          <w:szCs w:val="20"/>
          <w:color w:val="auto"/>
        </w:rPr>
      </w:pPr>
      <w:r>
        <w:rPr>
          <w:rFonts w:ascii="Arial" w:cs="Arial" w:eastAsia="Arial" w:hAnsi="Arial"/>
          <w:sz w:val="18"/>
          <w:szCs w:val="18"/>
          <w:color w:val="auto"/>
        </w:rPr>
        <w:t>by us, as set forth on the cover page of this prospectus, remains the same, after deducting the estimated underwriting discounts and commissions and estimated offering expenses payable by us.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also increase or decrease the number of ADSs we are offering. An increase or decrease of 1,000,000 in the number of ADSs offered by us</w:t>
      </w:r>
    </w:p>
    <w:p>
      <w:pPr>
        <w:spacing w:after="0" w:line="4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would increase or decrease our as adjusted net tangible book value after this offering by approximately $ million and the pro forma net tangible book value per ADS after this offering by $ per ADS and would increase or decrease the dilution per ADS to new investors by $ , assuming the</w:t>
      </w:r>
    </w:p>
    <w:p>
      <w:pPr>
        <w:spacing w:after="0"/>
        <w:rPr>
          <w:sz w:val="20"/>
          <w:szCs w:val="20"/>
          <w:color w:val="auto"/>
        </w:rPr>
      </w:pPr>
      <w:r>
        <w:rPr>
          <w:rFonts w:ascii="Arial" w:cs="Arial" w:eastAsia="Arial" w:hAnsi="Arial"/>
          <w:sz w:val="17"/>
          <w:szCs w:val="17"/>
          <w:color w:val="auto"/>
        </w:rPr>
        <w:t>assumed public offering price remains the same, after deducting estimated underwriting discounts and estimated offering expenses payable by us.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underwriters exercise their over-allotment option in this offering in full, the pro forma net tangible book value per ADS after this offering</w:t>
      </w:r>
    </w:p>
    <w:p>
      <w:pPr>
        <w:spacing w:after="0" w:line="3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6"/>
          <w:szCs w:val="16"/>
          <w:color w:val="auto"/>
        </w:rPr>
        <w:t>per ADS, and the dilution in pro forma as adjusted net tangible book value per ADS to new investors purchasing ADSs in this offering</w:t>
      </w:r>
    </w:p>
    <w:p>
      <w:pPr>
        <w:spacing w:after="0" w:line="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6"/>
          <w:szCs w:val="16"/>
          <w:color w:val="auto"/>
        </w:rPr>
        <w:t>per ADS, after deducting estimated underwriting discounts and commissions and estimated offering expenses payable by us.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81" w:name="page82"/>
    <w:bookmarkEnd w:id="81"/>
    <w:p>
      <w:pPr>
        <w:ind w:right="20" w:firstLine="648"/>
        <w:spacing w:after="0" w:line="291" w:lineRule="auto"/>
        <w:rPr>
          <w:sz w:val="20"/>
          <w:szCs w:val="20"/>
          <w:color w:val="auto"/>
        </w:rPr>
      </w:pPr>
      <w:r>
        <w:rPr>
          <w:rFonts w:ascii="Arial" w:cs="Arial" w:eastAsia="Arial" w:hAnsi="Arial"/>
          <w:sz w:val="16"/>
          <w:szCs w:val="16"/>
          <w:color w:val="auto"/>
        </w:rPr>
        <w:t>The following table summarizes, on an as adjusted basis as of December 31, 2020, the differences between the number of ordinary shares acquired from us, the total amount paid and the average price per ordinary share paid by the existing holders of our ordinary shares and by investors in this offering</w:t>
      </w:r>
    </w:p>
    <w:p>
      <w:pPr>
        <w:ind w:right="700"/>
        <w:spacing w:after="0" w:line="260" w:lineRule="auto"/>
        <w:rPr>
          <w:sz w:val="20"/>
          <w:szCs w:val="20"/>
          <w:color w:val="auto"/>
        </w:rPr>
      </w:pPr>
      <w:r>
        <w:rPr>
          <w:rFonts w:ascii="Arial" w:cs="Arial" w:eastAsia="Arial" w:hAnsi="Arial"/>
          <w:sz w:val="18"/>
          <w:szCs w:val="18"/>
          <w:color w:val="auto"/>
        </w:rPr>
        <w:t>and based upon an assumed public offering price of $ per ADS, the midpoint of the estimated price range set forth on the cover page of this prospectus.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226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Price Per</w:t>
            </w:r>
          </w:p>
        </w:tc>
        <w:tc>
          <w:tcPr>
            <w:tcW w:w="0" w:type="dxa"/>
            <w:vAlign w:val="bottom"/>
          </w:tcPr>
          <w:p>
            <w:pPr>
              <w:spacing w:after="0"/>
              <w:rPr>
                <w:sz w:val="1"/>
                <w:szCs w:val="1"/>
                <w:color w:val="auto"/>
              </w:rPr>
            </w:pPr>
          </w:p>
        </w:tc>
      </w:tr>
      <w:tr>
        <w:trPr>
          <w:trHeight w:val="165"/>
        </w:trPr>
        <w:tc>
          <w:tcPr>
            <w:tcW w:w="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22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20" w:type="dxa"/>
            <w:vAlign w:val="bottom"/>
            <w:tcBorders>
              <w:top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Percent</w:t>
            </w: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top w:val="single" w:sz="8" w:color="auto"/>
            </w:tcBorders>
          </w:tcPr>
          <w:p>
            <w:pPr>
              <w:ind w:left="380"/>
              <w:spacing w:after="0"/>
              <w:rPr>
                <w:sz w:val="20"/>
                <w:szCs w:val="20"/>
                <w:color w:val="auto"/>
              </w:rPr>
            </w:pPr>
            <w:r>
              <w:rPr>
                <w:rFonts w:ascii="Arial" w:cs="Arial" w:eastAsia="Arial" w:hAnsi="Arial"/>
                <w:sz w:val="14"/>
                <w:szCs w:val="14"/>
                <w:b w:val="1"/>
                <w:bCs w:val="1"/>
                <w:color w:val="auto"/>
                <w:w w:val="97"/>
              </w:rPr>
              <w:t>Percent</w:t>
            </w:r>
          </w:p>
        </w:tc>
        <w:tc>
          <w:tcPr>
            <w:tcW w:w="3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6"/>
        </w:trPr>
        <w:tc>
          <w:tcPr>
            <w:tcW w:w="3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40" w:type="dxa"/>
            <w:vAlign w:val="bottom"/>
          </w:tcPr>
          <w:p>
            <w:pPr>
              <w:spacing w:after="0"/>
              <w:rPr>
                <w:sz w:val="24"/>
                <w:szCs w:val="24"/>
                <w:color w:val="auto"/>
              </w:rPr>
            </w:pPr>
          </w:p>
        </w:tc>
        <w:tc>
          <w:tcPr>
            <w:tcW w:w="6500" w:type="dxa"/>
            <w:vAlign w:val="bottom"/>
            <w:gridSpan w:val="7"/>
          </w:tcPr>
          <w:p>
            <w:pPr>
              <w:ind w:left="120"/>
              <w:spacing w:after="0"/>
              <w:rPr>
                <w:sz w:val="20"/>
                <w:szCs w:val="20"/>
                <w:color w:val="auto"/>
              </w:rPr>
            </w:pPr>
            <w:r>
              <w:rPr>
                <w:rFonts w:ascii="Arial" w:cs="Arial" w:eastAsia="Arial" w:hAnsi="Arial"/>
                <w:sz w:val="18"/>
                <w:szCs w:val="18"/>
                <w:color w:val="auto"/>
                <w:w w:val="93"/>
              </w:rPr>
              <w:t>The number of our ordinary shares to be outstanding immediately after this offering is</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based on</w:t>
            </w:r>
          </w:p>
        </w:tc>
        <w:tc>
          <w:tcPr>
            <w:tcW w:w="2840" w:type="dxa"/>
            <w:vAlign w:val="bottom"/>
            <w:gridSpan w:val="4"/>
          </w:tcPr>
          <w:p>
            <w:pPr>
              <w:ind w:left="340"/>
              <w:spacing w:after="0"/>
              <w:rPr>
                <w:sz w:val="20"/>
                <w:szCs w:val="20"/>
                <w:color w:val="auto"/>
              </w:rPr>
            </w:pPr>
            <w:r>
              <w:rPr>
                <w:rFonts w:ascii="Arial" w:cs="Arial" w:eastAsia="Arial" w:hAnsi="Arial"/>
                <w:sz w:val="18"/>
                <w:szCs w:val="18"/>
                <w:color w:val="auto"/>
                <w:w w:val="93"/>
              </w:rPr>
              <w:t>ordinary shares outstanding as of</w:t>
            </w:r>
          </w:p>
        </w:tc>
        <w:tc>
          <w:tcPr>
            <w:tcW w:w="0" w:type="dxa"/>
            <w:vAlign w:val="bottom"/>
          </w:tcPr>
          <w:p>
            <w:pPr>
              <w:spacing w:after="0"/>
              <w:rPr>
                <w:sz w:val="1"/>
                <w:szCs w:val="1"/>
                <w:color w:val="auto"/>
              </w:rPr>
            </w:pPr>
          </w:p>
        </w:tc>
      </w:tr>
      <w:tr>
        <w:trPr>
          <w:trHeight w:val="230"/>
        </w:trPr>
        <w:tc>
          <w:tcPr>
            <w:tcW w:w="7040" w:type="dxa"/>
            <w:vAlign w:val="bottom"/>
            <w:gridSpan w:val="8"/>
          </w:tcPr>
          <w:p>
            <w:pPr>
              <w:ind w:left="180"/>
              <w:spacing w:after="0"/>
              <w:rPr>
                <w:sz w:val="20"/>
                <w:szCs w:val="20"/>
                <w:color w:val="auto"/>
              </w:rPr>
            </w:pPr>
            <w:r>
              <w:rPr>
                <w:rFonts w:ascii="Arial" w:cs="Arial" w:eastAsia="Arial" w:hAnsi="Arial"/>
                <w:sz w:val="18"/>
                <w:szCs w:val="18"/>
                <w:color w:val="auto"/>
              </w:rPr>
              <w:t>, 2021, after giving pro forma effect to the Corporate Conversion, and excludes:</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7860" w:type="dxa"/>
            <w:vAlign w:val="bottom"/>
            <w:gridSpan w:val="9"/>
          </w:tcPr>
          <w:p>
            <w:pPr>
              <w:ind w:left="300"/>
              <w:spacing w:after="0"/>
              <w:rPr>
                <w:sz w:val="20"/>
                <w:szCs w:val="20"/>
                <w:color w:val="auto"/>
              </w:rPr>
            </w:pPr>
            <w:r>
              <w:rPr>
                <w:rFonts w:ascii="Arial" w:cs="Arial" w:eastAsia="Arial" w:hAnsi="Arial"/>
                <w:sz w:val="18"/>
                <w:szCs w:val="18"/>
                <w:color w:val="auto"/>
                <w:w w:val="95"/>
              </w:rPr>
              <w:t>ordinary shares of common stock issuable upon vesting of stock options outstanding as of   , 2021;</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840" w:hanging="508"/>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ordinary shares that are available for future issuance under our 2021-2024 Equity Incentive Plan; and</w:t>
      </w:r>
    </w:p>
    <w:p>
      <w:pPr>
        <w:spacing w:after="0" w:line="184" w:lineRule="exact"/>
        <w:rPr>
          <w:rFonts w:ascii="Arial" w:cs="Arial" w:eastAsia="Arial" w:hAnsi="Arial"/>
          <w:sz w:val="18"/>
          <w:szCs w:val="18"/>
          <w:color w:val="auto"/>
        </w:rPr>
      </w:pPr>
    </w:p>
    <w:p>
      <w:pPr>
        <w:ind w:left="840" w:hanging="508"/>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ordinary shares issuable upon exercise of the Representatives’ Warrants.</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to the extent that options are granted under our 2021-2025 Equity Incentive Plan, there will be further dilution to investors purchasing ordinary shares in this offering.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representatives of the underwriters exercises the over-allotment option to purchase additional ADSs in full in this offering, the number of</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20"/>
                <w:szCs w:val="20"/>
                <w:color w:val="auto"/>
              </w:rPr>
            </w:pPr>
            <w:r>
              <w:rPr>
                <w:rFonts w:ascii="Arial" w:cs="Arial" w:eastAsia="Arial" w:hAnsi="Arial"/>
                <w:sz w:val="18"/>
                <w:szCs w:val="18"/>
                <w:color w:val="auto"/>
                <w:w w:val="91"/>
              </w:rPr>
              <w:t>ordinary shares represented by ADSs held by new investors will increase to</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 or</w:t>
            </w: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w w:val="97"/>
              </w:rPr>
              <w:t>% of the total number of ordinary shares outstanding after this</w:t>
            </w:r>
          </w:p>
        </w:tc>
      </w:tr>
      <w:tr>
        <w:trPr>
          <w:trHeight w:val="230"/>
        </w:trPr>
        <w:tc>
          <w:tcPr>
            <w:tcW w:w="6800" w:type="dxa"/>
            <w:vAlign w:val="bottom"/>
            <w:gridSpan w:val="3"/>
          </w:tcPr>
          <w:p>
            <w:pPr>
              <w:spacing w:after="0"/>
              <w:rPr>
                <w:sz w:val="20"/>
                <w:szCs w:val="20"/>
                <w:color w:val="auto"/>
              </w:rPr>
            </w:pPr>
            <w:r>
              <w:rPr>
                <w:rFonts w:ascii="Arial" w:cs="Arial" w:eastAsia="Arial" w:hAnsi="Arial"/>
                <w:sz w:val="18"/>
                <w:szCs w:val="18"/>
                <w:color w:val="auto"/>
                <w:w w:val="92"/>
              </w:rPr>
              <w:t>offering and the percentage of ordinary shares held by existing shareholders will decrease to</w:t>
            </w:r>
          </w:p>
        </w:tc>
        <w:tc>
          <w:tcPr>
            <w:tcW w:w="4440" w:type="dxa"/>
            <w:vAlign w:val="bottom"/>
          </w:tcPr>
          <w:p>
            <w:pPr>
              <w:ind w:left="160"/>
              <w:spacing w:after="0"/>
              <w:rPr>
                <w:sz w:val="20"/>
                <w:szCs w:val="20"/>
                <w:color w:val="auto"/>
              </w:rPr>
            </w:pPr>
            <w:r>
              <w:rPr>
                <w:rFonts w:ascii="Arial" w:cs="Arial" w:eastAsia="Arial" w:hAnsi="Arial"/>
                <w:sz w:val="18"/>
                <w:szCs w:val="18"/>
                <w:color w:val="auto"/>
              </w:rPr>
              <w:t>% of the total ordinary shares outstanding.</w:t>
            </w:r>
          </w:p>
        </w:tc>
      </w:tr>
      <w:tr>
        <w:trPr>
          <w:trHeight w:val="466"/>
        </w:trPr>
        <w:tc>
          <w:tcPr>
            <w:tcW w:w="5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76</w:t>
            </w:r>
          </w:p>
        </w:tc>
        <w:tc>
          <w:tcPr>
            <w:tcW w:w="5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Immediately prior to the effectiveness of the registration statement of which this prospectus forms a part, Genenta Science S.r.l. will modify its charter to become a S.p.A. (società per azioni) pursuant to our corporate reorganization. See “Corporate reorganization.” Prior to this offering, we were a limited liability company, but the change in incorporation did not affect the financial information herein presented, except for the transformation of our quotas into ordinary shares. As such the historical financial statements will not be retrospectively adjusted.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prevent tumor relapse. Because our technology is not target dependent, we believe it can be used for treatment across a broad variety of cancers.</w:t>
      </w:r>
    </w:p>
    <w:p>
      <w:pPr>
        <w:spacing w:after="0" w:line="19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Since our inception in 2014,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which through December 31, 2020, aggregated gross cash proceeds of approximately €33.6 million.</w:t>
      </w:r>
    </w:p>
    <w:p>
      <w:pPr>
        <w:spacing w:after="0" w:line="188"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 years ended December 31, 2020 and 2019 were approximately €5.6 million and approximately €4.6 million, respectively. As of December 31, 2020, we had an accumulated deficit of approximately €21.5 million. Substantially all of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spacing w:after="0" w:line="17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83" w:name="page84"/>
    <w:bookmarkEnd w:id="83"/>
    <w:p>
      <w:pPr>
        <w:ind w:firstLine="648"/>
        <w:spacing w:after="0" w:line="270" w:lineRule="auto"/>
        <w:rPr>
          <w:sz w:val="20"/>
          <w:szCs w:val="20"/>
          <w:color w:val="auto"/>
        </w:rPr>
      </w:pPr>
      <w:r>
        <w:rPr>
          <w:rFonts w:ascii="Arial" w:cs="Arial" w:eastAsia="Arial" w:hAnsi="Arial"/>
          <w:sz w:val="17"/>
          <w:szCs w:val="17"/>
          <w:color w:val="auto"/>
        </w:rPr>
        <w:t>As a result, for our long term strategy,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securities, including the net proceeds from our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spacing w:after="0" w:line="188"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As of December 31, 2020, we had cash and cash equivalents of approximately €15.5 million. We believe that our existing cash and cash equivalents as of December 31, 2020 will enable us to fund our operating expenses and capital expenditure requirements for at least the next twelve months. We have based this estimate on assumptions that may prove to be wrong, and we could exhaust our available capital resources sooner than we expect. See “—Liquidity and Capital Resources.” To finance our continuing operations, we will need to raise additional capital, which cannot be assured.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As of the date of this filing, the global healthcare community continues to respond to the COVID-19 pandemic. 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our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We have not experienced significant interruptions related to COVID-19, although one patient tested positive for COVID-19 and had to delay treatment with Temferon. We may find it difficult to enroll patients in our clinical trials, which could delay or prevent us from proceeding with clinical trials of our product candidates. We continue to closely monitor this rapidly evolving situation and the potential impact on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Our current operating expenses consist of two components – research and development expenses, and general and administrative expenses.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expense research and development costs as incurred. These expenses consist of costs incurred in connection with the development of our product candidates, including:</w:t>
      </w:r>
    </w:p>
    <w:p>
      <w:pPr>
        <w:spacing w:after="0" w:line="170"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license fees and milestone payments incurred in connection with our license agreements;</w:t>
      </w:r>
    </w:p>
    <w:p>
      <w:pPr>
        <w:spacing w:after="0" w:line="225"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146" w:lineRule="exact"/>
        <w:rPr>
          <w:rFonts w:ascii="Arial" w:cs="Arial" w:eastAsia="Arial" w:hAnsi="Arial"/>
          <w:sz w:val="17"/>
          <w:szCs w:val="17"/>
          <w:color w:val="auto"/>
        </w:rPr>
      </w:pPr>
    </w:p>
    <w:p>
      <w:pPr>
        <w:ind w:left="660" w:right="8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in due course, clinical trial materials and commercial materials, including manufacturing validation batches;</w:t>
      </w:r>
    </w:p>
    <w:p>
      <w:pPr>
        <w:spacing w:after="0" w:line="170"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employee-related expenses, including salaries, social security charges, related benefits, severance indemnity in case of termination of employees’ relationships, travel and stock-based compensation expense for employees engaged in research and development functions and consulting fees;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facilities costs, depreciation and other expenses, which include rent and utilities.</w:t>
      </w:r>
    </w:p>
    <w:p>
      <w:pPr>
        <w:spacing w:after="0" w:line="225"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for managing our preclinical development, process development, manufacturing, and clinical development activities. These employees work across programs, and therefore, we do not track their costs by program. We elected to present the research and development credit net of the related research and development expenditure on the statements of operations and comprehensive loss. However, not all of our research and development expenses are allocated by program: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0" w:type="dxa"/>
            <w:vAlign w:val="bottom"/>
            <w:gridSpan w:val="5"/>
          </w:tcPr>
          <w:p>
            <w:pPr>
              <w:ind w:left="1140"/>
              <w:spacing w:after="0"/>
              <w:rPr>
                <w:sz w:val="20"/>
                <w:szCs w:val="20"/>
                <w:color w:val="auto"/>
              </w:rPr>
            </w:pPr>
            <w:r>
              <w:rPr>
                <w:rFonts w:ascii="Arial" w:cs="Arial" w:eastAsia="Arial" w:hAnsi="Arial"/>
                <w:sz w:val="18"/>
                <w:szCs w:val="18"/>
                <w:color w:val="auto"/>
              </w:rPr>
              <w:t>Year Ended December 31,</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5500" w:type="dxa"/>
            <w:vAlign w:val="bottom"/>
          </w:tcPr>
          <w:p>
            <w:pPr>
              <w:spacing w:after="0"/>
              <w:rPr>
                <w:sz w:val="20"/>
                <w:szCs w:val="20"/>
                <w:color w:val="auto"/>
              </w:rPr>
            </w:pP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TEM-GBM</w:t>
            </w:r>
          </w:p>
        </w:tc>
        <w:tc>
          <w:tcPr>
            <w:tcW w:w="266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3,353,369</w:t>
            </w:r>
          </w:p>
        </w:tc>
        <w:tc>
          <w:tcPr>
            <w:tcW w:w="116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1,853,929</w:t>
            </w:r>
          </w:p>
        </w:tc>
        <w:tc>
          <w:tcPr>
            <w:tcW w:w="80" w:type="dxa"/>
            <w:vAlign w:val="bottom"/>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TEM-MM</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190,764</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769,146</w:t>
            </w:r>
          </w:p>
        </w:tc>
        <w:tc>
          <w:tcPr>
            <w:tcW w:w="80" w:type="dxa"/>
            <w:vAlign w:val="bottom"/>
            <w:shd w:val="clear" w:color="auto" w:fill="CCEEFF"/>
          </w:tcPr>
          <w:p>
            <w:pPr>
              <w:spacing w:after="0"/>
              <w:rPr>
                <w:sz w:val="18"/>
                <w:szCs w:val="18"/>
                <w:color w:val="auto"/>
              </w:rPr>
            </w:pPr>
          </w:p>
        </w:tc>
      </w:tr>
      <w:tr>
        <w:trPr>
          <w:trHeight w:val="257"/>
        </w:trPr>
        <w:tc>
          <w:tcPr>
            <w:tcW w:w="550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Option fee – second indication </w:t>
            </w:r>
            <w:r>
              <w:rPr>
                <w:rFonts w:ascii="Arial" w:cs="Arial" w:eastAsia="Arial" w:hAnsi="Arial"/>
                <w:sz w:val="29"/>
                <w:szCs w:val="29"/>
                <w:color w:val="auto"/>
                <w:vertAlign w:val="superscript"/>
              </w:rPr>
              <w:t>1</w:t>
            </w:r>
          </w:p>
        </w:tc>
        <w:tc>
          <w:tcPr>
            <w:tcW w:w="14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Unallocated costs:</w:t>
            </w: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Personnel (including share-based compensation)</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472,100</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753,238</w:t>
            </w:r>
          </w:p>
        </w:tc>
        <w:tc>
          <w:tcPr>
            <w:tcW w:w="8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Consultants and other third party</w:t>
            </w: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70,035</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73,736</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Materials &amp; supplies</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62,600</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64,151</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Travel &amp; entertainment</w:t>
            </w: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34,466</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133,573</w:t>
            </w:r>
          </w:p>
        </w:tc>
        <w:tc>
          <w:tcPr>
            <w:tcW w:w="80" w:type="dxa"/>
            <w:vAlign w:val="bottom"/>
          </w:tcPr>
          <w:p>
            <w:pPr>
              <w:spacing w:after="0"/>
              <w:rPr>
                <w:sz w:val="18"/>
                <w:szCs w:val="18"/>
                <w:color w:val="auto"/>
              </w:rPr>
            </w:pPr>
          </w:p>
        </w:tc>
      </w:tr>
      <w:tr>
        <w:trPr>
          <w:trHeight w:val="25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5,127</w:t>
            </w: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55,209</w:t>
            </w:r>
          </w:p>
        </w:tc>
      </w:tr>
      <w:tr>
        <w:trPr>
          <w:trHeight w:val="216"/>
        </w:trPr>
        <w:tc>
          <w:tcPr>
            <w:tcW w:w="5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research and development expenses</w:t>
            </w:r>
          </w:p>
        </w:tc>
        <w:tc>
          <w:tcPr>
            <w:tcW w:w="1480" w:type="dxa"/>
            <w:vAlign w:val="bottom"/>
            <w:tcBorders>
              <w:top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4,688,461</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3,702,982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63" w:lineRule="exact"/>
        <w:rPr>
          <w:sz w:val="20"/>
          <w:szCs w:val="20"/>
          <w:color w:val="auto"/>
        </w:rPr>
      </w:pPr>
    </w:p>
    <w:p>
      <w:pPr>
        <w:ind w:left="5540" w:right="2680" w:hanging="4884"/>
        <w:spacing w:after="0" w:line="367" w:lineRule="auto"/>
        <w:tabs>
          <w:tab w:leader="none" w:pos="774" w:val="left"/>
        </w:tabs>
        <w:numPr>
          <w:ilvl w:val="0"/>
          <w:numId w:val="67"/>
        </w:numPr>
        <w:rPr>
          <w:rFonts w:ascii="Arial" w:cs="Arial" w:eastAsia="Arial" w:hAnsi="Arial"/>
          <w:sz w:val="30"/>
          <w:szCs w:val="30"/>
          <w:color w:val="auto"/>
          <w:vertAlign w:val="superscript"/>
        </w:rPr>
      </w:pPr>
      <w:r>
        <w:rPr>
          <w:rFonts w:ascii="Arial" w:cs="Arial" w:eastAsia="Arial" w:hAnsi="Arial"/>
          <w:sz w:val="18"/>
          <w:szCs w:val="18"/>
          <w:color w:val="auto"/>
        </w:rPr>
        <w:t>Although the second indication is currently liver cancer, the Company has the right to change the indication.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5" w:name="page86"/>
    <w:bookmarkEnd w:id="85"/>
    <w:p>
      <w:pPr>
        <w:ind w:right="120" w:firstLine="648"/>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87"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impact of the COVID-19 pandemic on our preclinical development activities, clinical trials and other research and development activities;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establishing and maintaining clinical and commercial manufacturing capabilities or making arrangements with third-party manufacturers;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qualifying for, and maintaining, adequate coverage and reimbursement by the government and other payors for any product candidate for which we obtain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EMA,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General and administrative expenses consist primarily of salaries and consulting fees,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additional accounting, audit, legal, regulatory, compliance, director and officer insurance costs as well as investor and public relations expenses associated with being a public company. Additionally, if and when we believe a regulatory approval of a product candidate appears likely, we anticipate an increase in payroll and other expense as a result of our preparation for commercial operations, especially as it relates to the sales and marketing of our product candidate.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Other income (expense) consists primarily of interest income/(expense), foreign exchange income/(loss) and, for the year ended December 31, 2019, an award given to the Company by international institutions for the successful results achieved in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are subject to taxation in Italy. Taxes are recorded on an accrual basis. They therefore represent the allowances for taxes paid or to be paid for the year, calculated according to the current enacted rates and applicable laws. Due to the tax loss position reported, no income taxes were due for the years ended December 31, 2020 and 2019.</w:t>
      </w:r>
    </w:p>
    <w:p>
      <w:pPr>
        <w:spacing w:after="0" w:line="18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of each reporting date, we consider existing evidence, both positive and negative, that could impact our view regarding to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December 31, 2020.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statements of operations.</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open statutes of limitations for Italian tax authorities to audit our tax returns. There have been no material income tax-related interests or penalties assessed or recorded.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liability related to uncertain tax positions reported in our financial statements.</w:t>
      </w:r>
    </w:p>
    <w:p>
      <w:pPr>
        <w:spacing w:after="0" w:line="225"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In line with the legislation in force until December 31, 2019, companies in Italy that invested in eligible research and development activities, regardless of the legal form and economic sector in which they operate, could benefit from a tax credit up to 50% of the increase of annual research and development expenses compared to the median expense for the years 2012-2014, which could be used as compensation in order to reduce most taxes payable, including income tax or regional tax on productive activities, as well as of social security contributions.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7" w:name="page88"/>
    <w:bookmarkEnd w:id="87"/>
    <w:p>
      <w:pPr>
        <w:ind w:firstLine="648"/>
        <w:spacing w:after="0" w:line="275" w:lineRule="auto"/>
        <w:rPr>
          <w:sz w:val="20"/>
          <w:szCs w:val="20"/>
          <w:color w:val="auto"/>
        </w:rPr>
      </w:pPr>
      <w:r>
        <w:rPr>
          <w:rFonts w:ascii="Arial" w:cs="Arial" w:eastAsia="Arial" w:hAnsi="Arial"/>
          <w:sz w:val="17"/>
          <w:szCs w:val="17"/>
          <w:color w:val="auto"/>
        </w:rPr>
        <w:t>The 2020 Italian Budget Law established that: (i) the tax credit due is up to 12% of the research and development costs incurred (up to a maximum of Euro 3 million); (ii) the actual support of eligible expenditure and its correspondence with the accounting documents must result from a specific certification issued by the person responsible for the legal audit; (iii) the tax credit due can only be used as compensation in three equal annual instalments. The 2021 Italian Budget Law established that: (i) the tax credit due is up to 20% of the costs incurred (up to a maximum of Euro 4 million); (ii) the tax credit can be used for 2021 and 2022 fiscal years; (iii) it is necessary to have, besides the audit report, a technical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2020 to the Year Ended December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60" w:type="dxa"/>
            <w:vAlign w:val="bottom"/>
            <w:gridSpan w:val="6"/>
          </w:tcPr>
          <w:p>
            <w:pPr>
              <w:jc w:val="right"/>
              <w:ind w:right="941"/>
              <w:spacing w:after="0"/>
              <w:rPr>
                <w:sz w:val="20"/>
                <w:szCs w:val="20"/>
                <w:color w:val="auto"/>
              </w:rPr>
            </w:pPr>
            <w:r>
              <w:rPr>
                <w:rFonts w:ascii="Arial" w:cs="Arial" w:eastAsia="Arial" w:hAnsi="Arial"/>
                <w:sz w:val="18"/>
                <w:szCs w:val="18"/>
                <w:color w:val="auto"/>
              </w:rPr>
              <w:t>Year Ended December 31,</w:t>
            </w:r>
          </w:p>
        </w:tc>
      </w:tr>
      <w:tr>
        <w:trPr>
          <w:trHeight w:val="237"/>
        </w:trPr>
        <w:tc>
          <w:tcPr>
            <w:tcW w:w="62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6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4"/>
          </w:tcPr>
          <w:p>
            <w:pPr>
              <w:ind w:left="1180"/>
              <w:spacing w:after="0"/>
              <w:rPr>
                <w:sz w:val="20"/>
                <w:szCs w:val="20"/>
                <w:color w:val="auto"/>
              </w:rPr>
            </w:pPr>
            <w:r>
              <w:rPr>
                <w:rFonts w:ascii="Arial" w:cs="Arial" w:eastAsia="Arial" w:hAnsi="Arial"/>
                <w:sz w:val="18"/>
                <w:szCs w:val="18"/>
                <w:color w:val="auto"/>
              </w:rPr>
              <w:t>(in Euros)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1"/>
              <w:spacing w:after="0"/>
              <w:rPr>
                <w:sz w:val="20"/>
                <w:szCs w:val="20"/>
                <w:color w:val="auto"/>
              </w:rPr>
            </w:pPr>
            <w:r>
              <w:rPr>
                <w:rFonts w:ascii="Arial" w:cs="Arial" w:eastAsia="Arial" w:hAnsi="Arial"/>
                <w:sz w:val="18"/>
                <w:szCs w:val="18"/>
                <w:color w:val="auto"/>
              </w:rPr>
              <w:t>4,688,461</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3,702,982</w:t>
            </w:r>
          </w:p>
        </w:tc>
      </w:tr>
      <w:tr>
        <w:trPr>
          <w:trHeight w:val="25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901,765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921,520</w:t>
            </w:r>
          </w:p>
        </w:tc>
      </w:tr>
      <w:tr>
        <w:trPr>
          <w:trHeight w:val="210"/>
        </w:trPr>
        <w:tc>
          <w:tcPr>
            <w:tcW w:w="62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8"/>
                <w:szCs w:val="18"/>
                <w:color w:val="auto"/>
              </w:rPr>
            </w:pPr>
          </w:p>
        </w:tc>
        <w:tc>
          <w:tcPr>
            <w:tcW w:w="1540" w:type="dxa"/>
            <w:vAlign w:val="bottom"/>
            <w:gridSpan w:val="2"/>
          </w:tcPr>
          <w:p>
            <w:pPr>
              <w:jc w:val="right"/>
              <w:ind w:right="61"/>
              <w:spacing w:after="0"/>
              <w:rPr>
                <w:sz w:val="20"/>
                <w:szCs w:val="20"/>
                <w:color w:val="auto"/>
              </w:rPr>
            </w:pPr>
            <w:r>
              <w:rPr>
                <w:rFonts w:ascii="Arial" w:cs="Arial" w:eastAsia="Arial" w:hAnsi="Arial"/>
                <w:sz w:val="18"/>
                <w:szCs w:val="18"/>
                <w:color w:val="auto"/>
              </w:rPr>
              <w:t>(5,590,226)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(4,624,502)</w:t>
            </w:r>
          </w:p>
        </w:tc>
      </w:tr>
      <w:tr>
        <w:trPr>
          <w:trHeight w:val="216"/>
        </w:trPr>
        <w:tc>
          <w:tcPr>
            <w:tcW w:w="6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5,966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36,331</w:t>
            </w:r>
          </w:p>
        </w:tc>
      </w:tr>
      <w:tr>
        <w:trPr>
          <w:trHeight w:val="236"/>
        </w:trPr>
        <w:tc>
          <w:tcPr>
            <w:tcW w:w="626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380" w:type="dxa"/>
            <w:vAlign w:val="bottom"/>
          </w:tcPr>
          <w:p>
            <w:pPr>
              <w:spacing w:after="0"/>
              <w:rPr>
                <w:sz w:val="20"/>
                <w:szCs w:val="20"/>
                <w:color w:val="auto"/>
              </w:rPr>
            </w:pPr>
          </w:p>
        </w:tc>
        <w:tc>
          <w:tcPr>
            <w:tcW w:w="1540" w:type="dxa"/>
            <w:vAlign w:val="bottom"/>
            <w:gridSpan w:val="2"/>
          </w:tcPr>
          <w:p>
            <w:pPr>
              <w:jc w:val="right"/>
              <w:ind w:right="61"/>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(9,552)</w:t>
            </w:r>
          </w:p>
        </w:tc>
      </w:tr>
      <w:tr>
        <w:trPr>
          <w:trHeight w:val="223"/>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(5,592,014)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r>
      <w:tr>
        <w:trPr>
          <w:trHeight w:val="236"/>
        </w:trPr>
        <w:tc>
          <w:tcPr>
            <w:tcW w:w="62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380" w:type="dxa"/>
            <w:vAlign w:val="bottom"/>
          </w:tcPr>
          <w:p>
            <w:pPr>
              <w:spacing w:after="0"/>
              <w:rPr>
                <w:sz w:val="20"/>
                <w:szCs w:val="20"/>
                <w:color w:val="auto"/>
              </w:rPr>
            </w:pPr>
          </w:p>
        </w:tc>
        <w:tc>
          <w:tcPr>
            <w:tcW w:w="15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1"/>
              <w:spacing w:after="0"/>
              <w:rPr>
                <w:sz w:val="20"/>
                <w:szCs w:val="20"/>
                <w:color w:val="auto"/>
              </w:rPr>
            </w:pPr>
            <w:r>
              <w:rPr>
                <w:rFonts w:ascii="Arial" w:cs="Arial" w:eastAsia="Arial" w:hAnsi="Arial"/>
                <w:sz w:val="18"/>
                <w:szCs w:val="18"/>
                <w:color w:val="auto"/>
              </w:rPr>
              <w:t>(5,592,014)</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r>
        <w:trPr>
          <w:trHeight w:val="216"/>
        </w:trPr>
        <w:tc>
          <w:tcPr>
            <w:tcW w:w="6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ind w:left="580"/>
        <w:spacing w:after="0"/>
        <w:rPr>
          <w:sz w:val="20"/>
          <w:szCs w:val="20"/>
          <w:color w:val="auto"/>
        </w:rPr>
      </w:pPr>
      <w:r>
        <w:rPr>
          <w:rFonts w:ascii="Arial" w:cs="Arial" w:eastAsia="Arial" w:hAnsi="Arial"/>
          <w:sz w:val="18"/>
          <w:szCs w:val="18"/>
          <w:color w:val="auto"/>
        </w:rPr>
        <w:t>Pro forma information (unaudited):</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 forma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 forma net loss per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-113030</wp:posOffset>
            </wp:positionV>
            <wp:extent cx="23742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Weighted average pro forma number of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641223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2230" cy="188595"/>
                    </a:xfrm>
                    <a:prstGeom prst="rect">
                      <a:avLst/>
                    </a:prstGeom>
                    <a:noFill/>
                  </pic:spPr>
                </pic:pic>
              </a:graphicData>
            </a:graphic>
          </wp:anchor>
        </w:drawing>
      </w:r>
    </w:p>
    <w:p>
      <w:pPr>
        <w:spacing w:after="0" w:line="273" w:lineRule="exact"/>
        <w:rPr>
          <w:sz w:val="20"/>
          <w:szCs w:val="20"/>
          <w:color w:val="auto"/>
        </w:rPr>
      </w:pPr>
    </w:p>
    <w:p>
      <w:pPr>
        <w:jc w:val="both"/>
        <w:ind w:right="280" w:firstLine="648"/>
        <w:spacing w:after="0" w:line="301" w:lineRule="auto"/>
        <w:rPr>
          <w:sz w:val="20"/>
          <w:szCs w:val="20"/>
          <w:color w:val="auto"/>
        </w:rPr>
      </w:pPr>
      <w:r>
        <w:rPr>
          <w:rFonts w:ascii="Arial" w:cs="Arial" w:eastAsia="Arial" w:hAnsi="Arial"/>
          <w:sz w:val="16"/>
          <w:szCs w:val="16"/>
          <w:color w:val="auto"/>
        </w:rPr>
        <w:t>We have presented pro forma basic and diluted net loss per share which consists of our historical net loss attributable to Genenta Science S.r.l., divided by the pro forma basic and diluted weighted average number of ordinary shares outstanding after giving effect to the Corporate Conversion. See our disclosures in this prospectus for additional information regarding the method used to calculate the pro forma basic and diluted net loss per ordinary share and the pro forma weighted average number of ordinary shares used in the computation of the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Research and development expenses were approximately €4.7 million for the year ended December 31, 2020, as compared to approximately €3.7 million for the year ended December 31, 2019. The increase of approximately €1.0 million was primarily due to the increase of approximately €1.6 million related the Company’s GBM research and clinical activities partially offset by €0.6 million related to the decrease of MM related expenses. In addition, we exercised our option with OSR for our second cancer indication, which triggered an option fee of €0.5 million; however, this was offset by a decrease of €0.3 million of personnel costs and €0.2 million of other research, development, and clinical related expenses.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General and administrative expenses were approximately €0.9 million for the year ended December 31, 2020, as compared to approximately €0.9 million for the year ended December 31, 2019. The general and administrative expenses remained essentially flat due to our ability to control expenses and focus our resources on research, development, and clinical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Other income was €6,000 for the year ended December 31, 2020, as compared to approximately €36,000 for the year ended December 31, 2019. The decrease of approximately €30,000 was primarily due to the awards granted to the Company in 2019, i.e., the Company won two international prizes for its results on research programs in 2019 without a corresponding award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Expense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Finance expense was approximately €7,800 for the year ended December 31, 2020, as compared to approximately €9,600 for the year ended December 31, 2019. The increase of approximately €1,800 was primarily due to small exchange rate gains and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net loss was approximately €5.6 million for the year ended December 31, 2020, as compared to approximately €4.6 million for the year ended December 31, 2019. The increase of approximately €1.0 million was primarily due to the increased spending related to our GBM research and clinical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We have funded our operations to date primarily with proceeds from the sales of quotas. Through December 31, 2020, we had received gross cash proceeds of approximately €33.6 million from sales of our quotas. As of December 31, 2020, we had approximately €15.5 million in cash and cash equivalents.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660"/>
              <w:spacing w:after="0"/>
              <w:rPr>
                <w:sz w:val="20"/>
                <w:szCs w:val="20"/>
                <w:color w:val="auto"/>
              </w:rPr>
            </w:pPr>
            <w:r>
              <w:rPr>
                <w:rFonts w:ascii="Arial" w:cs="Arial" w:eastAsia="Arial" w:hAnsi="Arial"/>
                <w:sz w:val="18"/>
                <w:szCs w:val="18"/>
                <w:color w:val="auto"/>
              </w:rPr>
              <w:t>The table below presents our cash flows for the periods indicated:</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00" w:type="dxa"/>
            <w:vAlign w:val="bottom"/>
            <w:gridSpan w:val="4"/>
          </w:tcPr>
          <w:p>
            <w:pPr>
              <w:jc w:val="center"/>
              <w:ind w:left="690"/>
              <w:spacing w:after="0"/>
              <w:rPr>
                <w:sz w:val="20"/>
                <w:szCs w:val="20"/>
                <w:color w:val="auto"/>
              </w:rPr>
            </w:pPr>
            <w:r>
              <w:rPr>
                <w:rFonts w:ascii="Arial" w:cs="Arial" w:eastAsia="Arial" w:hAnsi="Arial"/>
                <w:sz w:val="18"/>
                <w:szCs w:val="18"/>
                <w:b w:val="1"/>
                <w:bCs w:val="1"/>
                <w:color w:val="auto"/>
                <w:w w:val="92"/>
              </w:rPr>
              <w:t>For the Year Ended</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6740" w:type="dxa"/>
            <w:vAlign w:val="bottom"/>
            <w:tcBorders>
              <w:bottom w:val="single" w:sz="8" w:color="auto"/>
            </w:tcBorders>
          </w:tcPr>
          <w:p>
            <w:pPr>
              <w:ind w:left="3000"/>
              <w:spacing w:after="0"/>
              <w:rPr>
                <w:sz w:val="20"/>
                <w:szCs w:val="20"/>
                <w:color w:val="auto"/>
              </w:rPr>
            </w:pPr>
            <w:r>
              <w:rPr>
                <w:rFonts w:ascii="Arial" w:cs="Arial" w:eastAsia="Arial" w:hAnsi="Arial"/>
                <w:sz w:val="18"/>
                <w:szCs w:val="18"/>
                <w:b w:val="1"/>
                <w:bCs w:val="1"/>
                <w:color w:val="auto"/>
              </w:rPr>
              <w:t>(in Euros)</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center"/>
              <w:ind w:left="710"/>
              <w:spacing w:after="0"/>
              <w:rPr>
                <w:sz w:val="20"/>
                <w:szCs w:val="20"/>
                <w:color w:val="auto"/>
              </w:rPr>
            </w:pPr>
            <w:r>
              <w:rPr>
                <w:rFonts w:ascii="Arial" w:cs="Arial" w:eastAsia="Arial" w:hAnsi="Arial"/>
                <w:sz w:val="18"/>
                <w:szCs w:val="18"/>
                <w:b w:val="1"/>
                <w:bCs w:val="1"/>
                <w:color w:val="auto"/>
                <w:w w:val="90"/>
              </w:rPr>
              <w:t>December 31,</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36"/>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(6,044,581</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(2,490,187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67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(20,871</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6"/>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1,389,316</w:t>
            </w: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14,768,202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6740" w:type="dxa"/>
            <w:vAlign w:val="bottom"/>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220" w:type="dxa"/>
            <w:vAlign w:val="bottom"/>
          </w:tcPr>
          <w:p>
            <w:pPr>
              <w:spacing w:after="0"/>
              <w:rPr>
                <w:sz w:val="17"/>
                <w:szCs w:val="17"/>
                <w:color w:val="auto"/>
              </w:rPr>
            </w:pPr>
          </w:p>
        </w:tc>
        <w:tc>
          <w:tcPr>
            <w:tcW w:w="4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(4,676,136)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12,278,015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20,141,379</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7,863,364</w:t>
            </w:r>
          </w:p>
        </w:tc>
        <w:tc>
          <w:tcPr>
            <w:tcW w:w="80" w:type="dxa"/>
            <w:vAlign w:val="bottom"/>
            <w:shd w:val="clear" w:color="auto" w:fill="CCEEFF"/>
          </w:tcPr>
          <w:p>
            <w:pPr>
              <w:spacing w:after="0"/>
              <w:rPr>
                <w:sz w:val="20"/>
                <w:szCs w:val="20"/>
                <w:color w:val="auto"/>
              </w:rPr>
            </w:pPr>
          </w:p>
        </w:tc>
      </w:tr>
      <w:tr>
        <w:trPr>
          <w:trHeight w:val="203"/>
        </w:trPr>
        <w:tc>
          <w:tcPr>
            <w:tcW w:w="6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Cash and cash equivalents at end of year</w:t>
            </w: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15,465,243</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20,141,379</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year ended December 31, 2020, operating activities used approximately €6.0 million of cash and cash equivalents, resulting from our net loss of approximately €5.6 million and by cash used for changes in our operating assets and liabilities of approximately €0.9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stock-based compensation expense and a deminimus amount of depreciation and retirement benefit obligation expense.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9" w:name="page90"/>
    <w:bookmarkEnd w:id="89"/>
    <w:p>
      <w:pPr>
        <w:ind w:right="80" w:firstLine="648"/>
        <w:spacing w:after="0" w:line="257" w:lineRule="auto"/>
        <w:rPr>
          <w:sz w:val="20"/>
          <w:szCs w:val="20"/>
          <w:color w:val="auto"/>
        </w:rPr>
      </w:pPr>
      <w:r>
        <w:rPr>
          <w:rFonts w:ascii="Arial" w:cs="Arial" w:eastAsia="Arial" w:hAnsi="Arial"/>
          <w:sz w:val="18"/>
          <w:szCs w:val="18"/>
          <w:color w:val="auto"/>
        </w:rPr>
        <w:t>During the year ended December 31, 2019, operating activities used approximately €2.5 million of cash and cash equivalents, resulting from our net loss of approximately €4.6 million partially offset by cash provided by changes in our operating assets and liabilities of approximately €1.4 million and non-cash charges of approximately €0.7 million. The net changes in our operating assets and liabilities were primarily due to an increase in accruals and liabilities linked to the clinical trials made in cooperation with Ospedale San Raffaele and the related clinical manufacturers. The non-cash charges relate primarily to approximately €0.7 million of share-based compensation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year ended December 31, 2020, net cash provided by financing activities was approximately €1.4 million, primarily consisting of net cash proceeds from the sale of our class E quota, which raised net proceeds of approximately €1.4 million.</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During the year ended December 31, 2019, net cash provided by financing activities was approximately €14.8 million, consisting of net cash proceeds received from the rounds of equity fundraising that occurred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have financed our operations to date primarily through proceeds from sales of our quotas to our founding quota holders and other third-party investors. We have incurred losses and generated negative cash flows from operations since inception in 2014. To date we have not generated revenue, and we do not expect to generate significant revenues from the sale of our product candidates in the near future.</w:t>
      </w:r>
    </w:p>
    <w:p>
      <w:pPr>
        <w:spacing w:after="0" w:line="16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As of December 31, 2020, our cash and cash equivalents were approximately €15.5 million. Our primary cash obligations relate to payments to OSR pursuant to our license agreement and other providers of clinical trial related services. We believe that our existing cash and cash equivalents will be sufficient to fund our projected cash requirements through the fourth quarter of 2022. Therefore, we will require significant additional financing in the future to fund our operations. As we continue to assess the effects of the COVID-19 pandemic, we do believe that it is possible that the COVID- 19 pandemic may make financing opportunities scarcer or more difficult or, if such funds are available to us, that such additional financing may not be available in an amount that is sufficient to meet our needs. Our failure to raise capital or enter into such other arrangements when needed would have a negative impact on our financial condition and could force us to delay, reduce or terminate our planned clinical trials or other operations, or grant rights to develop and commercialize product candidates that we would otherwise prefer to develop and commercialize ourselves.</w:t>
      </w:r>
    </w:p>
    <w:p>
      <w:pPr>
        <w:spacing w:after="0" w:line="16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currently anticipate that we will require approximately €4.5 million for research and development activities over the course of the next twelve months. We also anticipate that we will require between approximately €4.0 million to approximately €4.2 million for operational expenditures over such twelve-month period, which consists primarily of expenditures for supporting preclinical studies required for obtaining approval to conduct such clinical studies for our product candidates, general and administration labor costs, and fundraising activities. In light of our financial condition, we reduced our operating expenses, including for those purposes listed above, before the start of the COVID-19 pandemic. There can be no assurance that the analysis that we have undertaken or remedial measures that have been enacted will enable us to avoid part or all of any impact from the spread of COVID-19 or its consequences.</w:t>
      </w:r>
    </w:p>
    <w:p>
      <w:pPr>
        <w:spacing w:after="0" w:line="19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This expected use of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We cannot predict with certainty all of the particular uses for the net proceeds to be received upon the closing of this offering or the amounts that we will actually spend on the uses set forth above. Predicting the cost necessary to commercialize approved products and develop product candidates can be difficult and the amounts and timing of our actual expenditures may vary significantly depending on numerous factors, including the progress of our development, our plans to develop our in-house drug product and vector manufacturing capabilities, the status of and results from clinical trials, any collaborations that we may enter into with third parties for our product candidates and any unforeseen cash needs. As a result, our management will retain broad discretion over the allocation of the net proceeds from this offering.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0" w:name="page91"/>
    <w:bookmarkEnd w:id="90"/>
    <w:p>
      <w:pPr>
        <w:ind w:firstLine="648"/>
        <w:spacing w:after="0" w:line="263" w:lineRule="auto"/>
        <w:rPr>
          <w:sz w:val="20"/>
          <w:szCs w:val="20"/>
          <w:color w:val="auto"/>
        </w:rPr>
      </w:pPr>
      <w:r>
        <w:rPr>
          <w:rFonts w:ascii="Arial" w:cs="Arial" w:eastAsia="Arial" w:hAnsi="Arial"/>
          <w:sz w:val="18"/>
          <w:szCs w:val="18"/>
          <w:color w:val="auto"/>
        </w:rPr>
        <w:t>Based on our planned use of the net proceeds from this offering and our existing cash, we estimate that such funds will be sufficient to fund our operations and capital expenditure requirements into 2024. We have based this estimate on assumptions that may prove to be wrong, and we could use our available capital resources sooner than we currently expect.</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our operating plans may change as a result of many factors that may currently be unknown to us, and we may need to seek additional funds sooner than planned. Our future capital requirements will depend on many factors, including:</w:t>
      </w:r>
    </w:p>
    <w:p>
      <w:pPr>
        <w:spacing w:after="0" w:line="170"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length of the COVID-19 pandemic and its impact on our planned clinical trials, operations and financial condition;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cost that we may incur under in- and out-licensing arrangements relating to our product candidate that we may enter into in the future;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of, and timing for, amending current manufacturing agreements for production of sufficient clinical and commercial quantities of our product candidates, or entering into new agreement with existing or new CMOs;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potential costs of contracting with third parties to provide marketing and distribution services for us or for building such capacities internally;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of acquiring or undertaking the development and commercialization efforts for additional, future therapeutic applications of our product candidates and the magnitude of our general and administrative expenses.</w:t>
      </w:r>
    </w:p>
    <w:p>
      <w:pPr>
        <w:spacing w:after="0" w:line="170"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Until we can generate significant revenues, if ever, we expect to satisfy our future cash needs through our existing cash, cash equivalents and short-term deposits, the net proceeds from this current offering, loans, debt or equity financings.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believe that the accounting policies described below are critical in order to understand the judgements and estimates used in the financial statements and to fully understand and evaluate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66" w:lineRule="exact"/>
        <w:rPr>
          <w:sz w:val="20"/>
          <w:szCs w:val="20"/>
          <w:color w:val="auto"/>
        </w:rPr>
      </w:pPr>
    </w:p>
    <w:p>
      <w:pPr>
        <w:ind w:left="660" w:right="62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 especially, OSR, a co-founding quotaholder, significant related party vendor and a leading center for ex-vivo gene therapy for inherited diseases;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 reward the efforts of employees, directors, and certain consultants to promote our growth, our Board of Directors has historically approved, during its existence, various share-based awards, although no share-based awards were granted during the year ended December 31, 2020. All options have been awarded with an exercise price of €1 per quota and, when exercised, were first converted to Quota B of Genenta Science S.r.l. and then to ordinary shares giving effect to our Corporate Conversion. The options granted have the vesting condition that the individual has to remain with us at least one year or as otherwise specified for each person.</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measure share-based awards granted to employees and directors based on the fair value on the date of the grant and recognize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our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Quota B valuations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fair value of the Quota B of Genenta Science S.r.l. underlying our stock-based compensation grants prior to our Corporate Conversion has historically been determined by our board of directors, with input from management and third-party valuations. We believe that the board of directors has the relevant experience and expertise to determine the fair value of the Quota B, when also securing third-party assistance. Given the absence of a public trading market of our equity, and in accordance with the American Institute of Certified Public Accountants Practice Aid, Valuation of Privately-Held Company Equity Securities Issued as Compensation, the board of directors exercised reasonable judgment and considered numerous objective and subjective factors to determine the best estimate of the fair value of our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price of our equity to third-party, arms-length, sophisticated, and qualified investors, which was used in the OPM backsolve model;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Quota C, D, and E preferred equity classes relative to those of our equity;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225"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timing, progress and results of our preclinical studies and clinical trials for our programs and product candidates; including statements regarding the timing of initiation and completion of trials or studies and related preparatory work, the period during which the results of the trials will become available and our research and development programs;</w:t>
      </w:r>
    </w:p>
    <w:p>
      <w:pPr>
        <w:spacing w:after="0" w:line="183"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given prevailing market conditions, or other liquidation events for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93" w:name="page94"/>
    <w:bookmarkEnd w:id="93"/>
    <w:p>
      <w:pPr>
        <w:ind w:firstLine="648"/>
        <w:spacing w:after="0" w:line="279" w:lineRule="auto"/>
        <w:rPr>
          <w:sz w:val="20"/>
          <w:szCs w:val="20"/>
          <w:color w:val="auto"/>
        </w:rPr>
      </w:pPr>
      <w:r>
        <w:rPr>
          <w:rFonts w:ascii="Arial" w:cs="Arial" w:eastAsia="Arial" w:hAnsi="Arial"/>
          <w:sz w:val="17"/>
          <w:szCs w:val="17"/>
          <w:color w:val="auto"/>
        </w:rPr>
        <w:t>In valuing the Quota B, the board of directors determined the equity value of our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 Company Equity Securities Issued as Compensation. Our option valuations were prepared using an option pricing method (“OPM”), which used market approaches to estimate our enterprise value.</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OPM treats each equity class as a call options on the total equity value of a company, with exercise prices </w:t>
      </w:r>
      <w:r>
        <w:rPr>
          <w:rFonts w:ascii="Arial" w:cs="Arial" w:eastAsia="Arial" w:hAnsi="Arial"/>
          <w:sz w:val="18"/>
          <w:szCs w:val="18"/>
          <w:i w:val="1"/>
          <w:iCs w:val="1"/>
          <w:color w:val="auto"/>
        </w:rPr>
        <w:t>(i.e.</w:t>
      </w:r>
      <w:r>
        <w:rPr>
          <w:rFonts w:ascii="Arial" w:cs="Arial" w:eastAsia="Arial" w:hAnsi="Arial"/>
          <w:sz w:val="18"/>
          <w:szCs w:val="18"/>
          <w:color w:val="auto"/>
        </w:rPr>
        <w:t>,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Application of our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Quota B, and consequently, our share-based compensation expense could be materially different. For valuations after the completion of an initial public offering, the board of directors will determine the fair value of each share of underlying equity shares based on the closing price of the shares as reported on the date of grant.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tax credit receivables</w:t>
      </w:r>
    </w:p>
    <w:p>
      <w:pPr>
        <w:spacing w:after="0" w:line="225"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6"/>
          <w:szCs w:val="16"/>
          <w:color w:val="auto"/>
        </w:rPr>
        <w:t xml:space="preserve">We account for our research and development tax credit receivable in accordance with IAS 20 </w:t>
      </w:r>
      <w:r>
        <w:rPr>
          <w:rFonts w:ascii="Arial" w:cs="Arial" w:eastAsia="Arial" w:hAnsi="Arial"/>
          <w:sz w:val="16"/>
          <w:szCs w:val="16"/>
          <w:i w:val="1"/>
          <w:iCs w:val="1"/>
          <w:color w:val="auto"/>
        </w:rPr>
        <w:t>Accounting for Government Grants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of Government Assistance</w:t>
      </w:r>
      <w:r>
        <w:rPr>
          <w:rFonts w:ascii="Arial" w:cs="Arial" w:eastAsia="Arial" w:hAnsi="Arial"/>
          <w:sz w:val="16"/>
          <w:szCs w:val="16"/>
          <w:color w:val="auto"/>
        </w:rPr>
        <w:t>. The receivable is recognized when there is reasonable assurance that: (1) the recipient will comply with the relevant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(2) the grant will be received. We elected to present the credit net of the related expenditure on the statements of operations and comprehensive loss.</w:t>
      </w:r>
    </w:p>
    <w:p>
      <w:pPr>
        <w:spacing w:after="0" w:line="2"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While these tax credits can be carried forward indefinitely, we recognized an amount which reflects management’s best estimate of the amount that is reasonably assured to be realized or utilized in the foreseeable future based on historical benefits realized, adjusted for expected changes, as applicable.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an “emerging growth company.” Under the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have not engaged in any off-balance sheet arrangements, such as the use of unconsolidated subsidiaries, structured finance, special purpose entities or variable interest entities.</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do not believe that our off-balance sheet arrangements and commitments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results of operations and cash flow are not subject to significant fluctuations due to changes in foreign currency exchange rates. As discussed above, most of our liquid assets and our expenses are denominated in EUR. Changes of 5% and 10% in the USD/EUR exchange rate would not have significantly increased/decreased our operating expenses. As we continue to grow our business, our results of operations and cash flows might be subject to fluctuations due to changes in foreign currency exchange rates, which could adversely impact our results of operations.</w:t>
      </w:r>
    </w:p>
    <w:p>
      <w:pPr>
        <w:spacing w:after="0" w:line="17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that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We believe there are many advantages to our approach:</w:t>
      </w:r>
    </w:p>
    <w:p>
      <w:pPr>
        <w:spacing w:after="0" w:line="214" w:lineRule="exact"/>
        <w:rPr>
          <w:sz w:val="20"/>
          <w:szCs w:val="20"/>
          <w:color w:val="auto"/>
        </w:rPr>
      </w:pPr>
    </w:p>
    <w:p>
      <w:pPr>
        <w:ind w:left="660" w:right="14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500" w:hanging="328"/>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Potential Long-Term Effect: </w:t>
      </w:r>
      <w:r>
        <w:rPr>
          <w:rFonts w:ascii="Arial" w:cs="Arial" w:eastAsia="Arial" w:hAnsi="Arial"/>
          <w:sz w:val="17"/>
          <w:szCs w:val="17"/>
          <w:color w:val="auto"/>
        </w:rPr>
        <w:t>Through the use of stem cells, our therapeutic candidate is designed as a “</w:t>
      </w:r>
      <w:r>
        <w:rPr>
          <w:rFonts w:ascii="Arial" w:cs="Arial" w:eastAsia="Arial" w:hAnsi="Arial"/>
          <w:sz w:val="17"/>
          <w:szCs w:val="17"/>
          <w:i w:val="1"/>
          <w:iCs w:val="1"/>
          <w:color w:val="auto"/>
        </w:rPr>
        <w:t>living therapy</w:t>
      </w:r>
      <w:r>
        <w:rPr>
          <w:rFonts w:ascii="Arial" w:cs="Arial" w:eastAsia="Arial" w:hAnsi="Arial"/>
          <w:sz w:val="17"/>
          <w:szCs w:val="17"/>
          <w:color w:val="auto"/>
        </w:rPr>
        <w:t>” intended to break the</w:t>
      </w:r>
      <w:r>
        <w:rPr>
          <w:rFonts w:ascii="Arial" w:cs="Arial" w:eastAsia="Arial" w:hAnsi="Arial"/>
          <w:sz w:val="17"/>
          <w:szCs w:val="17"/>
          <w:i w:val="1"/>
          <w:iCs w:val="1"/>
          <w:color w:val="auto"/>
        </w:rPr>
        <w:t xml:space="preserve"> </w:t>
      </w:r>
      <w:r>
        <w:rPr>
          <w:rFonts w:ascii="Arial" w:cs="Arial" w:eastAsia="Arial" w:hAnsi="Arial"/>
          <w:sz w:val="17"/>
          <w:szCs w:val="17"/>
          <w:color w:val="auto"/>
        </w:rPr>
        <w:t>cancer-induced immune tolerance and to establish a competent immune surveillance throughout the life of the patient.</w:t>
      </w:r>
    </w:p>
    <w:p>
      <w:pPr>
        <w:spacing w:after="0" w:line="105" w:lineRule="exact"/>
        <w:rPr>
          <w:rFonts w:ascii="Arial" w:cs="Arial" w:eastAsia="Arial" w:hAnsi="Arial"/>
          <w:sz w:val="17"/>
          <w:szCs w:val="17"/>
          <w:color w:val="auto"/>
        </w:rPr>
      </w:pPr>
    </w:p>
    <w:p>
      <w:pPr>
        <w:ind w:left="660" w:right="4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CAR-T cells, our platform is not restricted to a pre-selected tumor antigen, nor any one tumor</w:t>
      </w:r>
      <w:r>
        <w:rPr>
          <w:rFonts w:ascii="Arial" w:cs="Arial" w:eastAsia="Arial" w:hAnsi="Arial"/>
          <w:sz w:val="18"/>
          <w:szCs w:val="18"/>
          <w:i w:val="1"/>
          <w:iCs w:val="1"/>
          <w:color w:val="auto"/>
        </w:rPr>
        <w:t xml:space="preserve"> </w:t>
      </w:r>
      <w:r>
        <w:rPr>
          <w:rFonts w:ascii="Arial" w:cs="Arial" w:eastAsia="Arial" w:hAnsi="Arial"/>
          <w:sz w:val="18"/>
          <w:szCs w:val="18"/>
          <w:color w:val="auto"/>
        </w:rPr>
        <w:t>type. As such, it may be applied to a broad range of solid tumors and cancer subtypes, which would overcome one of the central unresolved challenges of immune-oncology cancer therapies.</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w:t>
      </w:r>
      <w:r>
        <w:rPr>
          <w:rFonts w:ascii="Arial" w:cs="Arial" w:eastAsia="Arial" w:hAnsi="Arial"/>
          <w:sz w:val="16"/>
          <w:szCs w:val="16"/>
          <w:b w:val="1"/>
          <w:bCs w:val="1"/>
          <w:color w:val="auto"/>
        </w:rPr>
        <w:t>-</w:t>
      </w:r>
      <w:r>
        <w:rPr>
          <w:rFonts w:ascii="Arial" w:cs="Arial" w:eastAsia="Arial" w:hAnsi="Arial"/>
          <w:sz w:val="16"/>
          <w:szCs w:val="16"/>
          <w:color w:val="auto"/>
        </w:rPr>
        <w:t>modified TEMs express the transgene payload, IFN-α, in the tumor microenvironment resulting in the breakdown of tumor induced immune-tolerance. As a result, the immune system can ecognize the tumor, respond, and inhibit tumor growth. Because Temferon is designed to deliver the IFN-α payload directly to the tumor, we believe it will demonstrate clinical activity without the side effect profile of systemic delivery of IFN-α. In preclinical mouse models treated with Temferon both direct (anti-angiogenic, pro-apoptotic) and indirect (immune response) effects were observed.</w:t>
      </w:r>
    </w:p>
    <w:p>
      <w:pPr>
        <w:spacing w:after="0" w:line="191"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We are currently developing Temferon for the treatment of glioblastoma multiforme (GBM). GBM is the most common malignant primary brain tumor, accounting for more than half of all central nervous system (CNS) cancers. Patients suffering from GBM have limited, non-curative treatment options. Although these treatments may improve survival, the prognosis for GBM patients remains poor, with a median overall survival (mOS) of approximately 13 to 15 months and only 5.5% of patients estimated to be alive 5 years after diagnosis. With no curative treatments available and such poor prognosis for patients, there remains a large, unmet medical need. We chose GBM among our first targets for clinical development after considering the medical need, the active role that TEMs have in GBM pathology, and the high number of newly diagnosed GBM patients potentially interested in participating in our study. As a result, we believe GBM offers a good profile for our initial proof of concept trial in humans. We are currently conducting a two-part, Phase 1/2a clinical trial with Temferon in newly diagnosed GBM patients in Italy. We anticipate completing enrollment of Part A of our study by the first quarter of 2021 and patient dosing by the second quarter of 2021. We intend to use the preliminary results of our Phase 1/2a clinical trial to support</w:t>
      </w:r>
    </w:p>
    <w:p>
      <w:pPr>
        <w:spacing w:after="0" w:line="6"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our IND application to the US Food and Drug Administration (FDA) for approval to conduct a Phase 1/2b trial in GBM in the U.S. As of April 1</w:t>
      </w:r>
      <w:r>
        <w:rPr>
          <w:rFonts w:ascii="Arial" w:cs="Arial" w:eastAsia="Arial" w:hAnsi="Arial"/>
          <w:sz w:val="29"/>
          <w:szCs w:val="29"/>
          <w:color w:val="auto"/>
          <w:vertAlign w:val="superscript"/>
        </w:rPr>
        <w:t>st</w:t>
      </w:r>
      <w:r>
        <w:rPr>
          <w:rFonts w:ascii="Arial" w:cs="Arial" w:eastAsia="Arial" w:hAnsi="Arial"/>
          <w:sz w:val="18"/>
          <w:szCs w:val="18"/>
          <w:color w:val="auto"/>
        </w:rPr>
        <w:t>, 2021, we have dosed a total of 12 patients. The preliminary results show that Temferon has been generally well tolerated, with no dose limiting toxicities identified so far.</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5" w:right="379" w:bottom="1440" w:gutter="0" w:footer="0" w:header="0"/>
        </w:sectPr>
      </w:pPr>
    </w:p>
    <w:bookmarkStart w:id="96" w:name="page97"/>
    <w:bookmarkEnd w:id="96"/>
    <w:p>
      <w:pPr>
        <w:ind w:firstLine="648"/>
        <w:spacing w:after="0" w:line="269" w:lineRule="auto"/>
        <w:rPr>
          <w:sz w:val="20"/>
          <w:szCs w:val="20"/>
          <w:color w:val="auto"/>
        </w:rPr>
      </w:pPr>
      <w:r>
        <w:rPr>
          <w:rFonts w:ascii="Arial" w:cs="Arial" w:eastAsia="Arial" w:hAnsi="Arial"/>
          <w:sz w:val="17"/>
          <w:szCs w:val="17"/>
          <w:color w:val="auto"/>
        </w:rPr>
        <w:t>We also intend to develop Temferon for the treatment of other solid tumor indications, and including locally advanced hepatocellular carcinoma (HCC) and intra-hepatic cholangiocarcinoma (ICC) are our leading choices so far.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having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 We intend to submit a Clinical Trial Application (CTA) for conducting a Phase 1/2a study of Temferon in HCC and ICC or in a different solid tumor indication to the Italian Medicines Agency (Agenzia Italiana del Farmaco, or AIFA), the public institution responsible for the regulatory activity of pharmaceuticals in Italy, and we anticipate initiating the trial in the second quarter of 2022, subject to feedback from these regulatory authorities.</w:t>
      </w:r>
    </w:p>
    <w:p>
      <w:pPr>
        <w:spacing w:after="0" w:line="21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addition to our Temferon programs that target GBM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We rely on our current contract manufacturing organization (CMO), AGC Biologics, based in Italy, to manufacture LVV and Temferon for us. After the completion of our Phase 1/2b study we intend to use a US-based CMO to supply our drug product (DP) for conducting larger trials in the U.S. Therefore, we are working with AGC Biologics to plan the required tech transfer activities for drug product manufacturing and the scale up of our LVV manufacturing process to support larger trials.</w:t>
      </w:r>
    </w:p>
    <w:p>
      <w:pPr>
        <w:spacing w:after="0" w:line="21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(Ospedale San Raffaele or OSR) in Milan, a globally recognized premier research hospital for </w:t>
      </w:r>
      <w:r>
        <w:rPr>
          <w:rFonts w:ascii="Arial" w:cs="Arial" w:eastAsia="Arial" w:hAnsi="Arial"/>
          <w:sz w:val="17"/>
          <w:szCs w:val="17"/>
          <w:i w:val="1"/>
          <w:iCs w:val="1"/>
          <w:color w:val="auto"/>
        </w:rPr>
        <w:t xml:space="preserve">ex-vivo </w:t>
      </w:r>
      <w:r>
        <w:rPr>
          <w:rFonts w:ascii="Arial" w:cs="Arial" w:eastAsia="Arial" w:hAnsi="Arial"/>
          <w:sz w:val="17"/>
          <w:szCs w:val="17"/>
          <w:color w:val="auto"/>
        </w:rPr>
        <w:t>gene therapy, with Pierluigi Paracchi (our CEO), Luigi Naldini (Chairman of our Executive Scientific Board) and Bernhard Gentner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Executive Scientific Board), to develop potential ground-breaking cell and gene cancer therapies. We leverage the vast experience in LVV technology of the San Raffaele Telethon Institute for Gene Therapy (SR-Tiget), a world leading cell and gene therapy research institution on the forefront of developing therapies for rare diseases that is a joint venture between OSR and Fondazione Telethon (Telethon).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that give rise to approved products, including Strimvelis,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gammaretroviral vector-based gene therapy for adenosine deaminase severe combined immunodeficiency (ADA-SCID), and Libmeldy,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exclusive option rights, to certain intellectual property originating there.</w:t>
      </w:r>
    </w:p>
    <w:p>
      <w:pPr>
        <w:spacing w:after="0" w:line="21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Our leadership team has a proven track record as biotech executives. Their expertise span from finance and venture capital to medical affairs, scientific research, clinical drug product development and clinical trial management and conduction. For example, members of our management team have been involved in the successful development of Ethical Oncology Science, which was acquired in 2013 for over $400 million, and Strimvelis the first ever approved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product that was developed under the guide of Carlo Russo, our Chief Medical Officer and Head of Development (formerly Head of Development of the Biopharm Unit and Head of Research &amp; Development of the Rare Disease Unit at GSK). Our management team members have played important roles in both large pharma companies such as Merck and GSK, and life science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Our portfolio of clinical and preclinical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autologous gene cancer therapies is based on our technology platform, which was originally developed in our founders’ laboratories at OSR. Through our collaboration with OSR, we have worldwide commercial rights to Temferon (though our current trademark rights to Temferon are limited to the US and Europe)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ICI, CAR-T cell therapies and TCR therapies.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pipeline, with clinical and preclinical stage programs,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GBM patients and patients suffering from another solid cancer indication such as HCC and ICC, but ultimately, we hope to broaden our platform to treat a wide variety of cancers by pursuing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currently conducting a Phase 1/2a dose-escalation study in Italy to primarily evaluate the safety and tolerability of Temferon in up to 21 GBM patients who have an unmethylated MGMT promoter, following radiotherapy treatment. We plan to initiate a Phase 1/2b trial in the U.S. to evaluate the safety and efficacy of Temferon in up to 30 GBM patients who have an unmethylated MGMT promoter, following radiotherapy, where we intend to measure progression free survival (PFS) and overall survival (OS) as endpoints. We are planning a pre-IND meeting with the FDA by the end of the second quarter of 2021 to discuss the proposed clinical program and drug product manufacturing. The study design may change as a result of discussions with regulatory bodies, key opinion leaders and partnering clinical centers.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Expand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expand our product pipeline by:</w:t>
      </w:r>
    </w:p>
    <w:p>
      <w:pPr>
        <w:spacing w:after="0" w:line="252" w:lineRule="exact"/>
        <w:rPr>
          <w:sz w:val="20"/>
          <w:szCs w:val="20"/>
          <w:color w:val="auto"/>
        </w:rPr>
      </w:pPr>
    </w:p>
    <w:p>
      <w:pPr>
        <w:ind w:left="660" w:hanging="328"/>
        <w:spacing w:after="0" w:line="301"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Identifying additional indications suitable for Temferon. We are in the planning stages for a second study using Temferon in locally advanced HCC and ICC, our current leading solid tumor indications so far. The Istituto Superiore di Sanita (ISS), an independent committee with oversight from the Italian Ministry of Health, must issue a positive opinion regarding our CTA before AIFA will approve it. In addition to these indications, we believe there may be additional cancer indications which actively recruit TEMs to proliferate for which Temferon may be a suitable therapy.</w:t>
      </w:r>
    </w:p>
    <w:p>
      <w:pPr>
        <w:spacing w:after="0" w:line="116" w:lineRule="exact"/>
        <w:rPr>
          <w:rFonts w:ascii="Arial" w:cs="Arial" w:eastAsia="Arial" w:hAnsi="Arial"/>
          <w:sz w:val="16"/>
          <w:szCs w:val="16"/>
          <w:color w:val="auto"/>
        </w:rPr>
      </w:pPr>
    </w:p>
    <w:p>
      <w:pPr>
        <w:ind w:left="660" w:right="8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Using our platform with different transgene payloads</w:t>
      </w:r>
      <w:r>
        <w:rPr>
          <w:rFonts w:ascii="Arial" w:cs="Arial" w:eastAsia="Arial" w:hAnsi="Arial"/>
          <w:sz w:val="18"/>
          <w:szCs w:val="18"/>
          <w:color w:val="auto"/>
        </w:rPr>
        <w:t>. Our platform technology is designed to enable us to use different transgene payloads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420" w:hanging="328"/>
        <w:spacing w:after="0" w:line="311"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108" w:lineRule="exact"/>
        <w:rPr>
          <w:rFonts w:ascii="Arial" w:cs="Arial" w:eastAsia="Arial" w:hAnsi="Arial"/>
          <w:sz w:val="16"/>
          <w:szCs w:val="16"/>
          <w:color w:val="auto"/>
        </w:rPr>
      </w:pPr>
    </w:p>
    <w:p>
      <w:pPr>
        <w:ind w:left="660" w:right="60" w:hanging="328"/>
        <w:spacing w:after="0" w:line="286"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Exploring combination therapies</w:t>
      </w:r>
      <w:r>
        <w:rPr>
          <w:rFonts w:ascii="Arial" w:cs="Arial" w:eastAsia="Arial" w:hAnsi="Arial"/>
          <w:sz w:val="17"/>
          <w:szCs w:val="17"/>
          <w:color w:val="auto"/>
        </w:rPr>
        <w:t>. We will seek to enter into collaborations with other companies to explore combination studies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therapeutics with other cancer therapies, such as ICI, CAR-T cell therapies and TCR therapies. We believe our product, as a result of its MoA, has the potential to enhance the durability and efficacy of the existing therapies, thus abolishing the immune tolerance to the tumor.</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Exploiting in-licensing opportunities with OSR</w:t>
      </w:r>
      <w:r>
        <w:rPr>
          <w:rFonts w:ascii="Arial" w:cs="Arial" w:eastAsia="Arial" w:hAnsi="Arial"/>
          <w:sz w:val="18"/>
          <w:szCs w:val="18"/>
          <w:color w:val="auto"/>
        </w:rPr>
        <w:t>. We intend to exploit in-licensing opportunities with OSR, a co-founding shareholder.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To meet our drug product supply needs for conducting larger trials after the completion of our planned Phase 1/2b GBM study in the United States, we intend to enter into a supply agreement with a US-based CMO for the manufacturing of our products. Currently, Temferon, is manufactured by AGC Biologics, a leading global contract development and manufacturing organization (CDMO), which is headquartered in Italy and specializes in the manufacturing of viral vectors and genetically engineered cells. Their facility is certified by AIFA. We are currently working with AGC Biologics to plan the required tech activities for transferring the drug product manufacturing to a US CMO and the scale up of our LVV manufacturing process to support larger trials.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a GBM IND trial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choose to partner with larger pharmaceutical companies whose core competencies and oncology strategies are in line with ours.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 xml:space="preserve">We believe that our growing body of early clinical data evidencing the potential of our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176" w:lineRule="exact"/>
        <w:rPr>
          <w:sz w:val="20"/>
          <w:szCs w:val="20"/>
          <w:color w:val="auto"/>
        </w:rPr>
      </w:pPr>
    </w:p>
    <w:p>
      <w:pPr>
        <w:ind w:left="660" w:hanging="328"/>
        <w:spacing w:after="0" w:line="288"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 OSR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123" w:lineRule="exact"/>
        <w:rPr>
          <w:rFonts w:ascii="Arial" w:cs="Arial" w:eastAsia="Arial" w:hAnsi="Arial"/>
          <w:sz w:val="16"/>
          <w:szCs w:val="16"/>
          <w:color w:val="auto"/>
        </w:rPr>
      </w:pPr>
    </w:p>
    <w:p>
      <w:pPr>
        <w:ind w:left="660" w:right="20" w:hanging="328"/>
        <w:spacing w:after="0" w:line="282"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programs, gives us the ability to grow our pipeline by targeting a broad set of cancer diseases.</w:t>
      </w:r>
    </w:p>
    <w:p>
      <w:pPr>
        <w:spacing w:after="0" w:line="121" w:lineRule="exact"/>
        <w:rPr>
          <w:rFonts w:ascii="Arial" w:cs="Arial" w:eastAsia="Arial" w:hAnsi="Arial"/>
          <w:sz w:val="18"/>
          <w:szCs w:val="18"/>
          <w:color w:val="auto"/>
        </w:rPr>
      </w:pPr>
    </w:p>
    <w:p>
      <w:pPr>
        <w:ind w:left="660" w:right="140" w:hanging="328"/>
        <w:spacing w:after="0" w:line="282" w:lineRule="auto"/>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Durable therapeutic potential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Preliminary interim clinical data collected from twelve treated GBM patients following a single administration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Temferon displayed modified cells at 18 months, the last measured timepoint to date.</w:t>
      </w:r>
    </w:p>
    <w:p>
      <w:pPr>
        <w:spacing w:after="0" w:line="121" w:lineRule="exact"/>
        <w:rPr>
          <w:rFonts w:ascii="Arial" w:cs="Arial" w:eastAsia="Arial" w:hAnsi="Arial"/>
          <w:sz w:val="18"/>
          <w:szCs w:val="18"/>
          <w:b w:val="1"/>
          <w:bCs w:val="1"/>
          <w:color w:val="auto"/>
        </w:rPr>
      </w:pPr>
    </w:p>
    <w:p>
      <w:pPr>
        <w:ind w:left="660" w:right="60" w:hanging="328"/>
        <w:spacing w:after="0" w:line="314" w:lineRule="auto"/>
        <w:tabs>
          <w:tab w:leader="none" w:pos="66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Tumor restricted therapeutic payload delivery and release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to the design of our transgene expression cassette, we restrict payload expression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05" w:lineRule="exact"/>
        <w:rPr>
          <w:rFonts w:ascii="Arial" w:cs="Arial" w:eastAsia="Arial" w:hAnsi="Arial"/>
          <w:sz w:val="16"/>
          <w:szCs w:val="16"/>
          <w:b w:val="1"/>
          <w:bCs w:val="1"/>
          <w:color w:val="auto"/>
        </w:rPr>
      </w:pPr>
    </w:p>
    <w:p>
      <w:pPr>
        <w:ind w:left="660" w:right="120" w:hanging="328"/>
        <w:spacing w:after="0" w:line="308" w:lineRule="auto"/>
        <w:tabs>
          <w:tab w:leader="none" w:pos="66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Agnostic approach. </w:t>
      </w:r>
      <w:r>
        <w:rPr>
          <w:rFonts w:ascii="Arial" w:cs="Arial" w:eastAsia="Arial" w:hAnsi="Arial"/>
          <w:sz w:val="17"/>
          <w:szCs w:val="17"/>
          <w:color w:val="auto"/>
        </w:rPr>
        <w:t>Our immune-gene therapy approach is a tumor-agnostic investigational immunotherapy since it does not rely on any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 or tumor type, and therefore could be successfully applied to a potentially broad range of cancers and immune contexts.</w:t>
      </w:r>
    </w:p>
    <w:p>
      <w:pPr>
        <w:spacing w:after="0" w:line="105" w:lineRule="exact"/>
        <w:rPr>
          <w:rFonts w:ascii="Arial" w:cs="Arial" w:eastAsia="Arial" w:hAnsi="Arial"/>
          <w:sz w:val="17"/>
          <w:szCs w:val="17"/>
          <w:b w:val="1"/>
          <w:bCs w:val="1"/>
          <w:color w:val="auto"/>
        </w:rPr>
      </w:pPr>
    </w:p>
    <w:p>
      <w:pPr>
        <w:ind w:left="660" w:right="100" w:hanging="328"/>
        <w:spacing w:after="0" w:line="263" w:lineRule="auto"/>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 novel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b w:val="1"/>
          <w:bCs w:val="1"/>
          <w:color w:val="auto"/>
        </w:rPr>
      </w:pPr>
    </w:p>
    <w:p>
      <w:pPr>
        <w:jc w:val="both"/>
        <w:ind w:left="660" w:right="60" w:hanging="328"/>
        <w:spacing w:after="0" w:line="311"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Active and sustained tumor surveillance. </w:t>
      </w:r>
      <w:r>
        <w:rPr>
          <w:rFonts w:ascii="Arial" w:cs="Arial" w:eastAsia="Arial" w:hAnsi="Arial"/>
          <w:sz w:val="16"/>
          <w:szCs w:val="16"/>
          <w:color w:val="auto"/>
        </w:rPr>
        <w:t>Our immune-gene investigational therapy is designed to trigger the patient’s own immune response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an active immune surveillance. Our preclinical work, which used different cancer models (B-cell acute lymphoblastic leukemia - B-ALL and GBM) as well as preliminary data collected from our GBM patients, suggests the occurrence of changes in the immune system.</w:t>
      </w:r>
    </w:p>
    <w:p>
      <w:pPr>
        <w:spacing w:after="0" w:line="108" w:lineRule="exact"/>
        <w:rPr>
          <w:rFonts w:ascii="Arial" w:cs="Arial" w:eastAsia="Arial" w:hAnsi="Arial"/>
          <w:sz w:val="16"/>
          <w:szCs w:val="16"/>
          <w:color w:val="auto"/>
        </w:rPr>
      </w:pPr>
    </w:p>
    <w:p>
      <w:pPr>
        <w:ind w:left="660" w:right="54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Fine dose tuning. </w:t>
      </w:r>
      <w:r>
        <w:rPr>
          <w:rFonts w:ascii="Arial" w:cs="Arial" w:eastAsia="Arial" w:hAnsi="Arial"/>
          <w:sz w:val="18"/>
          <w:szCs w:val="18"/>
          <w:color w:val="auto"/>
        </w:rPr>
        <w:t>Our platform gives us the ability to fine tune the dose to be administered to each patient, based on the patient’s own drug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characteristics (drug product’s release specifications).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00" w:name="page101"/>
    <w:bookmarkEnd w:id="100"/>
    <w:p>
      <w:pPr>
        <w:ind w:left="660" w:hanging="328"/>
        <w:spacing w:after="0" w:line="263"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660" w:right="80" w:hanging="328"/>
        <w:spacing w:after="0" w:line="272"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LVV as transgene payload delivery vehicles. </w:t>
      </w:r>
      <w:r>
        <w:rPr>
          <w:rFonts w:ascii="Arial" w:cs="Arial" w:eastAsia="Arial" w:hAnsi="Arial"/>
          <w:sz w:val="17"/>
          <w:szCs w:val="17"/>
          <w:color w:val="auto"/>
        </w:rPr>
        <w:t>LVVs are particularly attractive for clinical applications due to their capacity to transfer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genes/payloads without size constraints and their ability to efficiently transduce non-proliferating or slowly proliferating cells, such as hematopoietic stem and progenitor cells, allowing persistent gene expression in transduced cells. Moreover, LVVs have a reduced risk of genotoxicity compared to gRV. </w:t>
      </w:r>
      <w:r>
        <w:rPr>
          <w:rFonts w:ascii="Arial" w:cs="Arial" w:eastAsia="Arial" w:hAnsi="Arial"/>
          <w:sz w:val="17"/>
          <w:szCs w:val="17"/>
          <w:i w:val="1"/>
          <w:iCs w:val="1"/>
          <w:color w:val="auto"/>
        </w:rPr>
        <w:t>Ex-vivo</w:t>
      </w:r>
      <w:r>
        <w:rPr>
          <w:rFonts w:ascii="Arial" w:cs="Arial" w:eastAsia="Arial" w:hAnsi="Arial"/>
          <w:sz w:val="17"/>
          <w:szCs w:val="17"/>
          <w:color w:val="auto"/>
        </w:rPr>
        <w:t xml:space="preserve"> transduction using LVVs has demonstrated a positive safety profile over the last 10 years. A large number of patients have been treated with LVV marketed gene therapy products and clinical-stage product candidates for rare diseases worldwide, and each of these therapies has been generally well tolerated. We believe that long-term extensive follow-up across multiple diseases, with vectors expressing different genes, demonstrates the potential safety of our autologous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w:t>
      </w:r>
    </w:p>
    <w:p>
      <w:pPr>
        <w:spacing w:after="0" w:line="136"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Current IO Treatments</w:t>
      </w:r>
    </w:p>
    <w:p>
      <w:pPr>
        <w:spacing w:after="0" w:line="25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need for innovation and improvement in cancer treatment has never been a higher priority for the healthcare industry and patients. Despite new therapeutic approaches and new drugs having been developed or approved, substantial unmet need remains for many of the most common cancers. Immuno-oncology therapies seek to work in conjunction with the patient’s own immune system to recognize and attack cancer cells selectively, without affecting normal cells, or to deliver immune system components that prevent the spread of cancer. Immuno-oncology therapy is recognized as an important type of cancer treatment in addition to more established options such as surgery, chemotherapy, targeted therapy and radiation therapy. Indeed, the number of IO therapeutics in development worldwide grew 233% from 2017 to 2020. IO therapeutics, which rely on the natural activity of the immune system to fight cancers in various ways, are grouped, by the Cancer Research Institute, in five main classes reported in the tables below.</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466090</wp:posOffset>
            </wp:positionV>
            <wp:extent cx="5803265" cy="48945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03265" cy="489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Limitations of IO Approaches</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Despite significant advances, the clinical application of immunotherapy for cancer patients still faces challenges, including:</w:t>
      </w:r>
    </w:p>
    <w:p>
      <w:pPr>
        <w:spacing w:after="0" w:line="275"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Development of tumor resistance (positive selection of tumor cells bearing advantageous mutations);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Dependence on specific targets;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Poor response for many patients;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Lack of a durable response;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Side effects;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Need for multiple dosing for most IO classes;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Inability to efficiently target many solid tumors.</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2" w:name="page103"/>
    <w:bookmarkEnd w:id="102"/>
    <w:p>
      <w:pPr>
        <w:ind w:right="320" w:firstLine="648"/>
        <w:spacing w:after="0" w:line="277" w:lineRule="auto"/>
        <w:rPr>
          <w:sz w:val="20"/>
          <w:szCs w:val="20"/>
          <w:color w:val="auto"/>
        </w:rPr>
      </w:pPr>
      <w:r>
        <w:rPr>
          <w:rFonts w:ascii="Arial" w:cs="Arial" w:eastAsia="Arial" w:hAnsi="Arial"/>
          <w:sz w:val="18"/>
          <w:szCs w:val="18"/>
          <w:color w:val="auto"/>
        </w:rPr>
        <w:t>In addition, manufacturing scalability of some IO approaches remains a challenge and significantly limits market penetration. The table below reports some of the main limitations for each IO class.</w:t>
      </w:r>
    </w:p>
    <w:p>
      <w:pPr>
        <w:spacing w:after="0" w:line="189" w:lineRule="exact"/>
        <w:rPr>
          <w:sz w:val="20"/>
          <w:szCs w:val="20"/>
          <w:color w:val="auto"/>
        </w:rPr>
      </w:pPr>
    </w:p>
    <w:p>
      <w:pPr>
        <w:ind w:left="480"/>
        <w:spacing w:after="0"/>
        <w:tabs>
          <w:tab w:leader="none" w:pos="6060" w:val="left"/>
        </w:tabs>
        <w:rPr>
          <w:sz w:val="20"/>
          <w:szCs w:val="20"/>
          <w:color w:val="auto"/>
        </w:rPr>
      </w:pPr>
      <w:r>
        <w:rPr>
          <w:rFonts w:ascii="Arial" w:cs="Arial" w:eastAsia="Arial" w:hAnsi="Arial"/>
          <w:sz w:val="14"/>
          <w:szCs w:val="14"/>
          <w:b w:val="1"/>
          <w:bCs w:val="1"/>
          <w:color w:val="auto"/>
        </w:rPr>
        <w:t>IO Class</w:t>
      </w:r>
      <w:r>
        <w:rPr>
          <w:sz w:val="20"/>
          <w:szCs w:val="20"/>
          <w:color w:val="auto"/>
        </w:rPr>
        <w:tab/>
      </w:r>
      <w:r>
        <w:rPr>
          <w:rFonts w:ascii="Arial" w:cs="Arial" w:eastAsia="Arial" w:hAnsi="Arial"/>
          <w:sz w:val="13"/>
          <w:szCs w:val="13"/>
          <w:b w:val="1"/>
          <w:bCs w:val="1"/>
          <w:color w:val="auto"/>
        </w:rPr>
        <w:t>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100"/>
        <w:spacing w:after="0" w:line="381" w:lineRule="auto"/>
        <w:rPr>
          <w:sz w:val="20"/>
          <w:szCs w:val="20"/>
          <w:color w:val="auto"/>
        </w:rPr>
      </w:pPr>
      <w:r>
        <w:rPr>
          <w:rFonts w:ascii="Arial" w:cs="Arial" w:eastAsia="Arial" w:hAnsi="Arial"/>
          <w:sz w:val="15"/>
          <w:szCs w:val="15"/>
          <w:b w:val="1"/>
          <w:bCs w:val="1"/>
          <w:i w:val="1"/>
          <w:iCs w:val="1"/>
          <w:color w:val="auto"/>
        </w:rPr>
        <w:t>Cell-based immunotherapies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440" w:hanging="326"/>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Graft versus host disease (GVHD)</w:t>
      </w:r>
    </w:p>
    <w:p>
      <w:pPr>
        <w:spacing w:after="0" w:line="23" w:lineRule="exact"/>
        <w:rPr>
          <w:rFonts w:ascii="Arial" w:cs="Arial" w:eastAsia="Arial" w:hAnsi="Arial"/>
          <w:sz w:val="18"/>
          <w:szCs w:val="18"/>
          <w:color w:val="auto"/>
        </w:rPr>
      </w:pPr>
    </w:p>
    <w:p>
      <w:pPr>
        <w:ind w:left="440" w:hanging="326"/>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Only a limited number of antigens may be targeted currently</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Inability to target multiple antigens at the same time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Some antigens targeting may be ineffective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majority of TILs within the tumor microenvironment are exhausted so even tumor-specific T cells are hypo-responsive</w:t>
      </w:r>
    </w:p>
    <w:p>
      <w:pPr>
        <w:spacing w:after="0" w:line="20" w:lineRule="exact"/>
        <w:rPr>
          <w:rFonts w:ascii="Arial" w:cs="Arial" w:eastAsia="Arial" w:hAnsi="Arial"/>
          <w:sz w:val="17"/>
          <w:szCs w:val="17"/>
          <w:color w:val="auto"/>
        </w:rPr>
      </w:pPr>
    </w:p>
    <w:p>
      <w:pPr>
        <w:ind w:left="440" w:right="20" w:hanging="326"/>
        <w:spacing w:after="0" w:line="250"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CAR-T cells can only recognize antigens that are naturally expressed on the cell surface, so the range of potential antigen targets is smaller than with TCRs</w:t>
      </w:r>
    </w:p>
    <w:p>
      <w:pPr>
        <w:ind w:left="440" w:hanging="326"/>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Presence of target-negative tumor cells cause relapse in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-1090930</wp:posOffset>
            </wp:positionV>
            <wp:extent cx="7132320" cy="12344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tabs>
          <w:tab w:leader="none" w:pos="420" w:val="left"/>
        </w:tabs>
        <w:rPr>
          <w:sz w:val="20"/>
          <w:szCs w:val="20"/>
          <w:color w:val="auto"/>
        </w:rPr>
      </w:pPr>
      <w:r>
        <w:rPr>
          <w:sz w:val="1"/>
          <w:szCs w:val="1"/>
          <w:color w:val="auto"/>
        </w:rPr>
        <w:drawing>
          <wp:inline distT="0" distB="0" distL="0" distR="0">
            <wp:extent cx="76835" cy="1143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114300"/>
                    </a:xfrm>
                    <a:prstGeom prst="rect">
                      <a:avLst/>
                    </a:prstGeom>
                    <a:noFill/>
                    <a:ln>
                      <a:noFill/>
                    </a:ln>
                  </pic:spPr>
                </pic:pic>
              </a:graphicData>
            </a:graphic>
          </wp:inline>
        </w:drawing>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Limited penetration and distribution into solid tumor tissues</w:t>
      </w:r>
    </w:p>
    <w:p>
      <w:pPr>
        <w:spacing w:after="0" w:line="200" w:lineRule="exact"/>
        <w:rPr>
          <w:sz w:val="20"/>
          <w:szCs w:val="20"/>
          <w:color w:val="auto"/>
        </w:rPr>
      </w:pPr>
    </w:p>
    <w:p>
      <w:pPr>
        <w:sectPr>
          <w:pgSz w:w="11900" w:h="16838" w:orient="portrait"/>
          <w:cols w:equalWidth="0" w:num="2">
            <w:col w:w="1400" w:space="100"/>
            <w:col w:w="9720"/>
          </w:cols>
          <w:pgMar w:left="320" w:top="719" w:right="359" w:bottom="1440" w:gutter="0" w:footer="0" w:header="0"/>
          <w:type w:val="continuous"/>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Immunomodulators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Vaccines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20" w:right="20"/>
        <w:spacing w:after="0" w:line="381" w:lineRule="auto"/>
        <w:rPr>
          <w:sz w:val="20"/>
          <w:szCs w:val="20"/>
          <w:color w:val="auto"/>
        </w:rPr>
      </w:pPr>
      <w:r>
        <w:rPr>
          <w:rFonts w:ascii="Arial" w:cs="Arial" w:eastAsia="Arial" w:hAnsi="Arial"/>
          <w:sz w:val="15"/>
          <w:szCs w:val="15"/>
          <w:b w:val="1"/>
          <w:bCs w:val="1"/>
          <w:i w:val="1"/>
          <w:iCs w:val="1"/>
          <w:color w:val="auto"/>
        </w:rPr>
        <w:t>Antibody-based targeted therapies</w:t>
      </w:r>
    </w:p>
    <w:p>
      <w:pPr>
        <w:spacing w:after="0" w:line="20" w:lineRule="exact"/>
        <w:rPr>
          <w:sz w:val="20"/>
          <w:szCs w:val="20"/>
          <w:color w:val="auto"/>
        </w:rPr>
      </w:pPr>
      <w:r>
        <w:rPr>
          <w:sz w:val="20"/>
          <w:szCs w:val="20"/>
          <w:color w:val="auto"/>
        </w:rPr>
        <w:br w:type="column"/>
      </w: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Loss of self-tolerance (establishment of autoimmunity associated with failure of tumor rejection)</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Absence of reliable biomarkers and thresholds to identify the most likely responsive population</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w:t>
      </w:r>
    </w:p>
    <w:p>
      <w:pPr>
        <w:spacing w:after="0" w:line="210"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Absence of universal antigens (each individual’s tumor is unique and has its own distinguishing antigens)</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Presence of a compromised/weak/immunosuppressed immune system</w:t>
      </w:r>
    </w:p>
    <w:p>
      <w:pPr>
        <w:spacing w:after="0" w:line="210" w:lineRule="exact"/>
        <w:rPr>
          <w:rFonts w:ascii="Arial" w:cs="Arial" w:eastAsia="Arial" w:hAnsi="Arial"/>
          <w:sz w:val="18"/>
          <w:szCs w:val="18"/>
          <w:color w:val="auto"/>
        </w:rPr>
      </w:pPr>
    </w:p>
    <w:p>
      <w:pPr>
        <w:ind w:left="326" w:right="240" w:hanging="326"/>
        <w:spacing w:after="0" w:line="258" w:lineRule="auto"/>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 (mAbs directed against tumor-specific antigens largely remain in the blood and no more than 20% of the administered dose typically interacts with the tumor)</w:t>
      </w:r>
    </w:p>
    <w:p>
      <w:pPr>
        <w:spacing w:after="0" w:line="1"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Low binding affinity between the antibody and its receptor</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Antibody uptake limit</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Competition for target binding between the therapeutic antibodies and a patient’s antibodies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6"/>
          <w:szCs w:val="16"/>
          <w:color w:val="auto"/>
        </w:rPr>
      </w:pPr>
      <w:r>
        <w:rPr>
          <w:rFonts w:ascii="Arial" w:cs="Arial" w:eastAsia="Arial" w:hAnsi="Arial"/>
          <w:sz w:val="16"/>
          <w:szCs w:val="16"/>
          <w:color w:val="auto"/>
        </w:rPr>
        <w:t>Speed of diffusion through tumors is mAb size dependent (large tumor masses may be more difficult to treat by mAb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-1213485</wp:posOffset>
            </wp:positionV>
            <wp:extent cx="7132320" cy="274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114"/>
            <w:col w:w="9606"/>
          </w:cols>
          <w:pgMar w:left="320" w:top="719" w:right="35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Oncolytic viruses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IO for Solid Tumors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26" w:hanging="326"/>
        <w:spacing w:after="0"/>
        <w:tabs>
          <w:tab w:leader="none" w:pos="326"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Development of neutralizing antibodies by the host, which limits the viral delivery to cancer sites and the therapeutic effect</w:t>
      </w:r>
    </w:p>
    <w:p>
      <w:pPr>
        <w:spacing w:after="0" w:line="46" w:lineRule="exact"/>
        <w:rPr>
          <w:rFonts w:ascii="Arial" w:cs="Arial" w:eastAsia="Arial" w:hAnsi="Arial"/>
          <w:sz w:val="16"/>
          <w:szCs w:val="16"/>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Limited penetration and distribution of the virus into tumor tissues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Limited viral tropism and oncolysis capacity</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Tricky dosing strategies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Risk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-816610</wp:posOffset>
            </wp:positionV>
            <wp:extent cx="7132320" cy="8229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617" w:lineRule="exact"/>
        <w:rPr>
          <w:sz w:val="20"/>
          <w:szCs w:val="20"/>
          <w:color w:val="auto"/>
        </w:rPr>
      </w:pPr>
    </w:p>
    <w:p>
      <w:pPr>
        <w:sectPr>
          <w:pgSz w:w="11900" w:h="16838" w:orient="portrait"/>
          <w:cols w:equalWidth="0" w:num="2">
            <w:col w:w="1560" w:space="54"/>
            <w:col w:w="9606"/>
          </w:cols>
          <w:pgMar w:left="320" w:top="719" w:right="359" w:bottom="1440" w:gutter="0" w:footer="0" w:header="0"/>
          <w:type w:val="continuous"/>
        </w:sectPr>
      </w:pPr>
    </w:p>
    <w:p>
      <w:pPr>
        <w:spacing w:after="0" w:line="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Despite the success of IO therapies for some hematological cancers, significant gaps remain in the development of efficacious IO therapies for solid tumors. There are still a number of challenges that IO therapies need to resolve to treat solid tumors including the ability to target delivery of a therapeutic to the solid tumor and identification of suitable prominent cell surface targets. Cell therapies have not been as successful in solid tumors in comparison to blood cancers mainly because of the absence of a suitable prominent cell surface target and the high risk of toxicity when a potential solid tumor target is expressed, even at a low level, on normal tissue. Even if targets for solid tumors with a suitable tumor-selectivity profile can be identified, other factors may limit the activity of cell therapies, including limited cell-therapy penetration and distribution, low oxygen concentration (hypoxia) barriers around cancers that may prevent T cell access to the tumor, expression by tumor cells of certain checkpoint genes and an inability to target multiple antigens at the same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type w:val="continuous"/>
        </w:sectPr>
      </w:pPr>
    </w:p>
    <w:bookmarkStart w:id="103" w:name="page104"/>
    <w:bookmarkEnd w:id="103"/>
    <w:p>
      <w:pPr>
        <w:ind w:left="660"/>
        <w:spacing w:after="0"/>
        <w:rPr>
          <w:sz w:val="20"/>
          <w:szCs w:val="20"/>
          <w:color w:val="auto"/>
        </w:rPr>
      </w:pPr>
      <w:r>
        <w:rPr>
          <w:rFonts w:ascii="Arial" w:cs="Arial" w:eastAsia="Arial" w:hAnsi="Arial"/>
          <w:sz w:val="18"/>
          <w:szCs w:val="18"/>
          <w:color w:val="auto"/>
        </w:rPr>
        <w:t>To overcome the current limitations of IO therapies in solid tumors, a new, effective tumor therapeutic must:</w:t>
      </w:r>
    </w:p>
    <w:p>
      <w:pPr>
        <w:spacing w:after="0" w:line="252" w:lineRule="exact"/>
        <w:rPr>
          <w:sz w:val="20"/>
          <w:szCs w:val="20"/>
          <w:color w:val="auto"/>
        </w:rPr>
      </w:pPr>
    </w:p>
    <w:p>
      <w:pPr>
        <w:ind w:left="1300" w:hanging="320"/>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achieve a local and tumor-targeted delivery;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maximize on-target effects;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reach the desired therapeutic index;</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minimize the off-target side effects;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potentially provide long term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platform technology utilizes a novel mechanism of action that we believe has the potential to address the limitations and challenges of current IO technologies. Through a single administration, our platform is designed to provide a broadly applicable treatment to deliver a tumor-targeted therapeutic, including to solid tumors. It does so by exploiting a naturally occurring cancer-induced biological process, allowing for the local delivery of the payload with a potentially durable response, in a manner that we believe will limit systemic toxicity. The ability to deliver localized and tumor-targeted payloads, by avoiding systemic or off-target toxicity, may also allow for the use of well-established immunotherapies, such as the immunomodulator IFN-α, that has shown efficacy but has had limited therapeutic applications due to side effects associated with its intravenous delivery.</w:t>
      </w:r>
    </w:p>
    <w:p>
      <w:pPr>
        <w:spacing w:after="0" w:line="19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Specifically, we adapted an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method to direct the patient’s own hematopoietic stem and progenitor cells (HSPCs) by loading them with an immunotherapeutic transgene sequence, or payload, that is able to counteract cancer progression and prevent tumor relapse. We believe that by delivering a targeted therapeutic specific to cancer cells, we can reach the desired on-target anti-tumor effect while reducing off-target side effects.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platform technology employs the following key components:</w:t>
      </w:r>
    </w:p>
    <w:p>
      <w:pPr>
        <w:spacing w:after="0" w:line="252" w:lineRule="exact"/>
        <w:rPr>
          <w:sz w:val="20"/>
          <w:szCs w:val="20"/>
          <w:color w:val="auto"/>
        </w:rPr>
      </w:pP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use of the patient’s own autologous HSPCs;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use of LVVs for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HSPCs transduction; and</w:t>
      </w:r>
    </w:p>
    <w:p>
      <w:pPr>
        <w:spacing w:after="0" w:line="225" w:lineRule="exact"/>
        <w:rPr>
          <w:rFonts w:ascii="Arial" w:cs="Arial" w:eastAsia="Arial" w:hAnsi="Arial"/>
          <w:sz w:val="18"/>
          <w:szCs w:val="18"/>
          <w:color w:val="auto"/>
        </w:rPr>
      </w:pPr>
    </w:p>
    <w:p>
      <w:pPr>
        <w:ind w:left="1300" w:right="60" w:hanging="320"/>
        <w:spacing w:after="0" w:line="263"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payload delivery within the tumor microenvironment (TME) using specific tumor-associated myeloid cell (Tie2-expressing monocytes – TEMs). This “cell-confined” transgene expression is ensured by the selected promoter (Tie-2 promoter) and the imposed post-transcriptional regulation layer represented by a miRNA target sequence (miRNA-126 target sequences).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image below illustrates the steps of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approach to transform patient’s autologous HSPCs into a therapeutic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168910</wp:posOffset>
            </wp:positionV>
            <wp:extent cx="4500245" cy="17659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50024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Illustration of our ex-vivo approach (steps 1-2-3) and treatment process (step 4)</w:t>
      </w:r>
    </w:p>
    <w:p>
      <w:pPr>
        <w:spacing w:after="0" w:line="252" w:lineRule="exact"/>
        <w:rPr>
          <w:sz w:val="20"/>
          <w:szCs w:val="20"/>
          <w:color w:val="auto"/>
        </w:rPr>
      </w:pPr>
    </w:p>
    <w:p>
      <w:pPr>
        <w:jc w:val="both"/>
        <w:ind w:firstLine="656"/>
        <w:spacing w:after="0" w:line="286" w:lineRule="auto"/>
        <w:tabs>
          <w:tab w:leader="none" w:pos="903"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Patient’s HSPCs are harvested by means of an apheresis process, and (2) </w:t>
      </w:r>
      <w:r>
        <w:rPr>
          <w:rFonts w:ascii="Arial" w:cs="Arial" w:eastAsia="Arial" w:hAnsi="Arial"/>
          <w:sz w:val="17"/>
          <w:szCs w:val="17"/>
          <w:i w:val="1"/>
          <w:iCs w:val="1"/>
          <w:color w:val="auto"/>
        </w:rPr>
        <w:t>ex-vivo</w:t>
      </w:r>
      <w:r>
        <w:rPr>
          <w:rFonts w:ascii="Arial" w:cs="Arial" w:eastAsia="Arial" w:hAnsi="Arial"/>
          <w:sz w:val="17"/>
          <w:szCs w:val="17"/>
          <w:color w:val="auto"/>
        </w:rPr>
        <w:t xml:space="preserve"> modified by an LVV. The obtained drug product is frozen and stored for clinical use (3). When needed, the therapeutic product may be thawed and infused back in patient’s blood stream (4). The engineered HSPCs will repopulate the entire hematopoietic system, giving rise to differentiated progeny bearing the introduced modification</w:t>
      </w:r>
      <w:r>
        <w:rPr>
          <w:rFonts w:ascii="Arial" w:cs="Arial" w:eastAsia="Arial" w:hAnsi="Arial"/>
          <w:sz w:val="17"/>
          <w:szCs w:val="17"/>
          <w:i w:val="1"/>
          <w:iCs w:val="1"/>
          <w:color w:val="auto"/>
        </w:rPr>
        <w: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a) HSPCs are the Source of the Delivery Vehicle for Our Gene Therapy Approach</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By re-introducing gene-modified HSPCs into the patient, we seek to take advantage of the self-renewing and multi-differentiation capability of HSPCs to enable durable and potentially long-term effects following a single treatment. HSPCs are self-renewing cells that can differentiate into all types of blood cells, including white blood cells, red blood cells and platelets. HSPCs can be obtained directly from the bone marrow or from the patient’s peripheral blood with the use of a mobilizing agent that induces HSPCs to relocate from the bone marrow into the peripheral blood where they may be collected by apheresis. The advantages of using a patient’s own HSPCs include the absence of graft versus host disease (GVHD) that could occur using allogeneic cells, and the potential long-term treatment durability of this approach.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Ex-vivo LVV based Transduction</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After collection, a functional copy of the therapeutic gene is inserted into the patient’s own HSPCs using a non-replicating LVV. This is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process called transduction. We have chosen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because it enables us to optimize the quantity, or dose, of modified cells to be infused in each patient since we know, ahead of the administration, the drug product characteristics.</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 xml:space="preserve">We believe that LVVs are the first choice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in humans because they can (i) carry large transgenes that will allow us to expand the therapeutic options to a multitude of payloads without “size” limits and (ii) efficiently transduce non-proliferating, or slowly proliferating cells, such as hematopoietic stem and progenitor cells. Most importantly, there is already an abundance of safety data generated using these vectors to develop investigational products currently under clinical testing, including CARs, TCRs, as well as commercial products such as Kymriah</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(CD-19 CAR-T,</w:t>
      </w:r>
    </w:p>
    <w:p>
      <w:pPr>
        <w:spacing w:after="0" w:line="2" w:lineRule="exact"/>
        <w:rPr>
          <w:sz w:val="20"/>
          <w:szCs w:val="20"/>
          <w:color w:val="auto"/>
        </w:rPr>
      </w:pPr>
    </w:p>
    <w:p>
      <w:pPr>
        <w:ind w:right="280"/>
        <w:spacing w:after="0" w:line="209" w:lineRule="auto"/>
        <w:rPr>
          <w:sz w:val="20"/>
          <w:szCs w:val="20"/>
          <w:color w:val="auto"/>
        </w:rPr>
      </w:pPr>
      <w:r>
        <w:rPr>
          <w:rFonts w:ascii="Arial" w:cs="Arial" w:eastAsia="Arial" w:hAnsi="Arial"/>
          <w:sz w:val="18"/>
          <w:szCs w:val="18"/>
          <w:color w:val="auto"/>
        </w:rPr>
        <w:t>Novartis Pharma) and Zynteglo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(β-Thal, BlueBird Bio). With more than 100 clinical trials either completed or in progress using LVVs worldwide, this delivery method accounts for more than a third of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modified gene therapy clinical trials.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 xml:space="preserve">Accordingly, extensive clinical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studies, based on LVV gene transfer, have been performed in recent years by SR-Tiget for the prevention and treatment of some severe inherited disorders, resulting in approved drugs, such as Libmeldy</w:t>
      </w:r>
      <w:r>
        <w:rPr>
          <w:rFonts w:ascii="Arial" w:cs="Arial" w:eastAsia="Arial" w:hAnsi="Arial"/>
          <w:sz w:val="26"/>
          <w:szCs w:val="26"/>
          <w:color w:val="auto"/>
          <w:vertAlign w:val="superscript"/>
        </w:rPr>
        <w:t>TM</w:t>
      </w:r>
      <w:r>
        <w:rPr>
          <w:rFonts w:ascii="Arial" w:cs="Arial" w:eastAsia="Arial" w:hAnsi="Arial"/>
          <w:sz w:val="16"/>
          <w:szCs w:val="16"/>
          <w:color w:val="auto"/>
        </w:rPr>
        <w:t>. These studies have shown that LVVs constitute a valuable and safer alternative to gamma-retroviral vectors (gRV), enabling a more efficient gene transfer into HSPCs and resulting in a robust and long-term transgene expression in their progeny. The studies also have demonstrated an alleviated risk of genotoxicity because of the vector design.</w:t>
      </w:r>
    </w:p>
    <w:p>
      <w:pPr>
        <w:spacing w:after="0" w:line="1" w:lineRule="exact"/>
        <w:rPr>
          <w:sz w:val="20"/>
          <w:szCs w:val="20"/>
          <w:color w:val="auto"/>
        </w:rPr>
      </w:pPr>
    </w:p>
    <w:p>
      <w:pPr>
        <w:jc w:val="both"/>
        <w:ind w:right="60" w:firstLine="648"/>
        <w:spacing w:after="0" w:line="281" w:lineRule="auto"/>
        <w:rPr>
          <w:sz w:val="20"/>
          <w:szCs w:val="20"/>
          <w:color w:val="auto"/>
        </w:rPr>
      </w:pPr>
      <w:r>
        <w:rPr>
          <w:rFonts w:ascii="Arial" w:cs="Arial" w:eastAsia="Arial" w:hAnsi="Arial"/>
          <w:sz w:val="16"/>
          <w:szCs w:val="16"/>
          <w:color w:val="auto"/>
        </w:rPr>
        <w:t xml:space="preserve">Differences exist between LVVs used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transduction that could, in theory, lead to differences in the long-term safety profile of products, particularly in terms of genotoxic potential. Use of strong promoters in conditions where a high pre-existing risk for hematologic malignancies exists, such as sickle cell disease (SCD), could in the long-term (i.e. 5 years or more) contribute to the development of leukemia. In February 2021, BlueBird Bio</w:t>
      </w:r>
    </w:p>
    <w:p>
      <w:pPr>
        <w:spacing w:after="0" w:line="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temporary suspended its gene therapy clinical trials for SCD (HGB-206 and HGB-210) and the marketing of Zynteglo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due to a suspected unexpected serious adverse reaction (SUSAR) of acute myeloid leukemia (AML) in a SCD patient who received the product more than five years ago. In March 2021BlueBird Bio announced that based on the analyses it completed, it was very unlikely the reported SUSAR was related to LVV and has since initiated engagement with regulators to begin the process of resuming clinical studies for sickle cell disease and β-thalassemia.</w:t>
      </w:r>
    </w:p>
    <w:p>
      <w:pPr>
        <w:spacing w:after="0" w:line="232"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We believe that the intrinsic characteristics of the LVV we have selected as well as the properties of the promoter and control mechanisms, combined with HSPCs’ ability to self-renew, allow for a stable integration of the modified gene into the HSPCs and their related differentiated progeny, potentially achieving long-term safety and protection after only a single treatment.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Tumor-Targeted Payload Delivery</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platform technology, used by all of our product candidates including Temferon, is designed to turn TEMs, which normally have an affinity for and travel to tumors, into a “Trojan Horse” to deliver a tumor-targeted payload. The technology ensures that the payload is only expressed in TEMs and not in other types of cells. The following key components make up our platform technology: (i) a Tie-2 promoter that drives transgene sequence transcription specifically in TEMs, and (ii) a post-transcriptional regulation layer represented by miRNA-126 target sequences that induces the downregulation of the transgene expression in those cells where the Tie2 promoter is active and the miRNA-126 target sequence is present. This transcriptional / post-transcriptional regulatory mechanism prevents off-target effects and allows the expression of the payload by the selected cellular carrier (TEMs).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130810</wp:posOffset>
            </wp:positionV>
            <wp:extent cx="3317240" cy="17659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1724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Our transgene payload expression cassette consists of two key components: the Tie-2 promoter (RED) and miRNA-126 target sequences (LIGHT BLUE)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5" w:name="page106"/>
    <w:bookmarkEnd w:id="105"/>
    <w:p>
      <w:pPr>
        <w:ind w:left="660" w:hanging="328"/>
        <w:spacing w:after="0" w:line="286" w:lineRule="auto"/>
        <w:tabs>
          <w:tab w:leader="none" w:pos="660" w:val="left"/>
        </w:tabs>
        <w:numPr>
          <w:ilvl w:val="0"/>
          <w:numId w:val="8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Tie-2 promoter. </w:t>
      </w:r>
      <w:r>
        <w:rPr>
          <w:rFonts w:ascii="Arial" w:cs="Arial" w:eastAsia="Arial" w:hAnsi="Arial"/>
          <w:sz w:val="16"/>
          <w:szCs w:val="16"/>
          <w:color w:val="auto"/>
        </w:rPr>
        <w:t>The Tie-2 promoter enables the transformation of TEMs into a “Trojan Horse”, to deliver the therapeutic payload within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tumor microenvironment. Tumor development and progression is a multi-step process leading to cancer growth. The so called “angiogenic switch” is one of the required steps and refers to a time-restricted event during tumor progression where the balance between pro- and anti-angiogenic factors tilts towards a pro-angiogenic outcome, resulting in the transition from a “dormant” avascularized tumor to an outgrowing vascularized cancer. It is well recognized that TEMs play an active role in this regard. Indeed, TEMs are actively recruited by proliferating tumors, through signals produced by the cancer cells or stromal/endothelial components, to promote the neo-vascularization and to contribute to the establishment of an immunosuppressive tumor microenvironment that leads to the failure in tumor eradication by the immune system. Amongst chemoattractant factors of monocytes, angiopoietins (Ang) play a crucial role. These are adhesion molecules and known vascular growth factors expressed by peritumoral blood vessels. One Ang in particular, Ang-2, attracts TEMs, which binds to the Tie-2 receptor. Expression of Ang-2 is upregulated by tumor hypoxia and may function as a chemoattractant for Tie2-expressing monocytes. Moreover, TEMs’ penetration into the tumor microenvironment in response to these stimuli cause Tie-2 receptor upregulation, which enhances the delivery of the payload to the tumor. Since TEMs recruitment is a naturally occurring event in the tumor development process and is a key aspect shared by several different cancers, we believe that our platform which enables the tumor targeted delivery of therapeutics represents a unique approach that may have broad applicability.</w:t>
      </w:r>
    </w:p>
    <w:p>
      <w:pPr>
        <w:spacing w:after="0" w:line="173" w:lineRule="exact"/>
        <w:rPr>
          <w:rFonts w:ascii="Arial" w:cs="Arial" w:eastAsia="Arial" w:hAnsi="Arial"/>
          <w:sz w:val="16"/>
          <w:szCs w:val="16"/>
          <w:b w:val="1"/>
          <w:bCs w:val="1"/>
          <w:i w:val="1"/>
          <w:iCs w:val="1"/>
          <w:color w:val="auto"/>
        </w:rPr>
      </w:pPr>
    </w:p>
    <w:p>
      <w:pPr>
        <w:ind w:left="660" w:right="140" w:hanging="328"/>
        <w:spacing w:after="0" w:line="255" w:lineRule="auto"/>
        <w:tabs>
          <w:tab w:leader="none" w:pos="66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miRNA-126 target sequences</w:t>
      </w:r>
      <w:r>
        <w:rPr>
          <w:rFonts w:ascii="Arial" w:cs="Arial" w:eastAsia="Arial" w:hAnsi="Arial"/>
          <w:sz w:val="18"/>
          <w:szCs w:val="18"/>
          <w:color w:val="auto"/>
        </w:rPr>
        <w:t>. The miRNA-126 target sequence serves as a post-transcriptional regulation layer that allows the expression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transgene payload only in cells where miRNA-126 is not expressed. In our case, because miRNA-126 is highly expressed in HSPCs but down-regulated in the differentiated progeny, it switches off transgene expression in the stem and progenitor cell compartment. Indeed, Tie2 is a weak promoter expressed, in the hematopoietic compartment, by Tie2-expressing monocytes and by hematopoietic stem cells (HSC). In HSC, it works as a membrane-bound receptor that keeps HSC cell-to-cell interaction and adhesion with the bone marrow niche and preserves the HSC quiescent/low proliferating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148590</wp:posOffset>
            </wp:positionV>
            <wp:extent cx="5349240" cy="22802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4924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Post-transcriptional control mechanism of transgene expression</w:t>
      </w:r>
    </w:p>
    <w:p>
      <w:pPr>
        <w:spacing w:after="0" w:line="252" w:lineRule="exact"/>
        <w:rPr>
          <w:sz w:val="20"/>
          <w:szCs w:val="20"/>
          <w:color w:val="auto"/>
        </w:rPr>
      </w:pPr>
    </w:p>
    <w:p>
      <w:pPr>
        <w:jc w:val="center"/>
        <w:ind w:left="4140" w:right="180" w:hanging="3953"/>
        <w:spacing w:after="0" w:line="277" w:lineRule="auto"/>
        <w:tabs>
          <w:tab w:leader="none" w:pos="398" w:val="left"/>
        </w:tabs>
        <w:numPr>
          <w:ilvl w:val="1"/>
          <w:numId w:val="84"/>
        </w:numPr>
        <w:rPr>
          <w:rFonts w:ascii="Arial" w:cs="Arial" w:eastAsia="Arial" w:hAnsi="Arial"/>
          <w:sz w:val="18"/>
          <w:szCs w:val="18"/>
          <w:i w:val="1"/>
          <w:iCs w:val="1"/>
          <w:color w:val="auto"/>
        </w:rPr>
      </w:pPr>
      <w:r>
        <w:rPr>
          <w:rFonts w:ascii="Arial" w:cs="Arial" w:eastAsia="Arial" w:hAnsi="Arial"/>
          <w:sz w:val="18"/>
          <w:szCs w:val="18"/>
          <w:i w:val="1"/>
          <w:iCs w:val="1"/>
          <w:color w:val="auto"/>
        </w:rPr>
        <w:t>Transgene expression is allowed only in cells where miRNA-126 is not expressed; (1) mRNA is transcribed into the nucleus (2) the transgene is then translated in the cytoplasm and released.</w:t>
      </w:r>
    </w:p>
    <w:p>
      <w:pPr>
        <w:spacing w:after="0" w:line="197" w:lineRule="exact"/>
        <w:rPr>
          <w:rFonts w:ascii="Arial" w:cs="Arial" w:eastAsia="Arial" w:hAnsi="Arial"/>
          <w:sz w:val="18"/>
          <w:szCs w:val="18"/>
          <w:i w:val="1"/>
          <w:iCs w:val="1"/>
          <w:color w:val="auto"/>
        </w:rPr>
      </w:pPr>
    </w:p>
    <w:p>
      <w:pPr>
        <w:ind w:left="1560" w:hanging="1551"/>
        <w:spacing w:after="0" w:line="308" w:lineRule="auto"/>
        <w:tabs>
          <w:tab w:leader="none" w:pos="228" w:val="left"/>
        </w:tabs>
        <w:numPr>
          <w:ilvl w:val="0"/>
          <w:numId w:val="85"/>
        </w:numPr>
        <w:rPr>
          <w:rFonts w:ascii="Arial" w:cs="Arial" w:eastAsia="Arial" w:hAnsi="Arial"/>
          <w:sz w:val="17"/>
          <w:szCs w:val="17"/>
          <w:i w:val="1"/>
          <w:iCs w:val="1"/>
          <w:color w:val="auto"/>
        </w:rPr>
      </w:pPr>
      <w:r>
        <w:rPr>
          <w:rFonts w:ascii="Arial" w:cs="Arial" w:eastAsia="Arial" w:hAnsi="Arial"/>
          <w:sz w:val="17"/>
          <w:szCs w:val="17"/>
          <w:i w:val="1"/>
          <w:iCs w:val="1"/>
          <w:color w:val="auto"/>
        </w:rPr>
        <w:t>In those cells expressing miRNA-126 the payload production is prohibited; (1) mRNA is transcribed into the nucleus (2) miRNA-126 recognizes its target sequences on the mRNA and forms double strands of RNA (3) that are degraded or block the translation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340" w:right="40"/>
        <w:spacing w:after="0" w:line="277" w:lineRule="auto"/>
        <w:rPr>
          <w:sz w:val="20"/>
          <w:szCs w:val="20"/>
          <w:color w:val="auto"/>
        </w:rPr>
      </w:pPr>
      <w:r>
        <w:rPr>
          <w:rFonts w:ascii="Arial" w:cs="Arial" w:eastAsia="Arial" w:hAnsi="Arial"/>
          <w:sz w:val="18"/>
          <w:szCs w:val="18"/>
          <w:i w:val="1"/>
          <w:iCs w:val="1"/>
          <w:color w:val="auto"/>
        </w:rPr>
        <w:t>Transgene payload expression as the result of the transcriptional (promoter) and post-transcriptional regulation (miRNA-126 target sequence) imposed by our expression cassette.</w:t>
      </w:r>
    </w:p>
    <w:p>
      <w:pPr>
        <w:spacing w:after="0" w:line="197" w:lineRule="exact"/>
        <w:rPr>
          <w:sz w:val="20"/>
          <w:szCs w:val="20"/>
          <w:color w:val="auto"/>
        </w:rPr>
      </w:pPr>
    </w:p>
    <w:p>
      <w:pPr>
        <w:jc w:val="center"/>
        <w:ind w:left="340" w:right="200"/>
        <w:spacing w:after="0" w:line="277" w:lineRule="auto"/>
        <w:rPr>
          <w:sz w:val="20"/>
          <w:szCs w:val="20"/>
          <w:color w:val="auto"/>
        </w:rPr>
      </w:pPr>
      <w:r>
        <w:rPr>
          <w:rFonts w:ascii="Arial" w:cs="Arial" w:eastAsia="Arial" w:hAnsi="Arial"/>
          <w:sz w:val="18"/>
          <w:szCs w:val="18"/>
          <w:i w:val="1"/>
          <w:iCs w:val="1"/>
          <w:color w:val="auto"/>
        </w:rPr>
        <w:t>Modified HSPCs and their differentiated cell progeny, which bear the transgene whose expression is restricted to tumor-associated myeloid cell (Tie2-expressing monocytes – TEMs).</w:t>
      </w:r>
    </w:p>
    <w:p>
      <w:pPr>
        <w:spacing w:after="0" w:line="197"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We believe that combining our built-in post-transcriptional control mechanism (</w:t>
      </w:r>
      <w:r>
        <w:rPr>
          <w:rFonts w:ascii="Arial" w:cs="Arial" w:eastAsia="Arial" w:hAnsi="Arial"/>
          <w:sz w:val="17"/>
          <w:szCs w:val="17"/>
          <w:i w:val="1"/>
          <w:iCs w:val="1"/>
          <w:color w:val="auto"/>
        </w:rPr>
        <w:t>miRNA-126 target sequences</w:t>
      </w:r>
      <w:r>
        <w:rPr>
          <w:rFonts w:ascii="Arial" w:cs="Arial" w:eastAsia="Arial" w:hAnsi="Arial"/>
          <w:sz w:val="17"/>
          <w:szCs w:val="17"/>
          <w:color w:val="auto"/>
        </w:rPr>
        <w:t>), with TEMs designed as a “Trojan Horse” allows our platform to restrict transgene expression and avoid systemic toxicity while reaching the therapeutic index to drive efficacy.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33"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Our Leading Product Candidate: Temferon</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lead product candidate, Temferon, consists of genetically modified HSPCs which use our platform to deliver interferon-alpha (IFN-α), within the tumor microenvironment via TEMs (HSPCs differentiated progeny). The IFN-α reduces angiogenesis, counteracts tumor cells proliferation and breaks the established immune-tolerance, enabling the immune system to recognize the tumor. IFN-α is a proven and known immunomodulatory molecule, or cytokine, that has limited clinical use due to the systemic toxicity associated with its intravenous administration. Our technology is designed to protect the HSPCs from IFN-α mediated activation that could negatively impact their repopulation capacity as reported in some studies of repeated systemic administration of high doses of IFN-α. We believe that this protection technology, whereby we restrict payload expression to TEMs, and the release of IFN-α within the TME, has the potential to provide efficacy without inducing systemic toxicity.</w:t>
      </w:r>
    </w:p>
    <w:p>
      <w:pPr>
        <w:spacing w:after="0" w:line="204"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Because TEMs are associated with the growth of numerous cancer types, including solid tumors, we believe that Temferon is tumor type and tumor target agnostic and therefore may be used across a large variety of cancers. Currently, we are developing Temferon for 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119380</wp:posOffset>
            </wp:positionV>
            <wp:extent cx="3557905" cy="17830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5790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manufacturing process and mechanism of action.</w:t>
      </w:r>
    </w:p>
    <w:p>
      <w:pPr>
        <w:spacing w:after="0" w:line="252" w:lineRule="exact"/>
        <w:rPr>
          <w:sz w:val="20"/>
          <w:szCs w:val="20"/>
          <w:color w:val="auto"/>
        </w:rPr>
      </w:pPr>
    </w:p>
    <w:p>
      <w:pPr>
        <w:jc w:val="center"/>
        <w:ind w:left="360" w:right="80"/>
        <w:spacing w:after="0" w:line="263" w:lineRule="auto"/>
        <w:rPr>
          <w:sz w:val="20"/>
          <w:szCs w:val="20"/>
          <w:color w:val="auto"/>
        </w:rPr>
      </w:pPr>
      <w:r>
        <w:rPr>
          <w:rFonts w:ascii="Arial" w:cs="Arial" w:eastAsia="Arial" w:hAnsi="Arial"/>
          <w:sz w:val="18"/>
          <w:szCs w:val="18"/>
          <w:i w:val="1"/>
          <w:iCs w:val="1"/>
          <w:color w:val="auto"/>
        </w:rPr>
        <w:t xml:space="preserve">Patient’s </w:t>
      </w:r>
      <w:r>
        <w:rPr>
          <w:rFonts w:ascii="Arial" w:cs="Arial" w:eastAsia="Arial" w:hAnsi="Arial"/>
          <w:sz w:val="18"/>
          <w:szCs w:val="18"/>
          <w:b w:val="1"/>
          <w:bCs w:val="1"/>
          <w:i w:val="1"/>
          <w:iCs w:val="1"/>
          <w:color w:val="auto"/>
        </w:rPr>
        <w:t>HSPCs</w:t>
      </w:r>
      <w:r>
        <w:rPr>
          <w:rFonts w:ascii="Arial" w:cs="Arial" w:eastAsia="Arial" w:hAnsi="Arial"/>
          <w:sz w:val="18"/>
          <w:szCs w:val="18"/>
          <w:i w:val="1"/>
          <w:iCs w:val="1"/>
          <w:color w:val="auto"/>
        </w:rPr>
        <w:t xml:space="preserve"> are harvested, (1) </w:t>
      </w:r>
      <w:r>
        <w:rPr>
          <w:rFonts w:ascii="Arial" w:cs="Arial" w:eastAsia="Arial" w:hAnsi="Arial"/>
          <w:sz w:val="18"/>
          <w:szCs w:val="18"/>
          <w:b w:val="1"/>
          <w:bCs w:val="1"/>
          <w:i w:val="1"/>
          <w:iCs w:val="1"/>
          <w:color w:val="auto"/>
        </w:rPr>
        <w:t>ex-vivo</w:t>
      </w:r>
      <w:r>
        <w:rPr>
          <w:rFonts w:ascii="Arial" w:cs="Arial" w:eastAsia="Arial" w:hAnsi="Arial"/>
          <w:sz w:val="18"/>
          <w:szCs w:val="18"/>
          <w:i w:val="1"/>
          <w:iCs w:val="1"/>
          <w:color w:val="auto"/>
        </w:rPr>
        <w:t xml:space="preserve"> modified by </w:t>
      </w:r>
      <w:r>
        <w:rPr>
          <w:rFonts w:ascii="Arial" w:cs="Arial" w:eastAsia="Arial" w:hAnsi="Arial"/>
          <w:sz w:val="18"/>
          <w:szCs w:val="18"/>
          <w:b w:val="1"/>
          <w:bCs w:val="1"/>
          <w:i w:val="1"/>
          <w:iCs w:val="1"/>
          <w:color w:val="auto"/>
        </w:rPr>
        <w:t>LVVs</w:t>
      </w:r>
      <w:r>
        <w:rPr>
          <w:rFonts w:ascii="Arial" w:cs="Arial" w:eastAsia="Arial" w:hAnsi="Arial"/>
          <w:sz w:val="18"/>
          <w:szCs w:val="18"/>
          <w:i w:val="1"/>
          <w:iCs w:val="1"/>
          <w:color w:val="auto"/>
        </w:rPr>
        <w:t xml:space="preserve"> (2) and re-introduced back in patient’s blood stream (3). Once recruited within the tumor microenvironment, TEMs release IFN-α that reduces angiogenesis, counteracts tumor cells proliferation and enables the immune system to recognize the tumor.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GBM is a solid tumor affecting the brain. We have chosen this indication due to the following factors:</w:t>
      </w:r>
    </w:p>
    <w:p>
      <w:pPr>
        <w:spacing w:after="0" w:line="252"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unmet medical need. </w:t>
      </w:r>
      <w:r>
        <w:rPr>
          <w:rFonts w:ascii="Arial" w:cs="Arial" w:eastAsia="Arial" w:hAnsi="Arial"/>
          <w:sz w:val="17"/>
          <w:szCs w:val="17"/>
          <w:color w:val="auto"/>
        </w:rPr>
        <w:t>The prognosis for GBM patients remains poor with few therapeutic options having limited clinical benefits.</w:t>
      </w:r>
    </w:p>
    <w:p>
      <w:pPr>
        <w:spacing w:after="0" w:line="196" w:lineRule="exact"/>
        <w:rPr>
          <w:rFonts w:ascii="Arial" w:cs="Arial" w:eastAsia="Arial" w:hAnsi="Arial"/>
          <w:sz w:val="17"/>
          <w:szCs w:val="17"/>
          <w:color w:val="auto"/>
        </w:rPr>
      </w:pPr>
    </w:p>
    <w:p>
      <w:pPr>
        <w:ind w:left="660" w:right="40" w:hanging="328"/>
        <w:spacing w:after="0" w:line="272"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Temferon’s MoA targets TEMs which have an active role in GBM pathology. </w:t>
      </w:r>
      <w:r>
        <w:rPr>
          <w:rFonts w:ascii="Arial" w:cs="Arial" w:eastAsia="Arial" w:hAnsi="Arial"/>
          <w:sz w:val="17"/>
          <w:szCs w:val="17"/>
          <w:color w:val="auto"/>
        </w:rPr>
        <w:t>GBMs are highly vascularized tumors that critically depend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generation of tumor-associated blood vessels. Several studies demonstrate that infiltrating myeloid cells, including Tie2-expressing monocytes, contribute significantly to tumor angiogenesis, presumably by secreting pro-angiogenic factors and promoting malignant glioma growth by creating a local immunosuppressive microenvironment. Moreover, TEMs have been identified in the normal/tumor boundary from human biopsy samples of GBM patients who received treatment to reduce angiogenesis using the anti-VEGF treatment bevacizumab, and the Tie2 pathway has been implicated in the triggering of a bevacizumab-mediated VEGF-independent angiogenesis that explains the long-term refractoriness of GBMs to anti-VEGF treatment.</w:t>
      </w:r>
    </w:p>
    <w:p>
      <w:pPr>
        <w:spacing w:after="0" w:line="136" w:lineRule="exact"/>
        <w:rPr>
          <w:rFonts w:ascii="Arial" w:cs="Arial" w:eastAsia="Arial" w:hAnsi="Arial"/>
          <w:sz w:val="17"/>
          <w:szCs w:val="17"/>
          <w:color w:val="auto"/>
        </w:rPr>
      </w:pPr>
    </w:p>
    <w:p>
      <w:pPr>
        <w:ind w:left="660" w:right="180" w:hanging="328"/>
        <w:spacing w:after="0" w:line="25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Immunosuppressive tumor microenvironment. </w:t>
      </w:r>
      <w:r>
        <w:rPr>
          <w:rFonts w:ascii="Arial" w:cs="Arial" w:eastAsia="Arial" w:hAnsi="Arial"/>
          <w:sz w:val="18"/>
          <w:szCs w:val="18"/>
          <w:color w:val="000000"/>
        </w:rPr>
        <w:t>GBM is characterized by an immunosuppressive microenvironment that is mediated by tumor</w:t>
      </w:r>
      <w:r>
        <w:rPr>
          <w:rFonts w:ascii="Arial" w:cs="Arial" w:eastAsia="Arial" w:hAnsi="Arial"/>
          <w:sz w:val="18"/>
          <w:szCs w:val="18"/>
          <w:b w:val="1"/>
          <w:bCs w:val="1"/>
          <w:i w:val="1"/>
          <w:iCs w:val="1"/>
          <w:color w:val="111419"/>
        </w:rPr>
        <w:t xml:space="preserve"> </w:t>
      </w:r>
      <w:r>
        <w:rPr>
          <w:rFonts w:ascii="Arial" w:cs="Arial" w:eastAsia="Arial" w:hAnsi="Arial"/>
          <w:sz w:val="18"/>
          <w:szCs w:val="18"/>
          <w:color w:val="000000"/>
        </w:rPr>
        <w:t>associated myeloid cells (including TEMs) that prevent the immune system from recognizing and rejecting the tumor. Our treatment approach is designed to exploit TEMS to deliver IFN-α to the tumor so that the immune system recognizes the tumor and halts tumor cell proliferation and recurrence.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07" w:name="page108"/>
    <w:bookmarkEnd w:id="107"/>
    <w:p>
      <w:pPr>
        <w:ind w:left="660" w:right="20" w:hanging="328"/>
        <w:spacing w:after="0" w:line="263"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of a “competent” immune system. </w:t>
      </w:r>
      <w:r>
        <w:rPr>
          <w:rFonts w:ascii="Arial" w:cs="Arial" w:eastAsia="Arial" w:hAnsi="Arial"/>
          <w:sz w:val="18"/>
          <w:szCs w:val="18"/>
          <w:color w:val="auto"/>
        </w:rPr>
        <w:t>Our approach relies on a patient’s immune system being capable of providing an immune response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recognition of the tumor. Therefore, we believe newly diagnosed GBM patients who have relatively “competent” immune systems, not yet damaged by repeated cycles of chemotherapies, are strong candidates for our candidate.</w:t>
      </w:r>
    </w:p>
    <w:p>
      <w:pPr>
        <w:spacing w:after="0" w:line="143"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Compelling preclinical data. </w:t>
      </w:r>
      <w:r>
        <w:rPr>
          <w:rFonts w:ascii="Arial" w:cs="Arial" w:eastAsia="Arial" w:hAnsi="Arial"/>
          <w:sz w:val="17"/>
          <w:szCs w:val="17"/>
          <w:color w:val="auto"/>
        </w:rPr>
        <w:t>Our preclinical studies, published in peer-reviewed papers, suggest that TEMs play an active role in GBM, and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used as a “Trojan Horse,” significantly shrink the tumor and to control disease progression. In more recent unpublished studies, we have also demonstrated, in a preclinical immunocompetent GBM mouse model, that treatment by Temferon resulted in a long-lasting immune response in surviving mice, even after repeated tumor challenge intended to replicate possible tumor recurrences.</w:t>
      </w:r>
    </w:p>
    <w:p>
      <w:pPr>
        <w:spacing w:after="0" w:line="130" w:lineRule="exact"/>
        <w:rPr>
          <w:rFonts w:ascii="Arial" w:cs="Arial" w:eastAsia="Arial" w:hAnsi="Arial"/>
          <w:sz w:val="17"/>
          <w:szCs w:val="17"/>
          <w:color w:val="auto"/>
        </w:rPr>
      </w:pPr>
    </w:p>
    <w:p>
      <w:pPr>
        <w:ind w:left="660" w:right="180" w:hanging="328"/>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 Opportunity. </w:t>
      </w:r>
      <w:r>
        <w:rPr>
          <w:rFonts w:ascii="Arial" w:cs="Arial" w:eastAsia="Arial" w:hAnsi="Arial"/>
          <w:sz w:val="17"/>
          <w:szCs w:val="17"/>
          <w:color w:val="auto"/>
        </w:rPr>
        <w:t>Based on currently available treatments, the global market size for GBM is projected to grow to over $1.5 billion by 2026.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a novel therapeutic which demonstrates improvement over existing therapies would greatly increase the market size.</w:t>
      </w:r>
    </w:p>
    <w:p>
      <w:pPr>
        <w:spacing w:after="0" w:line="173"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We are discussing a second study using Temferon in a second solid tumor indication. Locally advanced HCC and ICC are the leading indications under consideration and, as with GBM, these liver cancer indications have been selected for similar reasons as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Temferon for GBM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GBM is the most common malignant primary brain tumor accounting for more than half of all central nervous system (CNS) cancers and for which there is a high unmet medical need. The incidence rate is 3.20 per 100,000 persons with over 13,000 deaths per year in the United States. This disease is lethal and left untreated, the median survival is three (3) months. The current standard of care includes using a combination of surgery, radiation therapy, and chemotherapy for treatment. Although these treatments may improve survival, the prognosis for GBM patients remains poor with a median overall survival (mOS) of approximately 13 to 15 months and only 5.5% of patients estimated to be alive 5 years after diagnosis. GBM may occur at any age, but 70% of cases are seen in patients between 45 and 70 years of age (median 64 years). The disease often progresses rapidly (over 2 to 3 months). Neurological signs are nonspecific as they result from intracranial hypertension and include headaches and vomiting, often associated with behavioral changes or focal neurological deficits. Variants of GBM include secondary glioblastoma (20% of total diagnosed GBM), gliosarcoma (2%) and giant cell glioblastoma (1%). We are not including these variants in our studies because they do not fully meet our selection criteria discussed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and Limitations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current standard of care for GBM includes surgery to remove the accessible tumor followed by radiation therapy (RTx), chemotherapy with temozolomide (TMZ) and/or tumor treating fields (TTFields).</w:t>
      </w:r>
    </w:p>
    <w:p>
      <w:pPr>
        <w:spacing w:after="0" w:line="197" w:lineRule="exact"/>
        <w:rPr>
          <w:sz w:val="20"/>
          <w:szCs w:val="20"/>
          <w:color w:val="auto"/>
        </w:rPr>
      </w:pPr>
    </w:p>
    <w:p>
      <w:pPr>
        <w:ind w:left="660" w:hanging="328"/>
        <w:spacing w:after="0" w:line="296"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Surgery </w:t>
      </w:r>
      <w:r>
        <w:rPr>
          <w:rFonts w:ascii="Arial" w:cs="Arial" w:eastAsia="Arial" w:hAnsi="Arial"/>
          <w:sz w:val="16"/>
          <w:szCs w:val="16"/>
          <w:color w:val="auto"/>
        </w:rPr>
        <w:t>remains the mainstay of initial treatment. If the tumor is located in a resectable region of the brain, it is used to histologically confirm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diagnosis and level of tumor burden. For many patients, removal of the tumor also results in a decrease of tumor mass-associated symptoms. Although the extent of the surgical removal of the tumor is linked to longer survival, due to the invariably infiltrative nature of the disease, even the complete removal of the accessible tumor is not curative and most people with GBM later develop recurrent tumors either near the original site or at more distant locations within the brain. Additionally, as a possible consequence of surgical procedures, permanent brain damage may occur.</w:t>
      </w:r>
    </w:p>
    <w:p>
      <w:pPr>
        <w:spacing w:after="0" w:line="120" w:lineRule="exact"/>
        <w:rPr>
          <w:rFonts w:ascii="Arial" w:cs="Arial" w:eastAsia="Arial" w:hAnsi="Arial"/>
          <w:sz w:val="16"/>
          <w:szCs w:val="16"/>
          <w:color w:val="auto"/>
        </w:rPr>
      </w:pPr>
    </w:p>
    <w:p>
      <w:pPr>
        <w:ind w:left="660" w:hanging="328"/>
        <w:spacing w:after="0" w:line="311"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Radiation therapy </w:t>
      </w:r>
      <w:r>
        <w:rPr>
          <w:rFonts w:ascii="Arial" w:cs="Arial" w:eastAsia="Arial" w:hAnsi="Arial"/>
          <w:sz w:val="16"/>
          <w:szCs w:val="16"/>
          <w:color w:val="auto"/>
        </w:rPr>
        <w:t>improves survival and is typically started approximately 3 to 4 weeks after surgery. RTx is performed daily for approximately 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weeks. RTx induces the formation of neo-antigens and a pro-inflammatory response that are key aspects for immune system mediated disease control. However, the efficacy of RTx is impaired by hypoxia and by the negative effects of RTx on tumor infiltrating immune cells.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8" w:name="page109"/>
    <w:bookmarkEnd w:id="108"/>
    <w:p>
      <w:pPr>
        <w:ind w:left="660" w:hanging="328"/>
        <w:spacing w:after="0" w:line="291"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Chemotherapy. </w:t>
      </w:r>
      <w:r>
        <w:rPr>
          <w:rFonts w:ascii="Arial" w:cs="Arial" w:eastAsia="Arial" w:hAnsi="Arial"/>
          <w:sz w:val="16"/>
          <w:szCs w:val="16"/>
          <w:color w:val="auto"/>
        </w:rPr>
        <w:t>Temozolomide, the current chemotherapeutic standard of care, is a DNA-alkylating agent that can cross the blood-brain barrier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reach therapeutic concentrations in the brain. The drug is administered every day during radiation therapy and then for six to 12 cycles after radiation as a maintenance therapy. Each cycle lasts 28 days, with TMZ given the first five days of each cycle, followed by 23 days of rest. TMZ adds a methyl group to DNA that, if unrepaired, leads to DNA strand breaks and cytotoxicity. More than one-third of glioblastomas are deficient in methylguanine methyltransferase (MGMT), a repair protein that removes the methyl group. This MGMT deficiency occurs through the methylation (silencing) of the MGMT gene promoter. Glioblastoma patients with a silenced MGMT gene who are treated with TMZ have a longer survival than those with an unmethylated MGMT. TMZ has several adverse side effects, including a cumulative bone marrow toxicity.</w:t>
      </w:r>
    </w:p>
    <w:p>
      <w:pPr>
        <w:spacing w:after="0" w:line="125" w:lineRule="exact"/>
        <w:rPr>
          <w:rFonts w:ascii="Arial" w:cs="Arial" w:eastAsia="Arial" w:hAnsi="Arial"/>
          <w:sz w:val="16"/>
          <w:szCs w:val="16"/>
          <w:color w:val="auto"/>
        </w:rPr>
      </w:pPr>
    </w:p>
    <w:p>
      <w:pPr>
        <w:jc w:val="both"/>
        <w:ind w:left="660" w:right="100" w:hanging="328"/>
        <w:spacing w:after="0" w:line="301"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Tumor-Treating Fields (TTFields)</w:t>
      </w:r>
      <w:r>
        <w:rPr>
          <w:rFonts w:ascii="Arial" w:cs="Arial" w:eastAsia="Arial" w:hAnsi="Arial"/>
          <w:sz w:val="16"/>
          <w:szCs w:val="16"/>
          <w:color w:val="auto"/>
        </w:rPr>
        <w:t>. The use of TTFields to extend temozolomide maintenance chemotherapy for newly diagnosed glioblastoma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patients has recently been incorporated as a new standard of care. TTFields are applied via multiple electrodes that are directly fixed to the scalp. These low-intensity, alternating electrical fields interfere with cell division ultimately leading to cell cycle arrest, aneuploidy, and apoptosis. The most common TTFields-associated adverse events (AEs) are mild-to-moderate array-associated contact dermatitis.</w:t>
      </w:r>
    </w:p>
    <w:p>
      <w:pPr>
        <w:spacing w:after="0" w:line="112" w:lineRule="exact"/>
        <w:rPr>
          <w:rFonts w:ascii="Arial" w:cs="Arial" w:eastAsia="Arial" w:hAnsi="Arial"/>
          <w:sz w:val="16"/>
          <w:szCs w:val="16"/>
          <w:color w:val="auto"/>
        </w:rPr>
      </w:pPr>
    </w:p>
    <w:p>
      <w:pPr>
        <w:ind w:left="660" w:right="20" w:hanging="328"/>
        <w:spacing w:after="0" w:line="272"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 xml:space="preserve">Experimental Treatments. </w:t>
      </w:r>
      <w:r>
        <w:rPr>
          <w:rFonts w:ascii="Arial" w:cs="Arial" w:eastAsia="Arial" w:hAnsi="Arial"/>
          <w:sz w:val="17"/>
          <w:szCs w:val="17"/>
          <w:color w:val="auto"/>
        </w:rPr>
        <w:t>Along with the above-mentioned treatments, the addition of the antiangiogenic agent bevacizumab (BEV) to RTx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TMZ has been explored with mixed clinical results </w:t>
      </w:r>
      <w:r>
        <w:rPr>
          <w:rFonts w:ascii="Arial" w:cs="Arial" w:eastAsia="Arial" w:hAnsi="Arial"/>
          <w:sz w:val="17"/>
          <w:szCs w:val="17"/>
          <w:color w:val="111419"/>
        </w:rPr>
        <w:t>BEV was tested both a first-line treatment together with RTx and concomitant TMZ</w:t>
      </w:r>
      <w:r>
        <w:rPr>
          <w:rFonts w:ascii="Arial" w:cs="Arial" w:eastAsia="Arial" w:hAnsi="Arial"/>
          <w:sz w:val="17"/>
          <w:szCs w:val="17"/>
          <w:color w:val="auto"/>
        </w:rPr>
        <w:t xml:space="preserve"> </w:t>
      </w:r>
      <w:r>
        <w:rPr>
          <w:rFonts w:ascii="Arial" w:cs="Arial" w:eastAsia="Arial" w:hAnsi="Arial"/>
          <w:sz w:val="17"/>
          <w:szCs w:val="17"/>
          <w:color w:val="111419"/>
        </w:rPr>
        <w:t xml:space="preserve">administration in newly diagnosed glioblastoma patients, as well as in combination with RTx in recurrent GBM patients. </w:t>
      </w:r>
      <w:r>
        <w:rPr>
          <w:rFonts w:ascii="Arial" w:cs="Arial" w:eastAsia="Arial" w:hAnsi="Arial"/>
          <w:sz w:val="17"/>
          <w:szCs w:val="17"/>
          <w:color w:val="000000"/>
        </w:rPr>
        <w:t>BEV was approved by</w:t>
      </w:r>
      <w:r>
        <w:rPr>
          <w:rFonts w:ascii="Arial" w:cs="Arial" w:eastAsia="Arial" w:hAnsi="Arial"/>
          <w:sz w:val="17"/>
          <w:szCs w:val="17"/>
          <w:color w:val="111419"/>
        </w:rPr>
        <w:t xml:space="preserve"> </w:t>
      </w:r>
      <w:r>
        <w:rPr>
          <w:rFonts w:ascii="Arial" w:cs="Arial" w:eastAsia="Arial" w:hAnsi="Arial"/>
          <w:sz w:val="17"/>
          <w:szCs w:val="17"/>
          <w:color w:val="000000"/>
        </w:rPr>
        <w:t>the FDA as monotherapy for recurrent glioblastoma in 2009 under the name Avastin®. The EMA declined to approve BEV for recurrent glioblastoma due to the absence of a non-bevacizumab control arm, a modest overall survival increment versus historic controls, inadequate elucidation of true antitumor effect, and challenges with radiographic response assessment. More recently, an immune-checkpoint blocker nivolumab was tested in combination with TMZ and RTx in a Phase 3 trial in recurrent glioblastoma patients but showed minimal activity and no benefit in terms of mOS, resulting in failure to meet one of its primary endpoints, progression free survival (PFS).</w:t>
      </w:r>
    </w:p>
    <w:p>
      <w:pPr>
        <w:spacing w:after="0" w:line="20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Currently available GBM surgical treatments have not been able to prevent GBM recurrence because of the infiltrative nature of this disease and the absence of an effective immune system. A therapeutic able to cross the blood-brain barrier and selectively impact proliferation of cancer cells independently from the region of the brain where the tumor resides would be a significant advancement.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believe that our investigational product, Temferon, has the potential to address the world recognized unmet need. Through a single administration, we believe Temferon may be able to provide a long-lasting immune response, minimize systemic toxicity, counteract cancer progression and prevent tumor relapse.</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Temferon utilizes our platform and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 to introduce a functional copy of IFN-α which is Temferon’s transgene payload, into the patient’s autologous HSPCs, resulting in a drug product that can then be reintroduced into the patient as outlined above (</w:t>
      </w:r>
      <w:r>
        <w:rPr>
          <w:rFonts w:ascii="Arial" w:cs="Arial" w:eastAsia="Arial" w:hAnsi="Arial"/>
          <w:sz w:val="17"/>
          <w:szCs w:val="17"/>
          <w:i w:val="1"/>
          <w:iCs w:val="1"/>
          <w:color w:val="auto"/>
        </w:rPr>
        <w:t>see “Our Leading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 Temferon” and “Our Platform”</w:t>
      </w:r>
      <w:r>
        <w:rPr>
          <w:rFonts w:ascii="Arial" w:cs="Arial" w:eastAsia="Arial" w:hAnsi="Arial"/>
          <w:sz w:val="17"/>
          <w:szCs w:val="17"/>
          <w:color w:val="auto"/>
        </w:rPr>
        <w:t>). Temferon is designed to colonize the patient’s bone marrow with the genetically modified HSPCs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generate TEMs containing the IFN-α payload. Since TEMs are recruited within the tumor microenvironment, IFN-α is released solely at the targeted tumor, which may result in clinical activity without inducing systemic toxicity.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09" w:name="page110"/>
    <w:bookmarkEnd w:id="109"/>
    <w:p>
      <w:pPr>
        <w:ind w:right="60" w:firstLine="648"/>
        <w:spacing w:after="0" w:line="277" w:lineRule="auto"/>
        <w:rPr>
          <w:sz w:val="20"/>
          <w:szCs w:val="20"/>
          <w:color w:val="auto"/>
        </w:rPr>
      </w:pPr>
      <w:r>
        <w:rPr>
          <w:rFonts w:ascii="Arial" w:cs="Arial" w:eastAsia="Arial" w:hAnsi="Arial"/>
          <w:sz w:val="18"/>
          <w:szCs w:val="18"/>
          <w:color w:val="auto"/>
        </w:rPr>
        <w:t xml:space="preserve">Once within the tumor microenvironment, IFN-α is expected to act both </w:t>
      </w:r>
      <w:r>
        <w:rPr>
          <w:rFonts w:ascii="Arial" w:cs="Arial" w:eastAsia="Arial" w:hAnsi="Arial"/>
          <w:sz w:val="18"/>
          <w:szCs w:val="18"/>
          <w:i w:val="1"/>
          <w:iCs w:val="1"/>
          <w:color w:val="auto"/>
        </w:rPr>
        <w:t>directly</w:t>
      </w:r>
      <w:r>
        <w:rPr>
          <w:rFonts w:ascii="Arial" w:cs="Arial" w:eastAsia="Arial" w:hAnsi="Arial"/>
          <w:sz w:val="18"/>
          <w:szCs w:val="18"/>
          <w:color w:val="auto"/>
        </w:rPr>
        <w:t xml:space="preserve"> by promoting cancer cell apoptosis and inhibiting vascularization and </w:t>
      </w:r>
      <w:r>
        <w:rPr>
          <w:rFonts w:ascii="Arial" w:cs="Arial" w:eastAsia="Arial" w:hAnsi="Arial"/>
          <w:sz w:val="18"/>
          <w:szCs w:val="18"/>
          <w:i w:val="1"/>
          <w:iCs w:val="1"/>
          <w:color w:val="auto"/>
        </w:rPr>
        <w:t>indirectly</w:t>
      </w:r>
      <w:r>
        <w:rPr>
          <w:rFonts w:ascii="Arial" w:cs="Arial" w:eastAsia="Arial" w:hAnsi="Arial"/>
          <w:sz w:val="18"/>
          <w:szCs w:val="18"/>
          <w:color w:val="auto"/>
        </w:rPr>
        <w:t xml:space="preserve"> by restoring the body’s anti-tumor immune response, as follows:</w:t>
      </w:r>
    </w:p>
    <w:p>
      <w:pPr>
        <w:spacing w:after="0" w:line="197" w:lineRule="exact"/>
        <w:rPr>
          <w:sz w:val="20"/>
          <w:szCs w:val="20"/>
          <w:color w:val="auto"/>
        </w:rPr>
      </w:pPr>
    </w:p>
    <w:p>
      <w:pPr>
        <w:ind w:left="660" w:right="280" w:hanging="328"/>
        <w:spacing w:after="0" w:line="342"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Direct Effects. </w:t>
      </w:r>
      <w:r>
        <w:rPr>
          <w:rFonts w:ascii="Arial" w:cs="Arial" w:eastAsia="Arial" w:hAnsi="Arial"/>
          <w:sz w:val="16"/>
          <w:szCs w:val="16"/>
          <w:color w:val="auto"/>
        </w:rPr>
        <w:t>IFN-α suppresses tumor cell proliferation and promotes the apoptosis of tumor and stromal cells by induction of proapoptotic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genes or repression of anti-apoptotic genes. Moreover, IFN-α inhibits angiogenesis by downregulating the expression of proangiogenic factors.</w:t>
      </w:r>
    </w:p>
    <w:p>
      <w:pPr>
        <w:spacing w:after="0" w:line="83"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Indirect Effects. </w:t>
      </w:r>
      <w:r>
        <w:rPr>
          <w:rFonts w:ascii="Arial" w:cs="Arial" w:eastAsia="Arial" w:hAnsi="Arial"/>
          <w:sz w:val="17"/>
          <w:szCs w:val="17"/>
          <w:color w:val="auto"/>
        </w:rPr>
        <w:t>IFN-α stimulates early innate immune responses and the subsequent adaptive immune response via multiple pathways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mechanisms, including: maturation and cross-priming capacity of dendritic cells (DCs); upregulation of the expression of tumor-associated surface antigens and MHC class I molecules on tumor cells and of MHC class I and II molecules on DCs; enhanced priming and survival of T cells; enhanced humoral immunity; increased cytotoxic activity of NK cells and macrophages; control of helper T cell population balance (Th1=Th2); immunoglobulin class switching of B cells; and the regulation of CD8+ cytotoxic T-lymphocyte (CTL) responses.</w:t>
      </w:r>
    </w:p>
    <w:p>
      <w:pPr>
        <w:spacing w:after="0" w:line="203"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believe that through these immunomodulatory functions and based on our preclinical data, IFN-α increases tumor immunogenicity, recruits and activates immune cells within the tumor milieu, breaks established tumor-induced immunotolerance and may induce tumor rejection.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119380</wp:posOffset>
            </wp:positionV>
            <wp:extent cx="5092065" cy="21685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9206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antitumor activity</w:t>
      </w:r>
    </w:p>
    <w:p>
      <w:pPr>
        <w:spacing w:after="0" w:line="252" w:lineRule="exact"/>
        <w:rPr>
          <w:sz w:val="20"/>
          <w:szCs w:val="20"/>
          <w:color w:val="auto"/>
        </w:rPr>
      </w:pPr>
    </w:p>
    <w:p>
      <w:pPr>
        <w:jc w:val="center"/>
        <w:ind w:left="340" w:right="140"/>
        <w:spacing w:after="0" w:line="277" w:lineRule="auto"/>
        <w:rPr>
          <w:sz w:val="20"/>
          <w:szCs w:val="20"/>
          <w:color w:val="auto"/>
        </w:rPr>
      </w:pPr>
      <w:r>
        <w:rPr>
          <w:rFonts w:ascii="Arial" w:cs="Arial" w:eastAsia="Arial" w:hAnsi="Arial"/>
          <w:sz w:val="18"/>
          <w:szCs w:val="18"/>
          <w:i w:val="1"/>
          <w:iCs w:val="1"/>
          <w:color w:val="auto"/>
        </w:rPr>
        <w:t>Once recruited at the tumor site, instead of fostering tumor growth and inhibiting the immune systems, TEMs start to release IFN-α that triggers cancer cell apoptosis and arms the immune cells to fight the cancer.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GBM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have preclinical data, published in 2018, suggesting that TEMs play an active role in GBM disease. Further studies published in 2008 showed that when TEMs were used as a “Trojan Horse,” as utilized by Temferon, the GBM tumor volume decreased and the disease progression was controlled. In more recent, unpublished preclinical studies, we have also demonstrated, in an immunocompetent GBM mouse model, that treatment with Temferon resulted in a long-term immune response in surviving mice, even after repeated tumor challenge intended to replicate possible tumor recurrences.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466090</wp:posOffset>
            </wp:positionV>
            <wp:extent cx="3505835" cy="39001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3505835"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Inhibition of Human Gliomas in IFN-α Gene Therapy Treated Athymic Mice (De Palma et al., 2008).</w:t>
      </w:r>
    </w:p>
    <w:p>
      <w:pPr>
        <w:spacing w:after="0" w:line="252" w:lineRule="exact"/>
        <w:rPr>
          <w:sz w:val="20"/>
          <w:szCs w:val="20"/>
          <w:color w:val="auto"/>
        </w:rPr>
      </w:pPr>
    </w:p>
    <w:p>
      <w:pPr>
        <w:jc w:val="center"/>
        <w:ind w:left="340"/>
        <w:spacing w:after="0" w:line="271" w:lineRule="auto"/>
        <w:rPr>
          <w:sz w:val="20"/>
          <w:szCs w:val="20"/>
          <w:color w:val="auto"/>
        </w:rPr>
      </w:pPr>
      <w:r>
        <w:rPr>
          <w:rFonts w:ascii="Arial" w:cs="Arial" w:eastAsia="Arial" w:hAnsi="Arial"/>
          <w:sz w:val="17"/>
          <w:szCs w:val="17"/>
          <w:b w:val="1"/>
          <w:bCs w:val="1"/>
          <w:i w:val="1"/>
          <w:iCs w:val="1"/>
          <w:color w:val="auto"/>
        </w:rPr>
        <w:t xml:space="preserve">A-B) </w:t>
      </w:r>
      <w:r>
        <w:rPr>
          <w:rFonts w:ascii="Arial" w:cs="Arial" w:eastAsia="Arial" w:hAnsi="Arial"/>
          <w:sz w:val="17"/>
          <w:szCs w:val="17"/>
          <w:i w:val="1"/>
          <w:iCs w:val="1"/>
          <w:color w:val="auto"/>
        </w:rPr>
        <w:t>Glioma growth (mean tumor volume ± SEM, measured by MRI) in individual control and IFN-α gene therapy treated mice (Tie2-IFN) at 3 weeks post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tumor injection (PTI). Tumor volume and progression decreased in IFN-α gene therapy treated mice. </w:t>
      </w:r>
      <w:r>
        <w:rPr>
          <w:rFonts w:ascii="Arial" w:cs="Arial" w:eastAsia="Arial" w:hAnsi="Arial"/>
          <w:sz w:val="17"/>
          <w:szCs w:val="17"/>
          <w:b w:val="1"/>
          <w:bCs w:val="1"/>
          <w:i w:val="1"/>
          <w:iCs w:val="1"/>
          <w:color w:val="auto"/>
        </w:rPr>
        <w:t>C)</w:t>
      </w:r>
      <w:r>
        <w:rPr>
          <w:rFonts w:ascii="Arial" w:cs="Arial" w:eastAsia="Arial" w:hAnsi="Arial"/>
          <w:sz w:val="17"/>
          <w:szCs w:val="17"/>
          <w:i w:val="1"/>
          <w:iCs w:val="1"/>
          <w:color w:val="auto"/>
        </w:rPr>
        <w:t xml:space="preserve"> MRI images showing brain tumor growth at the indicated time points PTI in representative control (Ctrl) and Tie2-IFN mice. Intracranial gliomas are indicated by arrows and dashed line. The tumor did not progress in Tie2-IFN mice. </w:t>
      </w:r>
      <w:r>
        <w:rPr>
          <w:rFonts w:ascii="Arial" w:cs="Arial" w:eastAsia="Arial" w:hAnsi="Arial"/>
          <w:sz w:val="17"/>
          <w:szCs w:val="17"/>
          <w:b w:val="1"/>
          <w:bCs w:val="1"/>
          <w:i w:val="1"/>
          <w:iCs w:val="1"/>
          <w:color w:val="auto"/>
        </w:rPr>
        <w:t>D)</w:t>
      </w:r>
      <w:r>
        <w:rPr>
          <w:rFonts w:ascii="Arial" w:cs="Arial" w:eastAsia="Arial" w:hAnsi="Arial"/>
          <w:sz w:val="17"/>
          <w:szCs w:val="17"/>
          <w:i w:val="1"/>
          <w:iCs w:val="1"/>
          <w:color w:val="auto"/>
        </w:rPr>
        <w:t xml:space="preserve"> Measurement of tumor necrotic fraction (mean necrotic fraction, % ± SEM) by MRI in individual Ctrl and Tie2-IFN mice at 3 weeks PTI, evidencing cancer cell death.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 xml:space="preserve"> The Tie2-IFN tumors that grew sufficiently to be analyzed displayed decreased cell proliferation and greater apoptosis (assessed by Ki-67 and cleaved caspase-3 immunostaining, respectively a proliferation and an apoptosis marker) as compared to the control tumors. (Caspase-3 = Casp-3; green) and CD31 (marker of blood vessels; red) TO-PRO-3 (TP3; nuclear staining, blue). Arrows show Ki-67+CD31+ or caspase-3+CD31+ (ECs; dashed line indicates tumor margin).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1/2a Clinical Trial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second quarter of 2019, we initiated a single-arm, open label, dose escalation, Phase 1/2a clinical trial, in adult patients aged 18 to 70 years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(“TEM-GBM 001 study”). The trial is being conducted at two clinical centers of excellence located in Milan, Italy: (i) Istituto Nazionale Neurologico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Carlo Besta</w:t>
      </w:r>
      <w:r>
        <w:rPr>
          <w:rFonts w:ascii="Arial" w:cs="Arial" w:eastAsia="Arial" w:hAnsi="Arial"/>
          <w:sz w:val="16"/>
          <w:szCs w:val="16"/>
          <w:color w:val="auto"/>
        </w:rPr>
        <w:t>”, an internationally recognized leading center in neuroscience, specializing in the diagnosis and treatment of neurological diseases in adults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children, and (ii) OSR, which has a recognized expertise in complex and innovative diagnostic and therapeutic approaches in onco-hematological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patients and in gene therapy treatments.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ind w:right="40" w:firstLine="648"/>
        <w:spacing w:after="0" w:line="254" w:lineRule="auto"/>
        <w:rPr>
          <w:sz w:val="20"/>
          <w:szCs w:val="20"/>
          <w:color w:val="auto"/>
        </w:rPr>
      </w:pPr>
      <w:r>
        <w:rPr>
          <w:rFonts w:ascii="Arial" w:cs="Arial" w:eastAsia="Arial" w:hAnsi="Arial"/>
          <w:sz w:val="18"/>
          <w:szCs w:val="18"/>
          <w:color w:val="auto"/>
        </w:rPr>
        <w:t>The primary objective of the TEM-GBM 001 study is to evaluate the safety, feasibility and biological activity of Temferon in GBM patients with an unmethylated MGMT gene, who as a result of the gene, have a poor prognosis and are expected to not respond to TMZ treatment. These patients are identified immediately after surgery, upon confirmation of the diagnosis and MGMT methylation status. After enrollment, each patient is screened for eligibility, and if eligible subjected to the mobilization procedure to induce HSPCs to exit from the bone marrow niche and to migrate into the peripheral blood where they are collected by leukapheresis. Immediately after collection, each patient’s HSPCs are sent to our CMO to be genetically modified and become Temferon. After Temferon administration, each patient will be followed for two years. The figure below depicts the different stages of TEM-GBM 001 study enrollment and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149860</wp:posOffset>
            </wp:positionV>
            <wp:extent cx="4526280" cy="27946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2628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TEM-GBM 001 Study Design.</w:t>
      </w:r>
    </w:p>
    <w:p>
      <w:pPr>
        <w:spacing w:after="0" w:line="25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Our study is split into two parts, Part A and Part B. Part A evaluates the tolerability and safety of three escalating doses of Temferon in 15 patients at 90 days. Part B evaluates the safety and tolerability of a single dose, as identified from Part A, in 6 patients with GBM at 90 days. The secondary objective of this study is to evaluate the long-term tolerability and safety of Temferon for up to 2 years following Temferon administration.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Patients in Part A of our study will be split into five cohorts, each containing three patients. Each cohort will be administered one of three</w:t>
      </w:r>
    </w:p>
    <w:p>
      <w:pPr>
        <w:spacing w:after="0" w:line="23" w:lineRule="exact"/>
        <w:rPr>
          <w:sz w:val="20"/>
          <w:szCs w:val="20"/>
          <w:color w:val="auto"/>
        </w:rPr>
      </w:pPr>
    </w:p>
    <w:p>
      <w:pPr>
        <w:spacing w:after="0" w:line="223" w:lineRule="auto"/>
        <w:rPr>
          <w:sz w:val="20"/>
          <w:szCs w:val="20"/>
          <w:color w:val="auto"/>
        </w:rPr>
      </w:pPr>
      <w:r>
        <w:rPr>
          <w:rFonts w:ascii="Arial" w:cs="Arial" w:eastAsia="Arial" w:hAnsi="Arial"/>
          <w:sz w:val="16"/>
          <w:szCs w:val="16"/>
          <w:color w:val="auto"/>
        </w:rPr>
        <w:t>escalating Temferon doses (Dose I to III, with Dose III also administered to patients from cohorts 4 to 5) following the infusion of supporter HSPCs (3x10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of non-manipulated CD34+ cells/kg or 2x10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non-manipulated CD34+ cells/kg). We will also test two sub-myelosuppressive conditioning regimens required for the engraftment of Temferon (i) carmustine (BCNU) and thiotepa in patients of cohorts 1-4, and (ii) busulfan and thiotepa in patients of cohort</w:t>
      </w:r>
    </w:p>
    <w:p>
      <w:pPr>
        <w:spacing w:after="0" w:line="2" w:lineRule="exact"/>
        <w:rPr>
          <w:sz w:val="20"/>
          <w:szCs w:val="20"/>
          <w:color w:val="auto"/>
        </w:rPr>
      </w:pPr>
    </w:p>
    <w:p>
      <w:pPr>
        <w:ind w:right="40" w:firstLine="8"/>
        <w:spacing w:after="0" w:line="252" w:lineRule="auto"/>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are evaluating the two conditioning regimens to determine which regimen results in better engraftment of Temferon to the bone marrow with fewer side effects. Upon completion of Part A of our study, we will enroll an additional six patients into Part B of the study to evaluate the safety and tolerability of the single dose of Temferon identified from Part A. The conditioning regimen we use in Part B will also be selected based on the results of Part A. Once Part B starts, we will add another stand-alone site, the Policlinico Gemelli in Rome (Italy). The figure below represents the TEM-GBM 001 study scheme with interim and anticipated milestones. The study EudraCT Number is 2018-001404-11 and can be found at clinicaltrialsregister.eu/ctr-search/trial/2018-001404-11/IT.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466090</wp:posOffset>
            </wp:positionV>
            <wp:extent cx="5340350" cy="19888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534035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TEM-GBM Study Design.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Interim Results.</w:t>
      </w:r>
    </w:p>
    <w:p>
      <w:pPr>
        <w:spacing w:after="0" w:line="252"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We designed the TEM-GBM 001 study to: (i) obtain rapid accrual of patients (ii) assess the safety profile of Temferon, (iii) identify the optimal dose, and (iv) measure the biological activity of Temferon on those patients who progress to the point of requiring a second surgery.</w:t>
      </w:r>
    </w:p>
    <w:p>
      <w:pPr>
        <w:spacing w:after="0" w:line="14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designed our study anticipating that patients receiving lower doses of Temferon could progress to the point of needing a second surgery. A second surgery provides the only source of GBM specimens post treatment to evaluate the biological activity of Temferon, and to evaluate its mechanism of action in patients. We enrolled our first patient in April 2019 and as of April 15, 2021, we have dosed twelve patients, nine of them belonging to the first three dose escalating cohorts, two belonging to cohort 4 and the last belonging to cohort 5. Three additional patients are also enrolled, one which is assigned to cohort 4 and two of which are assigned to cohort 5. We expect to complete dosing of patients assigned to cohorts 4 and 5 by the end of the second quarter of 2021 and progress to Part B of our study in the third quarter of 2021.</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Overview of the current TEM-GBM clinical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151765</wp:posOffset>
            </wp:positionV>
            <wp:extent cx="5743575" cy="2297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4357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3" w:name="page114"/>
    <w:bookmarkEnd w:id="113"/>
    <w:p>
      <w:pPr>
        <w:ind w:right="80" w:firstLine="648"/>
        <w:spacing w:after="0" w:line="275" w:lineRule="auto"/>
        <w:rPr>
          <w:sz w:val="20"/>
          <w:szCs w:val="20"/>
          <w:color w:val="auto"/>
        </w:rPr>
      </w:pPr>
      <w:r>
        <w:rPr>
          <w:rFonts w:ascii="Arial" w:cs="Arial" w:eastAsia="Arial" w:hAnsi="Arial"/>
          <w:sz w:val="17"/>
          <w:szCs w:val="17"/>
          <w:color w:val="auto"/>
        </w:rPr>
        <w:t>There have been no dose limiting toxicities identified in our clinical study to date. All patients showed rapid engraftment and hematological recovery after administering the sub-myeloablative conditioning regimens (Busulfan BCNU + Thiotepa or Busulfan and Thiothepa). Evidence of presence and persistence of Temferon-derived differentiated cells is assessed by measuring the vector genomes in the DNA of peripheral blood and bone marrow cells (absolute number quantified by ddPCR). The vector copy number (VCN) positive cells were present within 14 days post treatment and were detectable, albeit at lower levels, in the long-term (up to 18 months, the last measured timepoint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137795</wp:posOffset>
            </wp:positionV>
            <wp:extent cx="5743575" cy="21348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43575"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Engineered myeloid cells persist in peripheral blood for up to 18 months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also detected very low concentrations of IFN-α in the plasma and cerebrospinal fluid, suggesting effectiveness of the transgene expression control mechanism may be working as intended.</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Serious adverse events have mainly been attributed by the Investigator to the effects of the conditioning regimen (pneumonia, pulmonary embolism, febrile neutropenia, fatigue, C.diff infection, CMV reactivation, sepsis) or disease progression (worsening left hemiparesis, seizure, brain abscess, sudden death). Three instances of elevated gamma glutamyl transferase (GGT) have been observed: two mild cases attributed to chemotherapy and HSPC harvesting, each of which has resolved; and one case occurring at D+78 following Temferon administration, which was classified as a suspected unexpected serious adverse reaction (SUSAR) possibly related to Temferon, and which has also resolved. Four deaths have been reported to date: three at +322, +340 and +402 days after Temferon administration due to disease progression, and the fourth at +60 days due to complications following the conditioning regimen.</w:t>
      </w:r>
    </w:p>
    <w:p>
      <w:pPr>
        <w:spacing w:after="0" w:line="22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last evaluable disease status as assessed by immunotherapy response assessment for neuro-oncology (iRANO) criteria as of April 15, 2021, the last evaluable time point for all 12 treated patients, was as follows: four patients had shown stable disease (SD), two patients had demonstrated partial response, five patients had shown progressive disease (PD) and one patient had shown pseudoprogression. For reference, The iRANO guidelines specifically address interpretation of initial progressive imaging findings in the context of neuro-oncology patients with a goal of decreasing the likelihood of premature discontinuation of potentially beneficial therapies while ensuring maximum patient safety. iRANO empirically stipulates a three month window for confirmation of progression on follow-up imaging, and further advises that progressive imaging changes beyond six months after immunotherapy initiation are more likely true tumor progression.</w:t>
      </w:r>
    </w:p>
    <w:p>
      <w:pPr>
        <w:spacing w:after="0" w:line="17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All patients from the first two, lower dose, cohorts progressed. The PD occurred after a median of + 124 days (range 83–239 days) following administration of Temferon. Two patients of cohort 3 progressed before Temferon administration. Preliminary analyses performed on the tumor specimens belonging to patients with PD who underwent a second surgery (4 patients) confirmed the presence of TEMs within the tumor, as assessed by flow cytometry, and an increased expression of IFN-responsive gene signatures compared to diagnosis , as assessed by quantitative polymerase chain reaction (PCR) tests. We believe that these findings suggest intra-tumor IFN-α release.</w:t>
      </w:r>
    </w:p>
    <w:p>
      <w:pPr>
        <w:spacing w:after="0" w:line="18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Of the four patients who underwent the second surgery, one patient had a prior lesion, which was not removed during the first surgery. When this patient underwent the second surgery following treatment with Temferon, it was observed that this lesion was stable and had not grown. In addition, this patient presented a relapsing progressing lesion that had developed at the first surgery site. Both lesions were removed and biopsied at the second surgery. Notably, as assessed by flow cytometry, the stable lesion had a higher proportion of T cells and TEMs within the myeloid infiltrate and as detected by quantitative PCR a markedly increased IFN-response signature as compared to the relapse-progressing lesion.</w:t>
      </w:r>
    </w:p>
    <w:p>
      <w:pPr>
        <w:spacing w:after="0" w:line="188"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We also analyzed the peripheral blood of the patients from cohorts 1 and 2. In these patients, the peripheral blood showed, on two of the three subjects with samples at the first and second surgery, a change in the T cell immune repertoire post treatment, revealing expansion of tumor-associated clones, which suggested that changes in the immune system are occurring.</w:t>
      </w:r>
    </w:p>
    <w:p>
      <w:pPr>
        <w:spacing w:after="0" w:line="211"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believe these results align with our preclinical data and suggest the immune activation effects of Temferon. Specifically, the preliminary interim results, including the tumor analysis conducted after second surgery described above, provide biological evidence to support the hypothesis that cellular and molecular changes were triggered by Temferon in GBM patients despite the low dose administered. We have yet to reach the maximum tolerated dose of Temferon and as outlined in our study protocol, we will be increasing the dose in cohorts 4 and 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TEM-GBM Clinical Development Plan</w:t>
      </w:r>
    </w:p>
    <w:p>
      <w:pPr>
        <w:spacing w:after="0" w:line="25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plan to use the results of our TEM-GBM Phase 1/2a study (NCT03866109) to support our submission of an IND to the FDA. In advance of our submission, we intend to have a Pre-IND meeting with the FDA by the end of the second quarter of 2021 to discuss our clinical trial design and endpoints, proposed commercial manufacturing process, including analytical methods and corresponding qualification, and validation plans for Temferon. We anticipate submitting an IND for a Temferon Phase 1/2b study for GBM patients by the fourth quarter of 2021. The Phase 1/2b study will evaluate the safety, tolerability, biological reprogramming of the tumor microenvironment in Temferon treated patients compared to the current standard of care, with</w:t>
      </w:r>
    </w:p>
    <w:p>
      <w:pPr>
        <w:sectPr>
          <w:pgSz w:w="11900" w:h="16838" w:orient="portrait"/>
          <w:cols w:equalWidth="0" w:num="1">
            <w:col w:w="11220"/>
          </w:cols>
          <w:pgMar w:left="320" w:top="719" w:right="359" w:bottom="0" w:gutter="0" w:footer="0" w:header="0"/>
        </w:sectPr>
      </w:pPr>
    </w:p>
    <w:bookmarkStart w:id="114" w:name="page115"/>
    <w:bookmarkEnd w:id="114"/>
    <w:p>
      <w:pPr>
        <w:spacing w:after="0" w:line="277" w:lineRule="auto"/>
        <w:rPr>
          <w:sz w:val="20"/>
          <w:szCs w:val="20"/>
          <w:color w:val="auto"/>
        </w:rPr>
      </w:pPr>
      <w:r>
        <w:rPr>
          <w:rFonts w:ascii="Arial" w:cs="Arial" w:eastAsia="Arial" w:hAnsi="Arial"/>
          <w:sz w:val="18"/>
          <w:szCs w:val="18"/>
          <w:color w:val="auto"/>
        </w:rPr>
        <w:t>primary endpoints, of PFS and mOS. Additionally, we intend to identify and select a CMO to manufacture and to supply Temferon in the U.S. for our larger trials to be conducted after the completion of our Phase 1/2b study.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components of the anticipated clinical trial are as follows:</w:t>
      </w:r>
    </w:p>
    <w:p>
      <w:pPr>
        <w:spacing w:after="0" w:line="252"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Multicenter study evaluating Temferon for safety, tolerability and efficacy compared to the current standard of care;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Enrollment and treatment of up to 30 patients with newly diagnosed GBM and unmethylated MGMT promoter;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Co-primary study endpoints to include PFS and mOS.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study design will be discussed with FDA at the Pre-IND meeting and may be subjected to modifications.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Solid Tumor Indication</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are also evaluating liver cancers as a potential second solid tumor to be investigated. HCC and ICC are gastrointestinal cancers affecting the digestive system. We chose to pursue these indications for similar reasons as the GBM indication, namely:</w:t>
      </w:r>
    </w:p>
    <w:p>
      <w:pPr>
        <w:spacing w:after="0" w:line="193" w:lineRule="exact"/>
        <w:rPr>
          <w:sz w:val="20"/>
          <w:szCs w:val="20"/>
          <w:color w:val="auto"/>
        </w:rPr>
      </w:pPr>
    </w:p>
    <w:p>
      <w:pPr>
        <w:ind w:left="660" w:right="480" w:hanging="328"/>
        <w:spacing w:after="0" w:line="282"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High unmet medical need and market opportunity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prognosis for patients with locally advanced HCC and ICC remains poor with few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options having limited clinical benefits.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111419"/>
        </w:rPr>
        <w:t>TEMs have an active role in HCC and ICC pathology.</w:t>
      </w:r>
    </w:p>
    <w:p>
      <w:pPr>
        <w:spacing w:after="0" w:line="252" w:lineRule="exact"/>
        <w:rPr>
          <w:rFonts w:ascii="Arial" w:cs="Arial" w:eastAsia="Arial" w:hAnsi="Arial"/>
          <w:sz w:val="18"/>
          <w:szCs w:val="18"/>
          <w:color w:val="auto"/>
        </w:rPr>
      </w:pPr>
    </w:p>
    <w:p>
      <w:pPr>
        <w:ind w:left="980" w:right="240" w:hanging="324"/>
        <w:spacing w:after="0" w:line="277"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Several third-party studies have shown that tumor infiltration by tumor associated myeloid cells, including TEMs, is a negative prognostic factor in HCC and ICC.</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HCC, TEMs are the most abundant proportion of tumor associated myeloid cells.</w:t>
      </w:r>
    </w:p>
    <w:p>
      <w:pPr>
        <w:spacing w:after="0" w:line="184" w:lineRule="exact"/>
        <w:rPr>
          <w:rFonts w:ascii="Arial" w:cs="Arial" w:eastAsia="Arial" w:hAnsi="Arial"/>
          <w:sz w:val="18"/>
          <w:szCs w:val="18"/>
          <w:color w:val="auto"/>
        </w:rPr>
      </w:pPr>
    </w:p>
    <w:p>
      <w:pPr>
        <w:ind w:left="980" w:right="340" w:hanging="324"/>
        <w:spacing w:after="0" w:line="342" w:lineRule="auto"/>
        <w:tabs>
          <w:tab w:leader="none" w:pos="9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Hepatitis B (HBV) infections and hepatitis C (HCV) infections, both of which predispose individuals to the development of chronic liver disease and the subsequent liver cancers, upregulate Ang-2 expression, further contributing to tumor angiogenesis and TEMs migration.</w:t>
      </w:r>
    </w:p>
    <w:p>
      <w:pPr>
        <w:spacing w:after="0" w:line="8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HCC, Ang-2 mRNA expression is significantly increased when compared to adjacent liver tissue and angiopoietins and tumor infiltrating TEMs appear to be associated with metastasis and recurrent disease.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the above evidence highlights the role of TEMs in fostering liver cancer growth, by promoting angiogenesis.</w:t>
      </w:r>
    </w:p>
    <w:p>
      <w:pPr>
        <w:spacing w:after="0" w:line="252" w:lineRule="exact"/>
        <w:rPr>
          <w:sz w:val="20"/>
          <w:szCs w:val="20"/>
          <w:color w:val="auto"/>
        </w:rPr>
      </w:pPr>
    </w:p>
    <w:p>
      <w:pPr>
        <w:ind w:left="660" w:right="70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Pro-inflammatory and immunosuppressive tumor microenvironment. </w:t>
      </w:r>
      <w:r>
        <w:rPr>
          <w:rFonts w:ascii="Arial" w:cs="Arial" w:eastAsia="Arial" w:hAnsi="Arial"/>
          <w:sz w:val="18"/>
          <w:szCs w:val="18"/>
          <w:color w:val="000000"/>
        </w:rPr>
        <w:t>Both locally advanced HCC and ICC are characterized by a pro-inflammatory and immunosuppressive tumor microenvironment with TEMs playing a key role.</w:t>
      </w:r>
    </w:p>
    <w:p>
      <w:pPr>
        <w:spacing w:after="0" w:line="129"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IFN-α and liver tumors. </w:t>
      </w:r>
      <w:r>
        <w:rPr>
          <w:rFonts w:ascii="Arial" w:cs="Arial" w:eastAsia="Arial" w:hAnsi="Arial"/>
          <w:sz w:val="17"/>
          <w:szCs w:val="17"/>
          <w:color w:val="auto"/>
        </w:rPr>
        <w:t>Chronic inflammation resulting from HBV and HCV infection are key contributors for the development of HCC or ICC.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the introduction of antiviral agents in 2011, parenterally administered interferons, including IFN-α, were utilized as the standard of care in order to achieve viral clearance and/or suppression. The use of IFN-based regimens for HCV and HBV infections has been associated with a reduction in HCC risk. Evidence suggests that use of IFN-α as an adjuvant therapy in HCC patients after curative therapy may reduce the recurrence rates for up to 5 years, particularly in patients with concurrent HCV infection.</w:t>
      </w:r>
    </w:p>
    <w:p>
      <w:pPr>
        <w:spacing w:after="0" w:line="13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111419"/>
        </w:rPr>
        <w:t xml:space="preserve">Available preclinical </w:t>
      </w:r>
      <w:r>
        <w:rPr>
          <w:rFonts w:ascii="Arial" w:cs="Arial" w:eastAsia="Arial" w:hAnsi="Arial"/>
          <w:sz w:val="17"/>
          <w:szCs w:val="17"/>
          <w:b w:val="1"/>
          <w:bCs w:val="1"/>
          <w:i w:val="1"/>
          <w:iCs w:val="1"/>
          <w:color w:val="000000"/>
        </w:rPr>
        <w:t>data.</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We have preclinical data, published in peer reviewed papers suggesting that TEMs used as a “Trojan Horse” for cancer</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that has metastasized to the liver were able to induce a statistically significant tumor shrinkage and control disease progression.</w:t>
      </w:r>
    </w:p>
    <w:p>
      <w:pPr>
        <w:spacing w:after="0" w:line="105" w:lineRule="exact"/>
        <w:rPr>
          <w:rFonts w:ascii="Arial" w:cs="Arial" w:eastAsia="Arial" w:hAnsi="Arial"/>
          <w:sz w:val="17"/>
          <w:szCs w:val="17"/>
          <w:color w:val="auto"/>
        </w:rPr>
      </w:pPr>
    </w:p>
    <w:p>
      <w:pPr>
        <w:ind w:left="660" w:right="120" w:hanging="328"/>
        <w:spacing w:after="0" w:line="342"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Opportunity. </w:t>
      </w:r>
      <w:r>
        <w:rPr>
          <w:rFonts w:ascii="Arial" w:cs="Arial" w:eastAsia="Arial" w:hAnsi="Arial"/>
          <w:sz w:val="16"/>
          <w:szCs w:val="16"/>
          <w:color w:val="auto"/>
        </w:rPr>
        <w:t>Based on currently available treatments, the HCC and ICC combined global market value is projected to grow to over $2.6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billion by 2026. We believe a novel therapeutic which demonstrates improvement over existing therapies would greatly grow the market size.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Liver and intrahepatic bile duct cancers are upper gastrointestinal (GI) cancers that affect the digestive system. They are the fifth most common cause of cancer deaths in men in the U.S., and the seventh most common cause of death in women. The American Cancer Society (ACS) estimates that 42,230 new cases of liver cancer (including intrahepatic bile duct cancers) will be diagnosed in 2021. Of these cases, approximately three-quarters were HCC, while less than one-quarter were bile duct cancers (both intrahepatic and extrahepatic). We are developing Temferon to treat the two tumor types listed below.</w:t>
      </w:r>
    </w:p>
    <w:p>
      <w:pPr>
        <w:spacing w:after="0" w:line="215" w:lineRule="exact"/>
        <w:rPr>
          <w:sz w:val="20"/>
          <w:szCs w:val="20"/>
          <w:color w:val="auto"/>
        </w:rPr>
      </w:pPr>
    </w:p>
    <w:p>
      <w:pPr>
        <w:ind w:left="660" w:right="40" w:hanging="328"/>
        <w:spacing w:after="0" w:line="293"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Hepatocellular carcinoma </w:t>
      </w:r>
      <w:r>
        <w:rPr>
          <w:rFonts w:ascii="Arial" w:cs="Arial" w:eastAsia="Arial" w:hAnsi="Arial"/>
          <w:sz w:val="16"/>
          <w:szCs w:val="16"/>
          <w:color w:val="auto"/>
        </w:rPr>
        <w:t>(HCC) is a primary malignancy of the liver that occurs predominantly in patients with underlying chronic liver disease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cirrhosis. The incidence of HCC has been rising worldwide over the last 20 years, with about eight new cases per 100,000 adults per year. The highest incidence of HCC occurs in Asia and Africa, where the endemically high prevalence of hepatitis B (HBV) and hepatitis C (HCV) strongly predisposes individuals to the development of chronic liver disease and the subsequent development of HCC. Patients with HCC have, when treated with the current standard of care, an expected median OS of only 11 months with approximately 10-40% of patients surviving 3 years. Up to 25% of HCC patients have no history of cirrhosis and do not present any risk factors for chronic liver disease, such as HBV and HCV.</w:t>
      </w:r>
    </w:p>
    <w:p>
      <w:pPr>
        <w:spacing w:after="0" w:line="123"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9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Cholangiocarcinoma </w:t>
      </w:r>
      <w:r>
        <w:rPr>
          <w:rFonts w:ascii="Arial" w:cs="Arial" w:eastAsia="Arial" w:hAnsi="Arial"/>
          <w:sz w:val="18"/>
          <w:szCs w:val="18"/>
          <w:color w:val="auto"/>
        </w:rPr>
        <w:t>is a biliary tract cancer and represents approximately 3% of all GI malignancies. Of this 3%, ICC accounts for 5% to 10%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cases. The incidence is 2.1 per 100,000 person years. Despite surgery, the prognosis remains poor with disease recurrence and progression occurring in approximately two-thirds of patients and a 5-year survival rate of only 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HCC Current Treatment Landscape and Limitations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general, HCC patients are asymptomatic in the early stages of the disease, and as a result, the diagnosis is usually obtained in later stages of the disease when there are no curative therapies available. The implementation of surveillance, and the improvements in imaging techniques, have enabled the diagnosis at earlier stages of HCC. In terms of first line treatment approaches, patients with very early HCC are optimal candidates for surgical resection and liver transplantation but when these options are not suitable due to tumor localization or the absence of a matched liver donor, local ablation through percutaneous ethanol injection or radiofrequency are the available alternative treatments. For late-stage HCC, the transcatheter arterial chemoembolization (TACE) is the standard of care.</w:t>
      </w:r>
    </w:p>
    <w:p>
      <w:pPr>
        <w:spacing w:after="0" w:line="219" w:lineRule="exact"/>
        <w:rPr>
          <w:sz w:val="20"/>
          <w:szCs w:val="20"/>
          <w:color w:val="auto"/>
        </w:rPr>
      </w:pPr>
    </w:p>
    <w:p>
      <w:pPr>
        <w:ind w:left="660" w:right="140" w:hanging="328"/>
        <w:spacing w:after="0" w:line="263"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Surgical Resection </w:t>
      </w:r>
      <w:r>
        <w:rPr>
          <w:rFonts w:ascii="Arial" w:cs="Arial" w:eastAsia="Arial" w:hAnsi="Arial"/>
          <w:sz w:val="18"/>
          <w:szCs w:val="18"/>
          <w:color w:val="auto"/>
        </w:rPr>
        <w:t>is the recommended first line therapy for patients with a single HCC nodule, achieving the highest effectiveness in terms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control and overall survival. However, despite the accurate selection of patients with early tumors and the complete tumor removal, HCC patients are at high risk of tumor recurrence.</w:t>
      </w:r>
    </w:p>
    <w:p>
      <w:pPr>
        <w:spacing w:after="0" w:line="143" w:lineRule="exact"/>
        <w:rPr>
          <w:rFonts w:ascii="Arial" w:cs="Arial" w:eastAsia="Arial" w:hAnsi="Arial"/>
          <w:sz w:val="18"/>
          <w:szCs w:val="18"/>
          <w:color w:val="auto"/>
        </w:rPr>
      </w:pPr>
    </w:p>
    <w:p>
      <w:pPr>
        <w:ind w:left="660" w:right="180" w:hanging="328"/>
        <w:spacing w:after="0" w:line="259"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Percutaneous ethanol injection </w:t>
      </w:r>
      <w:r>
        <w:rPr>
          <w:rFonts w:ascii="Arial" w:cs="Arial" w:eastAsia="Arial" w:hAnsi="Arial"/>
          <w:sz w:val="18"/>
          <w:szCs w:val="18"/>
          <w:color w:val="auto"/>
        </w:rPr>
        <w:t>(PEI) is an effective technique used for early-stage HCC with a low complication rate that induces the complete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necrosis of small HCC lesions. However, PEI has limitations including the need for multiple treatment sessions (4-6) and a prolonged treatment time. Although generally well tolerated, PEI can result in death and rare instances of tumor seeding. PEI-treated lesions have a high rate of local recurrence (33% - 43%).</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Radiofrequency ablation </w:t>
      </w:r>
      <w:r>
        <w:rPr>
          <w:rFonts w:ascii="Arial" w:cs="Arial" w:eastAsia="Arial" w:hAnsi="Arial"/>
          <w:sz w:val="18"/>
          <w:szCs w:val="18"/>
          <w:color w:val="auto"/>
        </w:rPr>
        <w:t>(RFA) has advantages compared to PEI including ease of performance, effectiveness similar to that of surgical resection,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 safety, and low invasiveness. RFA is the first-choice post-surgery procedure for patients with early-stage HCC. However, despite the advantages of RFA, complete tumor ablation remains difficult to achieve in some specific liver sites. Many patients treated with RFA develop atrial fibrillation on long-term follow-up.</w:t>
      </w:r>
    </w:p>
    <w:p>
      <w:pPr>
        <w:spacing w:after="0" w:line="146"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Transarterial chemoembolization </w:t>
      </w:r>
      <w:r>
        <w:rPr>
          <w:rFonts w:ascii="Arial" w:cs="Arial" w:eastAsia="Arial" w:hAnsi="Arial"/>
          <w:sz w:val="18"/>
          <w:szCs w:val="18"/>
          <w:color w:val="auto"/>
        </w:rPr>
        <w:t>(TACE) is the current standard of care for patients with intermediate/late-stage HCC and who have relatively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preserved liver function. TACE combines the “tumor embolization”, meaning the treatment blocks the vascular supply to a tumor accompanied by a local administration of chemotherapy. This permits high concentration of drugs in the tumor area, while simultaneously reducing systemic exposure. However, the technique is not standardized and there is no universal consensus as to TACE application in the clinical setting thereby limiting reliable comparison of results.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17" w:name="page118"/>
    <w:bookmarkEnd w:id="117"/>
    <w:p>
      <w:pPr>
        <w:ind w:left="660" w:right="60" w:hanging="328"/>
        <w:spacing w:after="0" w:line="301"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Sorafenib </w:t>
      </w:r>
      <w:r>
        <w:rPr>
          <w:rFonts w:ascii="Arial" w:cs="Arial" w:eastAsia="Arial" w:hAnsi="Arial"/>
          <w:sz w:val="16"/>
          <w:szCs w:val="16"/>
          <w:color w:val="auto"/>
        </w:rPr>
        <w:t>has been the first line chemotherapy standard of care for patients with advanced unresectable hepatocellular carcinoma (HCC)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and has also been found to be useful in association with TACE as an effective chemotherapeutic agent to prolong survival in inoperable HCCs. However, Sorafenib is associated with adverse events (AEs) such as hand-foot skin reaction, rash, upper and lower gastrointestinal distress (i.e. diarrhea), fatigue, and hypertension. Furthermore, a proportion of treated patients show no response to the drug.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ICC Current Treatment Landscape and Limitations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Surgery (radical excision) is the only treatment available for ICC. However, the disease will recur in 40–85% of patients who have a median survival of 36 months. Neo-adjuvant approaches have largely been unsuccessful and adjuvant therapy (radiotherapy, chemoradiotherapy or chemotherapy alone) is offered to patients only as a palliative solution. Based on a single, positive Phase 3 study, chemotherapy with gemcitabine and cisplatin is considered the standard of care and plays an established role as a palliative care solution.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Similar to Temferon for GBM, we believe that Temferon may overcome the current treatment limitations of HCC and ICC that are not curative/resolutive by stopping/delaying disease progression.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HCC and ICC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described in the study published by Giovanni Sitia’s research group at OSR in collaboration with Luigi Naldini, our IFN-α gene delivery platform was tested in a mouse model of liver metastases from colorectal cancer (CRC) resulting in a substantially delayed or complete prevention of tumor growth with prolonged long-term survival. Our approach was also effective on pre-established liver metastases that more closely mimics tumor treatment in 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144780</wp:posOffset>
            </wp:positionV>
            <wp:extent cx="5349240" cy="42176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4924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vivo data on Tie2-IFN gene therapy platform in a mouse model of colorectal cancer (CRC) liver metastasis (Catarinella et. al; 2016)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IFN-α gene therapy treatment impairs the metastatic growth in the liver CRC liver metastasis.</w:t>
      </w:r>
    </w:p>
    <w:p>
      <w:pPr>
        <w:spacing w:after="0" w:line="252"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i w:val="1"/>
          <w:iCs w:val="1"/>
          <w:color w:val="auto"/>
        </w:rPr>
        <w:t>CT26 and MC38 cell line panels: Percentage and tumor volume quantification measured by MRI analysis of mice injected with CT26 cells bearing at least one CRC liver metastasis estimated by MRI analysis and Kaplan–Meier survival curves of the indicated groups. The inset images show representative macroscopic photographs of the metastatic progression in the liver. Sham i.e., mice transplanted with non-transduced HSPCs and intrasplenically injected with saline thereafter.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TEM-HC Study Design</w:t>
      </w:r>
    </w:p>
    <w:p>
      <w:pPr>
        <w:spacing w:after="0" w:line="25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are currently developing the TEM-HC study design. As with the TEM-GBM 001 study, we plan to propose to the Italian regulatory bodies a non-randomized, open label, single center, Phase 1/2a, therapeutic-exploratory, prospective study, involving a single injection of Temferon administration</w:t>
      </w:r>
    </w:p>
    <w:p>
      <w:pPr>
        <w:sectPr>
          <w:pgSz w:w="11900" w:h="16838" w:orient="portrait"/>
          <w:cols w:equalWidth="0" w:num="1">
            <w:col w:w="11240"/>
          </w:cols>
          <w:pgMar w:left="320" w:top="719" w:right="339" w:bottom="0" w:gutter="0" w:footer="0" w:header="0"/>
        </w:sectPr>
      </w:pPr>
    </w:p>
    <w:bookmarkStart w:id="118" w:name="page119"/>
    <w:bookmarkEnd w:id="118"/>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up to 9 patients affected by either HCC or ICC. The study will recruit and track patients at OSR. We intend to initiate this Phase 1/2a study within the first quarter of 2022, subject to feedback from regulatory authorities.</w:t>
      </w:r>
    </w:p>
    <w:p>
      <w:pPr>
        <w:spacing w:after="0" w:line="19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Patients will be administered Temferon following the same process as our TEM-GBM trial, namely: (i) HSPCs harvesting, (ii) standard of care chemotherapy concomitant to Temferon manufacturing, (iii) administration of the conditioning regimen followed by Temferon infusion, and (iv) 2-years of follow-up.</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Pipeline Pre-Clinical Programs</w:t>
      </w:r>
    </w:p>
    <w:p>
      <w:pPr>
        <w:spacing w:after="0" w:line="24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platform technology was designed to be flexible so that it can be potentially adapted to treat a variety of cancers. We believe that Temferon lends itself to be used in combination with a variety of current existing therapeutics to potentially enhance overall efficacy because its mechanism of action is intended to abrogate tumor induced tolerance. Additionally, we are developing a second-generation platform which is designed to release our therapeutic payload “on demand”. Finally, our proprietary platform is designed to control the expression of a potentially wide variety of therapeutic payloads we may choose for different targets.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Treatment</w:t>
      </w:r>
    </w:p>
    <w:p>
      <w:pPr>
        <w:spacing w:after="0" w:line="25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While therapies to treat several types of cancers, such as ICI, CAR-T and TCR, are rapidly transforming the practice of medical oncology, clinical data point to the risk of late relapses after treatment with these therapeutics. Thus, the data suggest that the durability of the response to these therapies remains a significant challenge. We believe that due the agnostic nature of Temferon, its potential activity, which includes the abrogation of tumor induced tolerance, and its potentially synergistic mechanism of action, makes it an ideal candidate to be considered for combination treatments. Specifically, Temferon may be a good candidate to be used in combination, for very aggressive tumors, with other immune-oncology drugs, such as CAR-T and ICI, to extend the durability of the response in very aggressive tumors. We believe that this additional Temferon application is supported by the promising results coming from the combination studies performed using Temferon with CAR-T, TCR and ICI in our pre-clinical programs as discussed below.</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preclinical studies conducted in the laboratories of our founders, Professor Luigi Naldini and Dr. Bernhard Gentner, Temferon was evaluated in combination with CAR T, TCR-edited T cells directed against tumor-associated antigens and immune checkpoint blockers. The results showed promising additive-to-synergistic anti-tumor activity in leukemia experimental models (Escobar et al., Nature Communication 2018), glioblastoma models, and multiple myeloma mouse models (manuscripts in preparation). These results lead us to believe that IFN gene therapy might also boost the efficacy of other immunotherapies.</w:t>
      </w:r>
    </w:p>
    <w:p>
      <w:pPr>
        <w:spacing w:after="0" w:line="21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Specifically, in a leukemia mouse model, a CD19 CAR-T approach had detectable, but not significant effect on the tumor burden. However, when used in combination with Temferon, the combination treatment resulted in a significant inhibition of the hematological malignancy with a significant fraction of CAR-T/Temferon treated mice surviving at the latest timepoint of analysis. Similarly, the combination of IFN gene therapy to α-CTLA4, an immune check point blocker, or adoptive T cell therapy, significantly improved the survival of the mice (Escobar et al., Nature Communication 2018) ..</w:t>
      </w:r>
    </w:p>
    <w:p>
      <w:pPr>
        <w:spacing w:after="0" w:line="18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a multiple myeloma mouse model, Temferon was administered in combination with human TCR-edited T cells directed against NY-ESO1 and anti-myeloma drugs. The combination approach showed promising additive-to-synergistic effects leading to more pronounced disease control compared to most single-agent regimens, and without exacerbating hematologic or systemic toxicities (manuscript in preparation).</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Switchable Platform</w:t>
      </w:r>
    </w:p>
    <w:p>
      <w:pPr>
        <w:spacing w:after="0" w:line="2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founders are developing a second-generation platform designed to release the therapeutic payload “on demand” to allow in vivo control of its potential efficacy. Potential advantages of this application include (i) broadening the clinical application to patient populations with more favorable pre-treatment prognoses; (ii) control of long-term side effects that may arise from the chronic exposure to immunostimulatory molecules and (iii) the ability to activate the immune system on demand to recognize tumors based on clinical need.</w:t>
      </w:r>
    </w:p>
    <w:p>
      <w:pPr>
        <w:spacing w:after="0" w:line="21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An inducible version of the IFN-a payload has been generated by fusing the protein with a destabilizing domain (DD), which targets the protein to proteasomal degradation, unless a small molecule ligand binding to the DD and stabilizing it, is administered. The optimized fusion construct is delivered by the TEM platform and the exogenous administration of the ligand switches on its secretion within the tumor. The results from experiments performed in the laboratory of Professor Naldini with a glioblastoma mouse model showed similar anti-tumor activity of the inducible and wild-type IFN payload. Moreover, the inducible construct allows switching of IFN release upon tumor clearance (manuscript to be submitted for publication). We plan to use our second generation platform carrying an IFN-a payload in combination with CAR T cells to target glioblastoma-associated antigens or immune checkpoint blockers in an experimental tumor model in mice.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Payloads</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platform is designed to allow the control of the expression of any payload we use. Similar to IFN-a, there are several alternative payloads with immunotherapeutic properties that were previously systemically delivered to patients, but were discontinued due to significant toxicity that prevented the drug from reaching therapeutic dosages (e.g. TNF-a). Because we believe that our first- and second-generation platforms may overcome the limitations associated with systemic administration, we are testing them with additional payloads such as IFN-g, IL-12 and TNF-a. Because each payload triggers a unique biological response, we believe our platform may enable a personalized treatment approach unique amongst the current treatment paradigms.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Additional immune activating cytokines have been tested for TEM-mediated gene-based delivery to tumor models in mice. Current pre-clinical results suggest the feasibility and specificity of tumor-targeted delivery of IFN-g and TNF-a and further support our hypothesis that the specific transcriptional and microRNA regulated expression of the payload prevents toxicity. Data generated in the laboratory of our founders in a leukemia model showed that IFN-g but not TNF-a mediate anti-tumor activity when delivered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Further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studies showed enhanced anti-tumor activity upon combined delivery of two cytokines by the TEM-based platform.</w:t>
      </w:r>
    </w:p>
    <w:p>
      <w:pPr>
        <w:spacing w:after="0" w:line="21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Moreover, experiments conducted with our second-generation inducible platform expressing IL-12 supported the hypothesis that our proprietary transcriptional and microRNA regulated expression of the payload to may prevent toxicity. Indeed, IL-12 is a potent cytokine that must be kept within a therapeutic dose range to prevent toxicity. Targeted delivery and anti-tumor activity of the new inducible payload are being investigated (abstracts to be presented at EACR in June 2021; at ASGCT 2021 in May 2021; and manuscript to be submitted). The laboratory of Professor Naldini plans to test the combination of TEM-mediated gene-based delivery of inducible Il-12 or additional inducible payloads with CAR-T, TCR and ICI in experimental murine tumor models.</w:t>
      </w:r>
    </w:p>
    <w:p>
      <w:pPr>
        <w:sectPr>
          <w:pgSz w:w="11900" w:h="16900" w:orient="portrait"/>
          <w:cols w:equalWidth="0" w:num="1">
            <w:col w:w="11220"/>
          </w:cols>
          <w:pgMar w:left="320" w:top="125" w:right="359" w:bottom="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Biotechnology and pharmaceutical industries put significant resources in developing novel and proprietary therapies for the treatment of cancer. For the cell therapy field in particular, this results in rapidly advancing and changing technologies, intense competition and a strong emphasis on intellectual property. While we believe that our leading product candidate, Temferon and our scientific expertise in the field of cell and gene therapy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364" w:right="51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manufacturing process for our autologous cell and gene therapy approach requires the following steps:</w:t>
      </w:r>
    </w:p>
    <w:p>
      <w:pPr>
        <w:spacing w:after="0" w:line="252" w:lineRule="exact"/>
        <w:rPr>
          <w:sz w:val="20"/>
          <w:szCs w:val="20"/>
          <w:color w:val="auto"/>
        </w:rPr>
      </w:pPr>
    </w:p>
    <w:p>
      <w:pPr>
        <w:ind w:left="1300" w:hanging="320"/>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HSPCs harvesting in a specialized clinical center (leukapheresis)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Shipping of apheresis bag/s to the selected contract manufacturing organization (CMO)</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CD34+ cells enrichment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Ex-vivo </w:t>
      </w:r>
      <w:r>
        <w:rPr>
          <w:rFonts w:ascii="Arial" w:cs="Arial" w:eastAsia="Arial" w:hAnsi="Arial"/>
          <w:sz w:val="18"/>
          <w:szCs w:val="18"/>
          <w:color w:val="auto"/>
        </w:rPr>
        <w:t>transduction of CD34+ cells with our LVV,</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Cryopreservation, characterization and release by a Qualified Person of the obtained drug product.</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The LVV manufacturing needed for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process, as well as steps from 3 to 5, are conducted by the CMO. The figure below delineates the steps and the timeline for manufacturing Temferon.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-19050</wp:posOffset>
            </wp:positionV>
            <wp:extent cx="5743575" cy="3231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Overview of Temferon manufacturing Process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We have entered into agreements with AGC Biologics to manufacture our LVV and drug product for our ongoing clinical programs in Italy. AGC Biologics is a leading global contract development and manufacturing organization (CDMO), providing world-class development and manufacture of mammalian and microbial-based therapeutic proteins of plasmid DNA (pDNA) and recently with the acquisition of Molecular Medicine S.p.A. (“MolMed”), of viral vectors and genetically engineered cells. MolMed S.p.A. is recognized as the leading cell and gene therapy CDMO focused on research, development, production and clinical validation of cell and gene therapies for the treatment of cancer and rare diseases. Indeed, Strimvelis, the first ever market approved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children, was developed and is still currently manufactured by MolMed. Accordingly, Orchard Theraputics (NasdaqGS: ORTX) in July 2020 renewed their collaboration agreement with MolMed which will continue to support activities related to the development and manufacturing of vectors and drug products for several of Orchard’s investigational </w:t>
      </w:r>
      <w:r>
        <w:rPr>
          <w:rFonts w:ascii="Arial" w:cs="Arial" w:eastAsia="Arial" w:hAnsi="Arial"/>
          <w:sz w:val="17"/>
          <w:szCs w:val="17"/>
          <w:i w:val="1"/>
          <w:iCs w:val="1"/>
          <w:color w:val="auto"/>
        </w:rPr>
        <w:t>ex-vivo</w:t>
      </w:r>
      <w:r>
        <w:rPr>
          <w:rFonts w:ascii="Arial" w:cs="Arial" w:eastAsia="Arial" w:hAnsi="Arial"/>
          <w:sz w:val="17"/>
          <w:szCs w:val="17"/>
          <w:color w:val="auto"/>
        </w:rPr>
        <w:t xml:space="preserve"> hematopoietic stem cell (HSC) gene therapies in the upcoming years, including the recent EU market authorized gene therapy drug </w:t>
      </w:r>
      <w:r>
        <w:rPr>
          <w:rFonts w:ascii="Arial" w:cs="Arial" w:eastAsia="Arial" w:hAnsi="Arial"/>
          <w:sz w:val="17"/>
          <w:szCs w:val="17"/>
          <w:i w:val="1"/>
          <w:iCs w:val="1"/>
          <w:color w:val="auto"/>
        </w:rPr>
        <w:t>Libmeldy.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1819910</wp:posOffset>
            </wp:positionH>
            <wp:positionV relativeFrom="page">
              <wp:posOffset>466090</wp:posOffset>
            </wp:positionV>
            <wp:extent cx="3917315" cy="21088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391731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AGC Biologics Headquarters and Capabilities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agreement with MolMed establishes agreed-upon timelines for purchase order submissions and manufacturing date changes/cancellation. The supply agreement also sets milestones both during the clinical phase and any future commercial phase of our product candidates and for technology transfer if required, as well as customary termination provisions, allowing for termination by a party upon the other party’s uncured material breach or upon the other party’s insolvency. For our planned US clinical program, AGC Biologics will manufacture LVV and a US-based CMO whom we will engage with will manufacture Temferon. The LVV is a cryopreserved raw material stable in vapor liquid nitrogen up to 48 months under current approvals, and will be shipped to the US-based CMO for drug product manufacturing.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goal is to obtain, maintain and enforce patent protection for our product candidates, formulations, processes, methods and any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current product candidates and any future product candidates, proprietary information and proprietary technology through a combination of contractual arrangements and patents, both in the United States and abroad. However, patent protection may not afford us with complete protection against competitors who seek to circumvent our patents.</w:t>
      </w: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also depend upon the skills, knowledge, experience and know-how of our management and research and development personnel, as well as that of our advisors, consultants and other contractors. To help protect our proprietary know-how, which is not patentable, and for inventions for which patents may be difficult to enforce, we currently rely and will in the future rely on trade secret protection and confidentiality agreements to protect our interests. To this end, we require all of our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Temferon</w:t>
      </w:r>
    </w:p>
    <w:p>
      <w:pPr>
        <w:spacing w:after="0" w:line="25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Temferon is protected by the following patents families that contain both issued and/or pending patent applications. While the following patent families are jointly owned by OSR and Fondazione Telethon (Telethon), as set forth in our December 15, 2014 license agreement with OSR (described below), Telethon granted OSR a worldwide exclusive license, with the right to sublicense, its rights in the patent families pursuant to a separate cooperation agreement between OSR and Telethon. As described below, we have a worldwide exclusive license, from OSR, to the following patent families (including the U.S. and European family members indicated) in the fields of: GBM, solid liver cancer (LC) and any lympho-hematopoietic indication: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ind w:left="2320"/>
              <w:spacing w:after="0"/>
              <w:rPr>
                <w:sz w:val="20"/>
                <w:szCs w:val="20"/>
                <w:color w:val="auto"/>
              </w:rPr>
            </w:pPr>
            <w:r>
              <w:rPr>
                <w:rFonts w:ascii="Arial" w:cs="Arial" w:eastAsia="Arial" w:hAnsi="Arial"/>
                <w:sz w:val="14"/>
                <w:szCs w:val="14"/>
                <w:b w:val="1"/>
                <w:bCs w:val="1"/>
                <w:color w:val="auto"/>
              </w:rPr>
              <w:t>Focus / Family</w:t>
            </w:r>
          </w:p>
        </w:tc>
        <w:tc>
          <w:tcPr>
            <w:tcW w:w="220" w:type="dxa"/>
            <w:vAlign w:val="bottom"/>
          </w:tcPr>
          <w:p>
            <w:pPr>
              <w:spacing w:after="0"/>
              <w:rPr>
                <w:sz w:val="16"/>
                <w:szCs w:val="16"/>
                <w:color w:val="auto"/>
              </w:rPr>
            </w:pPr>
          </w:p>
        </w:tc>
        <w:tc>
          <w:tcPr>
            <w:tcW w:w="1700" w:type="dxa"/>
            <w:vAlign w:val="bottom"/>
          </w:tcPr>
          <w:p>
            <w:pPr>
              <w:ind w:left="7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6"/>
                <w:szCs w:val="16"/>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E.U.</w:t>
            </w:r>
          </w:p>
        </w:tc>
        <w:tc>
          <w:tcPr>
            <w:tcW w:w="1680" w:type="dxa"/>
            <w:vAlign w:val="bottom"/>
          </w:tcPr>
          <w:p>
            <w:pPr>
              <w:ind w:left="520"/>
              <w:spacing w:after="0"/>
              <w:rPr>
                <w:sz w:val="20"/>
                <w:szCs w:val="20"/>
                <w:color w:val="auto"/>
              </w:rPr>
            </w:pPr>
            <w:r>
              <w:rPr>
                <w:rFonts w:ascii="Arial" w:cs="Arial" w:eastAsia="Arial" w:hAnsi="Arial"/>
                <w:sz w:val="14"/>
                <w:szCs w:val="14"/>
                <w:b w:val="1"/>
                <w:bCs w:val="1"/>
                <w:color w:val="auto"/>
              </w:rPr>
              <w:t>Expiration</w:t>
            </w:r>
          </w:p>
        </w:tc>
      </w:tr>
      <w:tr>
        <w:trPr>
          <w:trHeight w:val="202"/>
        </w:trPr>
        <w:tc>
          <w:tcPr>
            <w:tcW w:w="5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Gene Vector comprising mi-RNA</w:t>
            </w:r>
          </w:p>
        </w:tc>
        <w:tc>
          <w:tcPr>
            <w:tcW w:w="220" w:type="dxa"/>
            <w:vAlign w:val="bottom"/>
          </w:tcPr>
          <w:p>
            <w:pPr>
              <w:spacing w:after="0"/>
              <w:rPr>
                <w:sz w:val="17"/>
                <w:szCs w:val="17"/>
                <w:color w:val="auto"/>
              </w:rPr>
            </w:pPr>
          </w:p>
        </w:tc>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USP 10,000,757*</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EP 2002003 B1</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5/26/2026*</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9,556,438</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PCT/IB2006/002266 (WO 2007/000668).</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16/004,394</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Gene Vector comprising mi-RNA</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10,287,579</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2424571 B1</w:t>
            </w:r>
          </w:p>
        </w:tc>
        <w:tc>
          <w:tcPr>
            <w:tcW w:w="1680" w:type="dxa"/>
            <w:vAlign w:val="bottom"/>
          </w:tcPr>
          <w:p>
            <w:pPr>
              <w:spacing w:after="0"/>
              <w:rPr>
                <w:sz w:val="20"/>
                <w:szCs w:val="20"/>
                <w:color w:val="auto"/>
              </w:rPr>
            </w:pPr>
            <w:r>
              <w:rPr>
                <w:rFonts w:ascii="Arial" w:cs="Arial" w:eastAsia="Arial" w:hAnsi="Arial"/>
                <w:sz w:val="18"/>
                <w:szCs w:val="18"/>
                <w:color w:val="auto"/>
              </w:rPr>
              <w:t>4/30/2030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9,951,328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20167404.1</w:t>
            </w:r>
          </w:p>
        </w:tc>
        <w:tc>
          <w:tcPr>
            <w:tcW w:w="16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PCT/IB2010/001166 (WO / 2010/125471)</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16/384,571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Monocyte Cell (Tie-2) activation process (composition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7,833,789</w:t>
            </w:r>
          </w:p>
        </w:tc>
        <w:tc>
          <w:tcPr>
            <w:tcW w:w="190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10/5/2027</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USP 7,833,789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Methods for Genetic Modification of Stem Cells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10,617,721*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3060670 B1</w:t>
            </w:r>
          </w:p>
        </w:tc>
        <w:tc>
          <w:tcPr>
            <w:tcW w:w="1680" w:type="dxa"/>
            <w:vAlign w:val="bottom"/>
          </w:tcPr>
          <w:p>
            <w:pPr>
              <w:spacing w:after="0"/>
              <w:rPr>
                <w:sz w:val="20"/>
                <w:szCs w:val="20"/>
                <w:color w:val="auto"/>
              </w:rPr>
            </w:pPr>
            <w:r>
              <w:rPr>
                <w:rFonts w:ascii="Arial" w:cs="Arial" w:eastAsia="Arial" w:hAnsi="Arial"/>
                <w:sz w:val="18"/>
                <w:szCs w:val="18"/>
                <w:color w:val="auto"/>
              </w:rPr>
              <w:t>10/24/2034*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16/827,708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19185334</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PCT/IB2014/065594 (WO 2015/059674)</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Vector Production</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10,912,824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3169788</w:t>
            </w:r>
          </w:p>
        </w:tc>
        <w:tc>
          <w:tcPr>
            <w:tcW w:w="1680" w:type="dxa"/>
            <w:vAlign w:val="bottom"/>
          </w:tcPr>
          <w:p>
            <w:pPr>
              <w:spacing w:after="0"/>
              <w:rPr>
                <w:sz w:val="20"/>
                <w:szCs w:val="20"/>
                <w:color w:val="auto"/>
              </w:rPr>
            </w:pPr>
            <w:r>
              <w:rPr>
                <w:rFonts w:ascii="Arial" w:cs="Arial" w:eastAsia="Arial" w:hAnsi="Arial"/>
                <w:sz w:val="18"/>
                <w:szCs w:val="18"/>
                <w:color w:val="auto"/>
              </w:rPr>
              <w:t>7/13/2035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PCT/IB2015/055286 (WO 2016/009326)</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Type 1 Interferon Gene Therapy</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16/604,484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18724470.2</w:t>
            </w:r>
          </w:p>
        </w:tc>
        <w:tc>
          <w:tcPr>
            <w:tcW w:w="1680" w:type="dxa"/>
            <w:vAlign w:val="bottom"/>
          </w:tcPr>
          <w:p>
            <w:pPr>
              <w:spacing w:after="0"/>
              <w:rPr>
                <w:sz w:val="20"/>
                <w:szCs w:val="20"/>
                <w:color w:val="auto"/>
              </w:rPr>
            </w:pPr>
            <w:r>
              <w:rPr>
                <w:rFonts w:ascii="Arial" w:cs="Arial" w:eastAsia="Arial" w:hAnsi="Arial"/>
                <w:sz w:val="18"/>
                <w:szCs w:val="18"/>
                <w:color w:val="auto"/>
              </w:rPr>
              <w:t>4/20/2038**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PCT/EP2018/060238 (WO 2018/193119)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29" w:lineRule="exact"/>
        <w:rPr>
          <w:sz w:val="20"/>
          <w:szCs w:val="20"/>
          <w:color w:val="auto"/>
        </w:rPr>
      </w:pPr>
    </w:p>
    <w:p>
      <w:pPr>
        <w:ind w:left="660" w:right="3500" w:hanging="4"/>
        <w:spacing w:after="0" w:line="277" w:lineRule="auto"/>
        <w:tabs>
          <w:tab w:leader="none" w:pos="7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Later expiration for certain U.S. patents pursuant to patent term adjustment (35 U.S.C. §154(b)). ** Application pending, anticipated expiration based on 20 year patent term.</w:t>
      </w:r>
    </w:p>
    <w:p>
      <w:pPr>
        <w:spacing w:after="0" w:line="19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Intellectual property protection for our proprietary platform includes an exclusive license to all issued patents and pending applications (if any) in the PCT/IB2006/002266 (WO 2007/000668) and PCT/IB2010/001166 (WO / 2010/125471) families, as well as trade secrets. As discussed below, we have the option to license exclusively USP 7,833,789 and issued patents and pending applications (in the PCT/IB2014/065594 and PCT/IB2015/055286 patent families we have not yet exercised the option rights), and improvements, for other indications (fields of use) and other product candidates.</w:t>
      </w:r>
    </w:p>
    <w:p>
      <w:pPr>
        <w:spacing w:after="0" w:line="19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addition to patents and patent applications that we have been granted licenses to, we may also rely on unpatented trade secrets, know-how, and continuing technological innovation to develop and maintain our competitive position. We seek to protect know-how and trade secrets through an active program of legal mechanism including invention assignments, confidentiality agreements, material transfer agreements, research collaborations and licenses to protect our product candidates. These agreements may be breached, and we may not have adequate remedies for any breach. In addition,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 For a more comprehensive discussion of the risks related to our intellectual property, please see “Risk Factors — Risks Related to Our Intellectual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 Licensing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Ospedale San Raffaele</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Effective December 15, 2014, we entered into a license agreement with OSR (OSR License Agreement) pursuant to which OSR granted us an exclusive, royalty-bearing, non-transferrable (except with the prior written consent of OSR) worldwide license, subject to certain retained rights, to certain patents, patent applications and existing know-how for (1) the use in the field(s) of IFN gene therapy by lentiviral based-HSPC gene transfer with respect to</w:t>
      </w:r>
    </w:p>
    <w:p>
      <w:pPr>
        <w:spacing w:after="0" w:line="2" w:lineRule="exact"/>
        <w:rPr>
          <w:sz w:val="20"/>
          <w:szCs w:val="20"/>
          <w:color w:val="auto"/>
        </w:rPr>
      </w:pPr>
    </w:p>
    <w:p>
      <w:pPr>
        <w:ind w:right="160" w:firstLine="8"/>
        <w:spacing w:after="0" w:line="252" w:lineRule="auto"/>
        <w:tabs>
          <w:tab w:leader="none" w:pos="24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Lympho-Hematopoietic Indication and/or (b) any Solid Cancer Indication that we exercise a future option (discussed below); and (2) certain products developed during the license term for use in the aforementioned field(s) consisting of any lentivirals vector regulated by miR126 and/or miR130 and/or other miRs with the same expression pattern as miR126 and miR130 in hematopoietic cells for the expression of IFN under the control of a Tie2 promoter. Lympho-Hematopoietic Indications mean any indication related to lympho-hematopoietic malignancies and Solid Cancer Indication means any solid cancer indication (e.g., without limitation, breast, pancreas, colon cancer), wherein each affected human organ being considered as a specific Solid Cancer Indication.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43" w:gutter="0" w:footer="0" w:header="0"/>
        </w:sectPr>
      </w:pPr>
    </w:p>
    <w:bookmarkStart w:id="123" w:name="page124"/>
    <w:bookmarkEnd w:id="123"/>
    <w:p>
      <w:pPr>
        <w:ind w:firstLine="648"/>
        <w:spacing w:after="0" w:line="254" w:lineRule="auto"/>
        <w:rPr>
          <w:sz w:val="20"/>
          <w:szCs w:val="20"/>
          <w:color w:val="auto"/>
        </w:rPr>
      </w:pPr>
      <w:r>
        <w:rPr>
          <w:rFonts w:ascii="Arial" w:cs="Arial" w:eastAsia="Arial" w:hAnsi="Arial"/>
          <w:sz w:val="18"/>
          <w:szCs w:val="18"/>
          <w:color w:val="auto"/>
        </w:rPr>
        <w:t>The rights retained by OSR, and extending to its affiliates, include the right to use the licensed technology for internal research within the field(s) of use, and the right to use the licensed technology for any use outside the field(s) of use, but subject to the options described below. In addition, we granted OSR a perpetual, worldwide, royalty-free, non-exclusive license to any improvement generated by us with respect to the licensed technology, to conduct internal research within the field of use directly, or in or with the collaboration third parties; and, for any use outside the field of use, in which case the license is sublicenseable by OSR. Finally, the world-wide rights for the field of use granted to us regarding the Lentigen know-how are non-exclusive and cannot be sublicensed due to a pre-existing nonexclusive sublicense to these rights between OSR and GlaxoSmithKline Intellectual Property Development Limited.</w:t>
      </w:r>
    </w:p>
    <w:p>
      <w:pPr>
        <w:spacing w:after="0" w:line="222" w:lineRule="exact"/>
        <w:rPr>
          <w:sz w:val="20"/>
          <w:szCs w:val="20"/>
          <w:color w:val="auto"/>
        </w:rPr>
      </w:pPr>
    </w:p>
    <w:p>
      <w:pPr>
        <w:jc w:val="both"/>
        <w:ind w:right="380" w:firstLine="648"/>
        <w:spacing w:after="0" w:line="311" w:lineRule="auto"/>
        <w:rPr>
          <w:sz w:val="20"/>
          <w:szCs w:val="20"/>
          <w:color w:val="auto"/>
        </w:rPr>
      </w:pPr>
      <w:r>
        <w:rPr>
          <w:rFonts w:ascii="Arial" w:cs="Arial" w:eastAsia="Arial" w:hAnsi="Arial"/>
          <w:sz w:val="16"/>
          <w:szCs w:val="16"/>
          <w:color w:val="auto"/>
        </w:rPr>
        <w:t>As stated, we have an exclusive option to (i) certain additional patents and patent applications, and OSR improvements at no additional cost, which could be useful for the development and/or commercialization of licensed products in the field of use; and (ii) any Solid Cancer Indication to be included as part of the field of use, on an indication-by-indication basis, subject to the payment of specified option fees and milestone payments.</w:t>
      </w:r>
    </w:p>
    <w:p>
      <w:pPr>
        <w:spacing w:after="0" w:line="176"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As consideration, we paid OSR an upfront fee of €250,000, and we agreed to pay OSR royalties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We also agreed to pay OSR a royalty of our net sublicensing income for each licensed product and to pay OSR certain milestone payments upon the achievement of certain milestone events, such as the initiation of different phases of clinical trials of a licensed product, MAA approval by a major EU country, BLA acceptance by the FDA, the first commercial sale of a licensed product in the United States and certain EU countries, and achievement of certain net sales levels.</w:t>
      </w:r>
    </w:p>
    <w:p>
      <w:pPr>
        <w:spacing w:after="0" w:line="19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As part of the license,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are also obligated to carry out our development activities using highly skilled professionals and sufficient level of resources and, specifically, to invest (a) at least €5,425,000 with respect to the development of the licensed products, and (b) at least €2,420,000 with respect to the manufacturing of such licensed products (subject to certain adjustments).</w:t>
      </w:r>
    </w:p>
    <w:p>
      <w:pPr>
        <w:spacing w:after="0" w:line="20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OSR maintains control of the preparation, prosecution and maintenance of the patents licensed. We are obligated to pay those costs unless additional licensees benefit from these rights, in which case the cost will be shared </w:t>
      </w:r>
      <w:r>
        <w:rPr>
          <w:rFonts w:ascii="Arial" w:cs="Arial" w:eastAsia="Arial" w:hAnsi="Arial"/>
          <w:sz w:val="17"/>
          <w:szCs w:val="17"/>
          <w:i w:val="1"/>
          <w:iCs w:val="1"/>
          <w:color w:val="auto"/>
        </w:rPr>
        <w:t>pro rata</w:t>
      </w:r>
      <w:r>
        <w:rPr>
          <w:rFonts w:ascii="Arial" w:cs="Arial" w:eastAsia="Arial" w:hAnsi="Arial"/>
          <w:sz w:val="17"/>
          <w:szCs w:val="17"/>
          <w:color w:val="auto"/>
        </w:rPr>
        <w:t>. OSR controls enforcement of the patents and know-how rights, at its own expense. In the event that OSR fails to file suit to enforce such rights after notice from Genenta, we have the right to enforce the licensed technology within the field of use. Both us and OSR must consent to settlement of any such litigation, and all monies recovered will be shared equally between the parties after reimbursement for costs, or failing a bona fide agreement between us and OSR, on a 50% - 50% basis.</w:t>
      </w:r>
    </w:p>
    <w:p>
      <w:pPr>
        <w:spacing w:after="0" w:line="20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OSR License expires upon the expiry of the “Royalty Term” for all licensed products in all countries, unless terminated earlier. The Royalty Term begins on the first commercial sale of a licensed product and ends upon the later of the (a) expiration of the commercial exclusivity for such product (wherein the commercial exclusivity refers to any remaining valid licensed patent claims covering such licensed product, or any remaining regulatory data exclusivity for such licensed product), and (b) 10 years from the first commercial sale of such licensed product. 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we fail to pay any of the upfront payment, sublicensing income or milestone payments within 30 days of due dates for each.</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addition, OSR may terminate our rights as to certain fields of use for our failure to develop (a) with respect to a solid cancer indication, upon third anniversary of the date we exercised such option, if we have not filed an IND with respect to such optioned solid cancer indication specifically, as to GBM, we are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8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March 2017, the OSR License Agreement was amended to provide us with additional exclusive option to expand the license to include the use of lentiviral based-HSPC gene therapy platform to use tumor necrosis factor (TNF) as an alternative payload (rather than IFN) and for the use of that product alone or in combination with other products and committed to spend €500,000 on such product should the option be exercised. We have until September 30, 2021 to exercise this option, upon the payment of specified option fees.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4" w:name="page125"/>
    <w:bookmarkEnd w:id="124"/>
    <w:p>
      <w:pPr>
        <w:jc w:val="both"/>
        <w:ind w:right="100" w:firstLine="648"/>
        <w:spacing w:after="0" w:line="286" w:lineRule="auto"/>
        <w:rPr>
          <w:sz w:val="20"/>
          <w:szCs w:val="20"/>
          <w:color w:val="auto"/>
        </w:rPr>
      </w:pPr>
      <w:r>
        <w:rPr>
          <w:rFonts w:ascii="Arial" w:cs="Arial" w:eastAsia="Arial" w:hAnsi="Arial"/>
          <w:sz w:val="17"/>
          <w:szCs w:val="17"/>
          <w:color w:val="auto"/>
        </w:rPr>
        <w:t>In February 2019, we entered into a second amendment to the OSR License Agreement, whereby we exercised an option with respect to GBM as the first solid cancer indication. We agreed to pay OSR a GBM option fee of €1.0 million upon the dosing of the tenth patient in a specified clinical trial of GBM. We also agreed to extend the period to exercise the option rights set forth by the license agreement until September 30, 2021.</w:t>
      </w:r>
    </w:p>
    <w:p>
      <w:pPr>
        <w:spacing w:after="0" w:line="19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December 2020, we entered into a third amendment to the OSR License Agreement, whereby the GBM option fee included in the second amendment was reduced to €500,000 pursuant to an agreement to enter into a sponsored research agreement (SRA) within forty-five (45) days (and later amended to seventy (70) days) from the effective date of the third amendment (discussed below) in relation to research programs aimed at further studies regarding Temferon, with all intellectual property generated by such SRA being owned by OSR/Telethon subject to the grant by OSR to us of exclusive option rights with respect to such intellectual property. With the third amendment we also exercised an option with respect to a second solid cancer indication, namely solid liver cancer (LC). We agreed to pay OSR an LC option fee of €500,000 upon the earlier of (i) June 30, 2021 and (ii) the enrollment of the first patient within the Phase I clinical study for an LC licensed product. Under the terms of the third amendment, if we are unable to obtain regulatory approval to initiate human clinical trial with respect to solid liver cancer within nine (9) months from the third amendment effective date, we have the right, at no additional cost, to convert the option exercise for the second solid liver cancer indication to an alternative indication. In addition, pursuant to the third amendment, the option period for us to exercise an option with respect to any other solid cancer indication is extended until the second anniversary of the third amendment effective date, or December 23, 2022. The aggregate amount paid to date under the OSR License Agreement is €0.75 million. In addition, €0.5 million is currently due under the OSR License Agreement. Future potential payments that are not yet considered probable under this agreement include €53 million relating to GBM, €47.5 million relating to LC and €0.3 million relating to the license fee option for the third indication, if exercised.</w:t>
      </w:r>
    </w:p>
    <w:p>
      <w:pPr>
        <w:spacing w:after="0" w:line="18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February 2021, we entered into a Sponsored Research Agreement (“SRA”) with OSR to conduct certain research projects related to Temferon. Unless terminated earlier or extended by mutual agreement, the SRA ends upon the earlier of (a) the date of completion of all activities relating to the sponsored research and (b) December 31, 2022. The total consideration to be paid by the Company under the SRA will be €1.0 million with payments scheduled quarterly over 2021 and 2022. The aggregate amount paid in 2021 to date under the SRA is €0.25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Know-How License Agreement with Fondazione Telethon</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February 2016, we entered into a Know-How License Agreement with Telethon (Telethon License Agreement). Telethon granted us a non-exclusive, perpetual, sublicensable (through multiple tiers), royalty-bearing, worldwide license to use its manufacturing know-how in the research and development, sale and export of any product, which is defined therein as any lentiviral vector regulated by miRNA 126 and/or miRNA 130 and/or other miRNAs with the same expression pattern as miRNA 126 and/or miRNA 130 in hematopoietic cells for the expression of any anticancer protein under the control of a Tie2 promoter or INF under the control of any promoter other than Tie2 for any cancer indication. As consideration for the license, we agreed to pay Telethon a royalty equal to a low single digit percentage of any actual payments (excluding taxes) to any CMO for the manufacturing of any product using the licensed know-how. The royalty payments must be made for eight (8) years from the effective date, or until February 2, 2024. The parties may terminate the agreement in the event the other party breaches its obligations therein, which termination shall become effective sixty (60) business days following written notice thereof to the breaching party.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Coverage, Reimbursement, Pricing</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United States, drug products are regulated by the FDA under the Federal Food, Drug, and Cosmetic Act (“FDCA”)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of approval, warning letters, product recalls, product seizures, total or partial suspension of production or distribution, injunctions, fines, or administrative, civil and/or criminal investigation, penalties or prosecution.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5" w:name="page126"/>
    <w:bookmarkEnd w:id="125"/>
    <w:p>
      <w:pPr>
        <w:ind w:right="20" w:firstLine="648"/>
        <w:spacing w:after="0" w:line="308" w:lineRule="auto"/>
        <w:rPr>
          <w:sz w:val="20"/>
          <w:szCs w:val="20"/>
          <w:color w:val="auto"/>
        </w:rPr>
      </w:pPr>
      <w:r>
        <w:rPr>
          <w:rFonts w:ascii="Arial" w:cs="Arial" w:eastAsia="Arial" w:hAnsi="Arial"/>
          <w:sz w:val="17"/>
          <w:szCs w:val="17"/>
          <w:color w:val="auto"/>
        </w:rPr>
        <w:t>In the United States, all of our product candidates are regulated by the FDA as biologics. Biologics require the submission of a BLA and approval by the FDA prior to being marketed in the United States. Manufacturers of biologics may also be subject to state and local regulation.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steps required before a biologic may be marketed in the United States generally include:</w:t>
      </w:r>
    </w:p>
    <w:p>
      <w:pPr>
        <w:spacing w:after="0" w:line="252" w:lineRule="exact"/>
        <w:rPr>
          <w:sz w:val="20"/>
          <w:szCs w:val="20"/>
          <w:color w:val="auto"/>
        </w:rPr>
      </w:pPr>
    </w:p>
    <w:p>
      <w:pPr>
        <w:ind w:left="660" w:right="420" w:hanging="328"/>
        <w:spacing w:after="0" w:line="308" w:lineRule="auto"/>
        <w:tabs>
          <w:tab w:leader="none" w:pos="6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completion of preclinical studies, animal studies and formulation studies, performed in accordance with the FDA’s good laboratory practices (“GLP”) requirements, and applicable requirements for the humane use of laboratory animals or other applicable regulations;</w:t>
      </w:r>
    </w:p>
    <w:p>
      <w:pPr>
        <w:spacing w:after="0" w:line="10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application (“IND”), which must become effective before human clinical trials may commence;</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approval of the protocol and related documentation by an independent IRB or ethics committee at each clinical trial site before each trial may be initiated;</w:t>
      </w:r>
    </w:p>
    <w:p>
      <w:pPr>
        <w:spacing w:after="0" w:line="129" w:lineRule="exact"/>
        <w:rPr>
          <w:rFonts w:ascii="Arial" w:cs="Arial" w:eastAsia="Arial" w:hAnsi="Arial"/>
          <w:sz w:val="18"/>
          <w:szCs w:val="18"/>
          <w:color w:val="auto"/>
        </w:rPr>
      </w:pPr>
    </w:p>
    <w:p>
      <w:pPr>
        <w:ind w:left="660" w:right="380" w:hanging="328"/>
        <w:spacing w:after="0" w:line="311"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p>
      <w:pPr>
        <w:spacing w:after="0" w:line="108" w:lineRule="exact"/>
        <w:rPr>
          <w:rFonts w:ascii="Arial" w:cs="Arial" w:eastAsia="Arial" w:hAnsi="Arial"/>
          <w:sz w:val="16"/>
          <w:szCs w:val="16"/>
          <w:color w:val="auto"/>
        </w:rPr>
      </w:pPr>
    </w:p>
    <w:p>
      <w:pPr>
        <w:ind w:left="660" w:right="320" w:hanging="328"/>
        <w:spacing w:after="0" w:line="263"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preparation of and submission to FDA of a biologics license application (“BLA”) for marketing approval that includes sufficient evidence of establishing the safety, purity, and potency of the proposed biological product for its intended indication, including from results of nonclinical testing and clinical trials;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accept and file the application;</w:t>
      </w:r>
    </w:p>
    <w:p>
      <w:pPr>
        <w:spacing w:after="0" w:line="184"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potential FDA audit of the preclinical study and clinical trial sites that generated the data in support of the BLA in accordance with any applicable expedited programs or designations;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FDA review and approval, or licensure, of the BLA to permit commercial marketing of the product for particular indications for use in the U.S.;</w:t>
      </w:r>
    </w:p>
    <w:p>
      <w:pPr>
        <w:spacing w:after="0" w:line="207"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facilities at which the biologic is produced to assess compliance with current Good Manufacturing Practices (“cGMP”) and to assure that the facilities, methods and controls are adequate;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FDA review and approval of the BLA.</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Preclinical Studies and the IND Process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the preclinical studies must comply with federal regulations and requirements, including, as applicable, GLP and the Animal Welfare Act.</w:t>
      </w:r>
    </w:p>
    <w:p>
      <w:pPr>
        <w:spacing w:after="0" w:line="21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Prior to commencing an initial clinical trial in humans with a product candidate in the U.S.,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Clinical trials involve the administration of the product candidate to healthy volunteers or patients under the supervision of qualified investigators. Clinical trials are subject to extensive regulation and must be conducted in compliance with (i) federal regulations, (ii) GCP standards, which set safeguards to protect the rights and health of patients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United States.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20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clinical trial program for a product candidate is generally divided into three phases. Although the phases are usually conducted sequentially, they may overlap or be combined. The three phases are as follows:</w:t>
      </w:r>
    </w:p>
    <w:p>
      <w:pPr>
        <w:spacing w:after="0" w:line="197" w:lineRule="exact"/>
        <w:rPr>
          <w:sz w:val="20"/>
          <w:szCs w:val="20"/>
          <w:color w:val="auto"/>
        </w:rPr>
      </w:pPr>
    </w:p>
    <w:p>
      <w:pPr>
        <w:ind w:left="660" w:hanging="328"/>
        <w:spacing w:after="0" w:line="255"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Phase 1 involves the initial introduction of a product candidate into humans. Phase 1 clinical trials are typically conducted in healthy</w:t>
      </w:r>
      <w:r>
        <w:rPr>
          <w:rFonts w:ascii="Arial" w:cs="Arial" w:eastAsia="Arial" w:hAnsi="Arial"/>
          <w:sz w:val="18"/>
          <w:szCs w:val="18"/>
          <w:i w:val="1"/>
          <w:iCs w:val="1"/>
          <w:color w:val="auto"/>
        </w:rPr>
        <w:t xml:space="preserve"> </w:t>
      </w:r>
      <w:r>
        <w:rPr>
          <w:rFonts w:ascii="Arial" w:cs="Arial" w:eastAsia="Arial" w:hAnsi="Arial"/>
          <w:sz w:val="18"/>
          <w:szCs w:val="18"/>
          <w:color w:val="auto"/>
        </w:rPr>
        <w:t>human subjects, but in some situations are conducted in patients with the target disease or condition. These clinical trials are generally designed to evaluate the safety, metabolism, pharmacokinetic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7" w:name="page128"/>
    <w:bookmarkEnd w:id="127"/>
    <w:p>
      <w:pPr>
        <w:ind w:left="660" w:hanging="328"/>
        <w:spacing w:after="0" w:line="259"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Phase 2 includes the controlled clinical trials conducted to obtain initial evidence of effectiveness of the product candidate for a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indication(s) in patients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p>
      <w:pPr>
        <w:spacing w:after="0" w:line="146" w:lineRule="exact"/>
        <w:rPr>
          <w:rFonts w:ascii="Arial" w:cs="Arial" w:eastAsia="Arial" w:hAnsi="Arial"/>
          <w:sz w:val="18"/>
          <w:szCs w:val="18"/>
          <w:color w:val="auto"/>
        </w:rPr>
      </w:pPr>
    </w:p>
    <w:p>
      <w:pPr>
        <w:jc w:val="both"/>
        <w:ind w:left="660" w:right="40" w:hanging="328"/>
        <w:spacing w:after="0" w:line="296"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Phase 3</w:t>
      </w:r>
      <w:r>
        <w:rPr>
          <w:rFonts w:ascii="Arial" w:cs="Arial" w:eastAsia="Arial" w:hAnsi="Arial"/>
          <w:sz w:val="16"/>
          <w:szCs w:val="16"/>
          <w:color w:val="auto"/>
        </w:rPr>
        <w:t>. Phase 3 clinical trials are clinical trials conducted in an expanded patient population at geographically dispersed clinical trial sites. They</w:t>
      </w:r>
      <w:r>
        <w:rPr>
          <w:rFonts w:ascii="Arial" w:cs="Arial" w:eastAsia="Arial" w:hAnsi="Arial"/>
          <w:sz w:val="16"/>
          <w:szCs w:val="16"/>
          <w:i w:val="1"/>
          <w:iCs w:val="1"/>
          <w:color w:val="auto"/>
        </w:rPr>
        <w:t xml:space="preserve"> </w:t>
      </w:r>
      <w:r>
        <w:rPr>
          <w:rFonts w:ascii="Arial" w:cs="Arial" w:eastAsia="Arial" w:hAnsi="Arial"/>
          <w:sz w:val="16"/>
          <w:szCs w:val="16"/>
          <w:color w:val="auto"/>
        </w:rPr>
        <w:t>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w:t>
      </w:r>
    </w:p>
    <w:p>
      <w:pPr>
        <w:spacing w:after="0" w:line="18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August 2018, the FDA released a draft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18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regarding conducting required Phase 4 clinical trials could result in withdrawal of approval for products.</w:t>
      </w:r>
    </w:p>
    <w:p>
      <w:pPr>
        <w:spacing w:after="0" w:line="17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Concurrent with clinical trials, companies usually complete additional animal studies and also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28" w:name="page129"/>
    <w:bookmarkEnd w:id="128"/>
    <w:p>
      <w:pPr>
        <w:ind w:right="20" w:firstLine="648"/>
        <w:spacing w:after="0" w:line="272" w:lineRule="auto"/>
        <w:rPr>
          <w:sz w:val="20"/>
          <w:szCs w:val="20"/>
          <w:color w:val="auto"/>
        </w:rPr>
      </w:pPr>
      <w:r>
        <w:rPr>
          <w:rFonts w:ascii="Arial" w:cs="Arial" w:eastAsia="Arial" w:hAnsi="Arial"/>
          <w:sz w:val="17"/>
          <w:szCs w:val="17"/>
          <w:color w:val="auto"/>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(“DSMB”), which is an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spacing w:after="0" w:line="204"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 xml:space="preserve">In addition, there are requirements for the registration of certain clinical trials of product candidates on public registries, such as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and the submission of certain information pertaining to these trials, including clinical trial results, after trial completion.</w:t>
      </w:r>
    </w:p>
    <w:p>
      <w:pPr>
        <w:spacing w:after="0" w:line="15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License Applications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order to obtain approval to market a biologic in the United States,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 number of alternative sources, including studies initiated by investigators. To support marketing approval, the data submitted must be sufficient in quality and quantity to establish the safety and effectiveness of the product candidate to the satisfaction of the FDA.</w:t>
      </w:r>
    </w:p>
    <w:p>
      <w:pPr>
        <w:spacing w:after="0" w:line="22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Under the Prescription Drug User Fee Act (“PDUFA”), as amended,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20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Before approving a BLA, the FDA will inspect the facilities at which the product is manufactured or the facilities that are significantly involved in the product development and distribution process, and will not approve the product candidate unless cGMP compliance is satisfactory and the manufacturing processes and facilities are adequate to assure consistent production of the product within required specifications. Additionally, before approving a BLA, the FDA will typically inspect one or more clinical sites to assure compliance with GCP requirements.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Pediatric Research Equity Act,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9" w:name="page130"/>
    <w:bookmarkEnd w:id="129"/>
    <w:p>
      <w:pPr>
        <w:ind w:right="60" w:firstLine="648"/>
        <w:spacing w:after="0" w:line="268" w:lineRule="auto"/>
        <w:rPr>
          <w:sz w:val="20"/>
          <w:szCs w:val="20"/>
          <w:color w:val="auto"/>
        </w:rPr>
      </w:pPr>
      <w:r>
        <w:rPr>
          <w:rFonts w:ascii="Arial" w:cs="Arial" w:eastAsia="Arial" w:hAnsi="Arial"/>
          <w:sz w:val="17"/>
          <w:szCs w:val="17"/>
          <w:color w:val="auto"/>
        </w:rPr>
        <w:t>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BLA. FDA approval of any application may include many delays or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also may include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biologic. Moreover, product approval may require substantial post-approval testing and surveillance to monitor the biologic’s safety, purity, or potency, which can be costly.</w:t>
      </w:r>
    </w:p>
    <w:p>
      <w:pPr>
        <w:spacing w:after="0" w:line="21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BLA or a supplemental BLA before the change can be implemented. A supplemental BLA for a new indication typically requires clinical data similar to that in the original application, and the FDA generally uses the same procedures and actions in reviewing a supplemental BLA as it does in reviewing a new BLA.</w:t>
      </w:r>
    </w:p>
    <w:p>
      <w:pPr>
        <w:spacing w:after="0" w:line="21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from new legislation, may be established that could delay or prevent regulatory approval of our product candidates under development or affect our ability to maintain product approvals we have obtained.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FDA may grant orphan drug designation to biologics intended to treat a rare disease or condition that affects fewer than 200,000 individuals in the United States or a disease or condition that affects 200,000 or more individuals in the United States but there is no reasonable expectation that the cost of developing and making the biologic would be recovered from sales in the United States.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certain research and user fee waivers under certain circumstances. In addition, if a company receives the first FDA approval of a drug or biologic for the indication for which it has orphan drug designation, the product is entitled to seven years of orphan exclusivity, which means the FDA may not approve any other application for the “same” drug or biologic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or biologic for the same disease or condition, or the same drug or biologic for a different disease or condition.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0" w:name="page131"/>
    <w:bookmarkEnd w:id="130"/>
    <w:p>
      <w:pPr>
        <w:ind w:firstLine="648"/>
        <w:spacing w:after="0" w:line="285" w:lineRule="auto"/>
        <w:rPr>
          <w:sz w:val="20"/>
          <w:szCs w:val="20"/>
          <w:color w:val="auto"/>
        </w:rPr>
      </w:pPr>
      <w:r>
        <w:rPr>
          <w:rFonts w:ascii="Arial" w:cs="Arial" w:eastAsia="Arial" w:hAnsi="Arial"/>
          <w:sz w:val="16"/>
          <w:szCs w:val="16"/>
          <w:color w:val="auto"/>
        </w:rPr>
        <w:t>In the EEA, the criteria for designating an “orphan medicinal product” are similar in principle to those in the United States. Under Article 3 of Regulation (EC) 141/2000, a medicinal product may be designated as an orphan medicinal product if it meets the following criteria: (a) it is intended for the diagnosis, prevention or treatment of a life-threatening or chronically debilitating conditions; (b) either such condition that affects no more than five in 10,000 people in the E.U.; or without the benefits derived from orphan status, it must be unlikely that the marketing of the medicine would generate sufficient return in the E.U. to justify the investment needed for its development; and, (c) there exists no satisfactory method of diagnosis, prevention or treatment of the condition concerned, or, if such a method exists, the medicinal product would be of significant benefit to those affected by the condition. The application for orphan designation must be submitted to the EMA and approved by the European Commission before an application is made for marketing authorization for the product. Once designated, orphan medicinal product designation also entitles a party to financial incentives such as reduction of fees or fee waivers. Moreover, ten years of market exclusivity is granted, if the product continues to be designated as an orphan medicinal product upon grant of the marketing authorization. During this ten-year period, with a limited number of exceptions, neither the competent authorities of the E.U. Member States, the EMA, or the European Commission are permitted to accept applications or grant marketing authorization for other similar medicinal products with the same therapeutic indication. A “similar medicinal product” is defined as a medicinal product containing a similar active substance or substances as contained in an authorized orphan medicinal product, and which is intended for the same therapeutic indication.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latter product is demonstrated to be safer, more effective or otherwise clinically superior to the original orphan medicinal product. This period of market exclusivity may be reduced to six years if, at the end of the fifth year, it is established that the orphan designation criteria are no longer met, including where it can be demonstrated on the basis of available evidence that the product is sufficiently profitable not to justify maintenance of market exclusivity.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Programs in the United States and Other Jurisdictions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United States, 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A product may be granted fast track designation if it is intended for the treatment of a serious or life-threatening condition and demonstrates the potential to address unmet medical needs for such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With fast track designation, the sponsor may be eligible for more frequent opportunities to obtain the FDA’s feedback. Another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Even if a product candidate receives fast track designation, the designation can be rescinded and provides no assurance that a product will be reviewed or approved more expeditiously than would otherwise have been the case, or that the product will be approved at all.</w:t>
      </w:r>
    </w:p>
    <w:p>
      <w:pPr>
        <w:spacing w:after="0" w:line="20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 Even if one or more of our product candidates receives breakthrough therapy designation, the designation can be rescinded and provides no assurance that a product will be reviewed or approved more expeditiously than would otherwise have been the case, or that the product will be approved at all.</w:t>
      </w:r>
    </w:p>
    <w:p>
      <w:pPr>
        <w:spacing w:after="0" w:line="16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1" w:name="page132"/>
    <w:bookmarkEnd w:id="131"/>
    <w:p>
      <w:pPr>
        <w:ind w:right="40" w:firstLine="648"/>
        <w:spacing w:after="0" w:line="296" w:lineRule="auto"/>
        <w:rPr>
          <w:sz w:val="20"/>
          <w:szCs w:val="20"/>
          <w:color w:val="auto"/>
        </w:rPr>
      </w:pPr>
      <w:r>
        <w:rPr>
          <w:rFonts w:ascii="Arial" w:cs="Arial" w:eastAsia="Arial" w:hAnsi="Arial"/>
          <w:sz w:val="16"/>
          <w:szCs w:val="16"/>
          <w:color w:val="auto"/>
        </w:rPr>
        <w:t>The FDA may grant priority review designation to a product candidate, which sets the user fee target date for FDA action on the application at six months from FDA filing.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Priority review designation does not change the scientific/medical standard for approval or the quality of evidence necessary to support approval.</w:t>
      </w:r>
    </w:p>
    <w:p>
      <w:pPr>
        <w:spacing w:after="0" w:line="16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Under the 21st Century Cures Act, a drug is eligible for regenerative medicine advanced therapy (“RMAT”) designation if (i) the drug is a regenerative medicine therapy, which is defined by FDA to include cell therapy, therapeutic tissue engineering product, human cell and tissue product, any combination product using such therapies or products, and certain human gene therapies and xenogeneic cell products, except for human cells, tissues, and cellular and tissue-based products (“HCT/P’s”) that are regulated solely under Section 361 of the Public Health Service Act and part 1271 of Title 21, Code of Federal Regulations; (ii) the drug is intended to treat, modify, reverse, or cure a serious or life-threatening disease or condition; and (iii) preliminary clinical evidence indicates that the drug has the potential to address unmet medical needs for such disease or condition. An RMAT designation include all the benefits of the fast track and breakthrough therapy designation programs, including early interactions with FDA, and the potential to support accelerated approval and address post-approval requirements. An RMAT designation request should be submitted with the IND or after and, ideally, no later than the end-of-phase 2 meeting. Even if a product candidate receives RMAT designation, the designation can be rescinded and provides no assurance that a product will be reviewed or approved more expeditiously than would otherwise have been the case, or that the product will be approved at all.</w:t>
      </w:r>
    </w:p>
    <w:p>
      <w:pPr>
        <w:spacing w:after="0" w:line="16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Under the centralized procedure in the EEA,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 Accelerated evaluation might be granted by CHMP in exceptional cases, when a medicinal product is expected to be of a major public health interest, which should be justified and assessed on a case-by-case basis. In this circumstance, EMA ensures that the opinion of CHMP is given within 150 days (excluding clock stops).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Expanded access, also called “compassionate use,” is the use of investigational new drug products outside of clinical trials to treat patients with serious or immediately life-threatening diseases or conditions when there are no comparable or satisfactory alternative treatment options. The FDA regulations allow access to investigational drugs under an IND by the sponsor or the treating physician for treatment purposes on a case-by-case basis for individual patients, intermediate-size patient populations, and larger populations for use of the drug under a treatment protocol or Treatment IND Application.</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suitability of treating a patient or a group of patients under expanded access is determined by the following: if patient(s) have a serious or immediately life-threatening disease or condition,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candidate or otherwise compromise the potential development of the product candidate.</w:t>
      </w:r>
    </w:p>
    <w:p>
      <w:pPr>
        <w:spacing w:after="0" w:line="19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Sponsors of one or more investigational drugs for the treatment of a serious disease(s) or condition(s) make publicly available their policies for evaluating and responding to requests for expanded access for individual patients. This provision requires drug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receives breakthrough therapy, fast track, or regenerative medicine advanced therapy designation. Additionally, in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 exclusivity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biological product can obtain pediatric market exclusivity in the U.S.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Biologics Price Competition and Innovation Act of 2009 (“BPCIA”), created an abbreviated approval pathway for biological products shown to be biosimilar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33" w:name="page134"/>
    <w:bookmarkEnd w:id="133"/>
    <w:p>
      <w:pPr>
        <w:ind w:right="100" w:firstLine="648"/>
        <w:spacing w:after="0" w:line="269" w:lineRule="auto"/>
        <w:rPr>
          <w:sz w:val="20"/>
          <w:szCs w:val="20"/>
          <w:color w:val="auto"/>
        </w:rPr>
      </w:pPr>
      <w:r>
        <w:rPr>
          <w:rFonts w:ascii="Arial" w:cs="Arial" w:eastAsia="Arial" w:hAnsi="Arial"/>
          <w:sz w:val="17"/>
          <w:szCs w:val="17"/>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17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spacing w:after="0" w:line="17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production and quality control to maintain compliance with cGMP and other aspects of regulatory compliance.</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Newly discovered or developed safety or effectiveness data may require changes to a product’s approved labeling, including the addition of new warnings and contraindications, and also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i w:val="1"/>
          <w:iCs w:val="1"/>
          <w:color w:val="auto"/>
        </w:rPr>
        <w:t>Patent Term Restoration and Extension</w:t>
      </w:r>
    </w:p>
    <w:p>
      <w:pPr>
        <w:spacing w:after="0" w:line="25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Depending upon the timing, duration and specifics of the FDA approval of our product candidates, some of our U.S. patents may be eligible for limited patent term extension. The provisions of the Drug Price Competition and Patent Term Restoration Act, informally known as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21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Many other countries also provide for patent term extensions or similar extensions of patent protection for biologic products. For example, in Japan, it may be possible to extend the patent term for up to five years and in Europe, it may be possible to obtain a supplementary patent certificate that would effectively extend patent protection for up to five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Laws and Regulations</w:t>
      </w:r>
    </w:p>
    <w:p>
      <w:pPr>
        <w:spacing w:after="0" w:line="25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198" w:lineRule="exact"/>
        <w:rPr>
          <w:sz w:val="20"/>
          <w:szCs w:val="20"/>
          <w:color w:val="auto"/>
        </w:rPr>
      </w:pPr>
    </w:p>
    <w:p>
      <w:pPr>
        <w:ind w:left="660" w:hanging="328"/>
        <w:spacing w:after="0" w:line="259"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46"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143"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43"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5" w:name="page136"/>
    <w:bookmarkEnd w:id="135"/>
    <w:p>
      <w:pPr>
        <w:ind w:left="660" w:right="380" w:hanging="328"/>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FCPA which prohibits companies and their intermediaries from making, or offering or promising to make improper payments to non-U.S. officials for the purpose of obtaining or retaining business or otherwise seeking favorable treatment;</w:t>
      </w:r>
    </w:p>
    <w:p>
      <w:pPr>
        <w:spacing w:after="0" w:line="129" w:lineRule="exact"/>
        <w:rPr>
          <w:rFonts w:ascii="Arial" w:cs="Arial" w:eastAsia="Arial" w:hAnsi="Arial"/>
          <w:sz w:val="18"/>
          <w:szCs w:val="18"/>
          <w:color w:val="auto"/>
        </w:rPr>
      </w:pPr>
    </w:p>
    <w:p>
      <w:pPr>
        <w:ind w:left="660" w:right="280" w:hanging="328"/>
        <w:spacing w:after="0" w:line="301"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PPACA, which requires certain manufacturers of drugs, devices, biologics and medical supplies to report annually to the Centers for Medicare &amp; Medicaid Services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16"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9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21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204"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6" w:name="page137"/>
    <w:bookmarkEnd w:id="136"/>
    <w:p>
      <w:pPr>
        <w:ind w:right="140" w:firstLine="648"/>
        <w:spacing w:after="0" w:line="263"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21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In March 2010, the United States Congress enacted the PPACA, which, among other things, included changes to the coverage and payment for drug products under government health care programs. The PPACA effected the following changes of importance to our potential product candidates:</w:t>
      </w:r>
    </w:p>
    <w:p>
      <w:pPr>
        <w:spacing w:after="0" w:line="151" w:lineRule="exact"/>
        <w:rPr>
          <w:sz w:val="20"/>
          <w:szCs w:val="20"/>
          <w:color w:val="auto"/>
        </w:rPr>
      </w:pPr>
    </w:p>
    <w:p>
      <w:pPr>
        <w:ind w:left="660" w:right="420" w:hanging="328"/>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established an annual, nondeductible fee on any entity that manufactures or imports specified branded prescription drugs and biologic agents, apportioned among these entities according to their market share in certain government healthcare programs;</w:t>
      </w:r>
    </w:p>
    <w:p>
      <w:pPr>
        <w:spacing w:after="0" w:line="129"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05" w:lineRule="exact"/>
        <w:rPr>
          <w:rFonts w:ascii="Arial" w:cs="Arial" w:eastAsia="Arial" w:hAnsi="Arial"/>
          <w:sz w:val="17"/>
          <w:szCs w:val="17"/>
          <w:color w:val="auto"/>
        </w:rPr>
      </w:pPr>
    </w:p>
    <w:p>
      <w:pPr>
        <w:jc w:val="both"/>
        <w:ind w:left="660" w:right="560" w:hanging="328"/>
        <w:spacing w:after="0" w:line="263"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84"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 discount off of the negotiated price of applicable brand drugs to eligible beneficiaries during their coverage gap period as a condition for the manufacturers’ outpatient drugs to be covered under Medicare Part D; and</w:t>
      </w:r>
    </w:p>
    <w:p>
      <w:pPr>
        <w:spacing w:after="0" w:line="14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 along with funding for such research.</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2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enactment of the PPACA, there have been numerous legal challenges and congressional actions to repeal and replace provisions of the law. For example, with enactment of the TCJA,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PPACA, effective January 1, 2019, to increase from 50% to 70% the point-of-sale discount that is owed by pharmaceutical manufacturers who participate in Medicare Part D and to close the coverage gap in most Medicare drug plans, commonly referred to as the “donut hole”. Congress will likely consider other legislation to replace elements of the PPACA during the next congressional session.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7" w:name="page138"/>
    <w:bookmarkEnd w:id="137"/>
    <w:p>
      <w:pPr>
        <w:ind w:firstLine="648"/>
        <w:spacing w:after="0" w:line="287" w:lineRule="auto"/>
        <w:rPr>
          <w:sz w:val="20"/>
          <w:szCs w:val="20"/>
          <w:color w:val="auto"/>
        </w:rPr>
      </w:pPr>
      <w:r>
        <w:rPr>
          <w:rFonts w:ascii="Arial" w:cs="Arial" w:eastAsia="Arial" w:hAnsi="Arial"/>
          <w:sz w:val="16"/>
          <w:szCs w:val="16"/>
          <w:color w:val="auto"/>
        </w:rPr>
        <w:t>The current presidential administration has also taken executive actions to undermine or delay implementation of the PPACA. In January 2017, the President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PPACA exchanges. At the same time, the current presidential administration announced that it will discontinue the payment of cost-sharing reduction, or CSR, payments to insurance companies until Congress approves the appropriation of funds for such CSR payments. The loss of CSR payments is expected to increase premiums on certain policies issued by qualified health plans under the PPACA. A bipartisan bill to appropriate funds for CSR payments was introduced in the Senate, but the future of that bill is uncertain. In addition, the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PPACA for plans sold through such marketplaces.</w:t>
      </w:r>
    </w:p>
    <w:p>
      <w:pPr>
        <w:spacing w:after="0" w:line="19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current presidential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current presidential administration have each indicated that it will continue to seek new legislative and/or administrative measures to control drug costs.</w:t>
      </w:r>
    </w:p>
    <w:p>
      <w:pPr>
        <w:spacing w:after="0" w:line="20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Europe</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order to market any medicinal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medicinal products. Whether or not it obtains FDA approval for a product candidate, an applicant will need to obtain the necessary approvals by the comparable non-U.S. regulatory authorities before it can commence clinical trials or marketing of the product in those countries or jurisdictions. Some countries outside of the United States have a similar process that requires the submission of a CTA much like the IND prior to the commencement of human clinical trials. In the E.U., for example, a CTA must be submitted to the national competent authorities of the E.U. Member States where the clinical trial is conducted and to an independent ethics committee, much like the FDA and IRB, respectively. Once the CTA is approved in accordance with a country’s requirements, clinical trial development may proceed.</w:t>
      </w:r>
    </w:p>
    <w:p>
      <w:pPr>
        <w:spacing w:after="0" w:line="17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April 2014, the E.U. adopted a new Clinical Trials Regulation (EU) No 536/2014, which is set to replace the current Clinical Trials Directive 2001/20/EC. It will overhaul the current system of approvals for clinical trials in the E.U. Specifically, the new regulation, which will be directly applicable in all Member States (meaning that no national implementing legislation in each E.U. Member State is required), aims at simplifying and streamlining the approval of clinical trials in the E.U. For instance, the new Clinical Trials Regulation provides for a streamlined application procedure via a single entry point and strictly defined deadlines for the assessment of clinical trial applications. It is expected that the new Clinical Trials Regulation will come into effect following confirmation of full functionality of the Clinical Trials Information System, the centralized EU portal and database for clinical trials foreseen by the new Clinical Trials regulation, through an independent audit, which is currently expected to occur in December 2021.</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i w:val="1"/>
          <w:iCs w:val="1"/>
          <w:color w:val="auto"/>
        </w:rPr>
        <w:t>Clinical Trial Regulations in Italy</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Under the E.U. and EU-member country legislation, any application for marketing authorization must be accompanied by the results of clinical trials conducted in accordance with applicable regulations. A unified regulation on clinical trial procedures has been approved (EU Reg. 536/2014), but is not yet effective. The currently applicable rule is EU Directive 2001/20, as implemented in the various EU member countries from time to time through national laws and regulations.</w:t>
      </w:r>
    </w:p>
    <w:p>
      <w:pPr>
        <w:spacing w:after="0" w:line="21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are currently conducting or planning Phase I/II clinical trials on Temferon in Italy, in accordance with the specific regulations applicable to such early-phase trials. As discussed elsewhere in this prospectus, we are currently conducting our TEM-GBM 001 study on GBM patients and plan to start new ones on hepatic tumor (HCC and IHC) in the near future by means of appropriate application to the Italian Regulatory Authority (“AIFA”).</w:t>
      </w:r>
    </w:p>
    <w:p>
      <w:pPr>
        <w:spacing w:after="0" w:line="19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applicable Italian regulation is the Decree of April 27, 2015 of the Ministry of Health, providing a precise sequence of approvals for the start of Phase I studies and subsequent amendments to the related protocols. According to such Decree, an initial request must be submitted to AIFA seeking a technical-scientific opinion of Istituto Superiore di Sanità (ISS), acting on behalf of AIFA, on the admissibility of the request. Upon the favorable opinion of ISS, AIFA issues an authorization to proceed with the planned study, and the rules generally governing the conduct of clinical trials (Legislative Decree 211 of June 24, 2003, implementing in Italy EU Directive 2001/20, Decree of December 17, 2004 of the Ministry of Health for non-profit studies, plus procedural rules such as the Decree of December 21, 2007, so called “CTA decree”, for the prescribed formats), are of application.</w:t>
      </w:r>
    </w:p>
    <w:p>
      <w:pPr>
        <w:spacing w:after="0" w:line="19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 xml:space="preserve">Based on the AIFA approval, the Independent Ethics Committees (“IECs”) of the research centers participating in the trial issue their opinions on the conduct of the study, having evaluated the study protocol and all other relevant documentation such as the informed consent form (“ICF”), the insurance policy underwritten by the sponsor, the information and consent form for data protection purposes. The IEC of the Coordinating Center issues first its opinion – the so-called </w:t>
      </w:r>
      <w:r>
        <w:rPr>
          <w:rFonts w:ascii="Arial" w:cs="Arial" w:eastAsia="Arial" w:hAnsi="Arial"/>
          <w:sz w:val="17"/>
          <w:szCs w:val="17"/>
          <w:i w:val="1"/>
          <w:iCs w:val="1"/>
          <w:color w:val="auto"/>
        </w:rPr>
        <w:t>Parere Unico</w:t>
      </w:r>
      <w:r>
        <w:rPr>
          <w:rFonts w:ascii="Arial" w:cs="Arial" w:eastAsia="Arial" w:hAnsi="Arial"/>
          <w:sz w:val="17"/>
          <w:szCs w:val="17"/>
          <w:color w:val="auto"/>
        </w:rPr>
        <w:t>, lit. “sole opinion” (“PU”) - and then the IECs of the other participating centers accept or refuse the PU in its entirety (they may seek amendment to the ICF on the basis of local operating circumstances).</w:t>
      </w:r>
    </w:p>
    <w:p>
      <w:pPr>
        <w:spacing w:after="0" w:line="20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All documents pertaining to each specific step of the procedure, in the right sequence, must be loaded on the online database of Aifa (“Osservatorio sulle Sperimentazioni Cliniche”, or OsSC); the OsSC system provides certain controls to make sure that e.g. no IEC opinion can be loaded before the pertinent AIFA approval, or that the opinions of the participating sites cannot be loaded before the PU is loaded. It may occur however that, due to calendar mismatches in the calendars of IEC meeting (usually held on a monthly basis), an approval may precede by a few days a “prior” one (typically, the PU or the AIFA approval): in such cases the IEC approval is issued under reservation (“</w:t>
      </w:r>
      <w:r>
        <w:rPr>
          <w:rFonts w:ascii="Arial" w:cs="Arial" w:eastAsia="Arial" w:hAnsi="Arial"/>
          <w:sz w:val="16"/>
          <w:szCs w:val="16"/>
          <w:i w:val="1"/>
          <w:iCs w:val="1"/>
          <w:color w:val="auto"/>
        </w:rPr>
        <w:t>con riserva</w:t>
      </w:r>
      <w:r>
        <w:rPr>
          <w:rFonts w:ascii="Arial" w:cs="Arial" w:eastAsia="Arial" w:hAnsi="Arial"/>
          <w:sz w:val="16"/>
          <w:szCs w:val="16"/>
          <w:color w:val="auto"/>
        </w:rPr>
        <w:t>”) and can be loaded in advance accordingly, under the assumption that the documents subjected to evaluation - protocol (updated) version, ICF and the rest – coincide exactly.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 Application for Biologic Medicinal Products</w:t>
      </w:r>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To obtain regulatory approval to commercialize a new drug in the EEA (comprising the E.U. Member States plus Iceland, Liechtenstein and Norway, we must submit a marketing authorization application.</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E.U., a marketing authorization for a medicinal product can be obtained through a centralized, mutual recognition, decentralized procedure, or national procedure (single country). The centralized procedure is mandatory for certain medicinal products, including orphan medicinal products, those produced by biotechnology,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and is optional for certain other products, including medicinal products with a new active substance for other indications, and products that are a significant therapeutic, scientific or technical innovation, or whose authorization would be in the interest of public health.</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9" w:name="page140"/>
    <w:bookmarkEnd w:id="139"/>
    <w:p>
      <w:pPr>
        <w:ind w:firstLine="648"/>
        <w:spacing w:after="0" w:line="269" w:lineRule="auto"/>
        <w:rPr>
          <w:sz w:val="20"/>
          <w:szCs w:val="20"/>
          <w:color w:val="auto"/>
        </w:rPr>
      </w:pPr>
      <w:r>
        <w:rPr>
          <w:rFonts w:ascii="Arial" w:cs="Arial" w:eastAsia="Arial" w:hAnsi="Arial"/>
          <w:sz w:val="17"/>
          <w:szCs w:val="17"/>
          <w:color w:val="auto"/>
        </w:rPr>
        <w:t>Under the centralized procedure, the applicant can submit a single application for marketing authorization to the EMA which will provide a positive opinion regarding the application if it meets certain quality, safety, and efficacy requirements. Based on the opinion of the EMA, the European Commission takes a final decision to grant a centralized marketing authorization which permits the marketing of a product throughout the EEA. Under the centralized procedure, the maximum timeframe for the evaluation of a marketing authorization application is 210 days (excluding clock stops, when additional written or oral information is to be provided by the applicant in response to questions asked by the EMA Committee for Medicinal Products for Human Use (“CHMP”)). Clock stops may extend the timeframe of evaluation of a marketing authorization application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marketing authorization application under the accelerated assessment procedure is 150 days, excluding clock stops, but it is possible that the CHMP may revert to the standard time limit for the centralized procedure if it determines that it is no longer appropriate to conduct an accelerated assessment.</w:t>
      </w:r>
    </w:p>
    <w:p>
      <w:pPr>
        <w:spacing w:after="0" w:line="17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Now that the United Kingdom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or MHRA, the United Kingdom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spacing w:after="0" w:line="16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For other countries outside of the E.U., such as the United Kingdom and countries in Eastern Europe, Latin America or Asia, the requirements governing the conduct of clinical trials, product licensing, pricing and reimbursement vary from country to country. Internationally, clinical trials are generally required to be conducted in accordance with cGCPs, applicable regulatory requirements of each jurisdiction and the medical ethics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Promotion and Compliance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E.U., the advertising and promotion of our products will also be subject to E.U. laws and E.U. Member States’ national laws governing promotion of medicinal products, interactions with physicians, misleading and comparative advertising and unfair commercial practices. These laws require that promotional materials and advertising in relation to medicinal products comply with the product’s Summary of Product Characteristics (“SmPC”), as approved by the competent authorities. The SmPC is the document that provides information to physicians concerning the safe and effective use of the medicinal product. The SmPC forms an intrinsic and integral part of the marketing authorization granted for the medicinal product. Promotion of a medicinal product that does not comply with the SmPC is considered to constitute off-label promotion and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As the United Kingdom medicinal products legislation is still largely based on EU legislation, the promotion of prescription-only medicines to the public and promotion of medicinal products not in compliance with the SmPC are both also prohibited under United Kingdom law.</w:t>
      </w:r>
    </w:p>
    <w:p>
      <w:pPr>
        <w:spacing w:after="0" w:line="16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During all phases of development (pre- and post-marketing), failure to comply with applicable regulatory requirements may result in administrative or judicial sanctions. These penalties could include the imposition of a clinical hold on trials, refusal to approve pending applications, withdrawal of an approval, warning letters, product recalls, product seizures, total or partial suspension of production or distribution, product detention or refusal to permit the import or export of products, injunctions, fines, civil penalties or criminal prosecution. Any agency or judicial enforcement action could have a material adverse effect on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EEA</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the EEA,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data when applying for a generic or biosimilar marketing authorization for a period of eight years from the date on which the innovator’s product was first authorized in the EEA. During an additional two-year period of market exclusivity, a generic or biosimilar marketing authorization can be submitted and authorized,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an innovative medicinal product gains the prescribed period of data exclusivity, another company may market another version of the product if such company obtained a marketing authorization based on a marketing authorization application with a complete independent data package of pharmaceutical tests, preclinical tests and clinical trials.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relevant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EEA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EEA market (in case of centralized procedure) or on the market of the authorizing EEA Member State within three years after authorization ceases to be valid (the so-called sunset clause).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Prior to obtaining a marketing authorization in the EEA,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commonly referred to as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an adult population. Before a marketing authorization application can be filed, or an existing marketing authorization can be amended, the EMA must determine that a company actually complied with the agreed studies and measures listed in each relevant PIP, unless the EMA has granted: (i) a product-specific waiver, (ii) a class waiver or (iii) a deferral for one or more of the measures included in the PIP. If an applicant obtains a marketing authorization in all EEA Member States, or a marketing authorization granted in the centralized procedure by the European Commission, and the study results of the pediatric clinical trials conducted in accordance with the PIP are included in the drug product information, even when negative, the medicine is then eligible for an additional six-month period of qualifying patent protection through extension of the term of the Supplementary Protection Certificate.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In case an authorization for a medicinal product in the EEA is obtained, the holder of the marketing authorization is required to comply with a range of requirements applicable to the manufacturing, marketing, promotion and sale of medicinal products. These include:</w:t>
      </w:r>
    </w:p>
    <w:p>
      <w:pPr>
        <w:spacing w:after="0" w:line="146" w:lineRule="exact"/>
        <w:rPr>
          <w:sz w:val="20"/>
          <w:szCs w:val="20"/>
          <w:color w:val="auto"/>
        </w:rPr>
      </w:pPr>
    </w:p>
    <w:p>
      <w:pPr>
        <w:ind w:left="660" w:right="460" w:hanging="328"/>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129"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APIs, including the manufacture of API outside of the EU with the intention to import the API into the EU.</w:t>
      </w:r>
    </w:p>
    <w:p>
      <w:pPr>
        <w:spacing w:after="0" w:line="147"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 Member State laws. Direct-to-consumer advertising of prescription medicines is prohibited across the EU.</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5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June 23, 2016, the electorate in the United Kingdom voted in favor of Brexit. Thereafter, on March 29, 2017, the country formally notified the EU of its intention to withdraw pursuant to Article 50 of the Lisbon Treaty. The withdrawal of the United Kingdom from the EU took effect on January 31, 2020, however, there was a transition period until December 31, 2020 during which EU laws, including in respect of medicinal products, continued to be applicable in the United Kingdom.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drug products and the approval of product candidates in the United Kingdom, now that the United Kingdom legislation has the potential to diverge from EU legislation. It remains to be seen how Brexit will impact regulatory requirements for product candidates and approved drug products in the United Kingdom in the long term. The MHRA, the United Kingdom’s medicines and medical devices regulator, has recently published detailed guidance for industry and organizations to follow from January 1, 2021 now the transition period is over, which will be updated as the United Kingdom’s regulatory position on medicinal products evolves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252"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collection, use, disclosure, transfer or other processing of personal data of individuals in the EU, including personal health data, is governed by the GDPR, which became effective on May 25, 2018. After effectiveness of GDPR, the European data protection law background has been constantly implemented through the activity of the European Data Protection Board (EDPB) concerning the correct interpretation and application of GDPR, as well as through the ruling of the Court of Justice of the European Union (CJEU). The GDPR and EU Member States national data protection legislation, including Italy, are wide-ranging in scope and impose numerous requirements on companies that process personal data, including requirements relating to processing health and other sensitive data, obtaining consent of the individuals to whom the personal data relates, providing notice to individuals regarding data processing activities, implementing safeguards to protect the security and confidentiality of personal data, providing notification of data breaches, and taking certain measures when engaging third party processors. The GDPR also imposes strict rules on the transfer of personal data to countries outside the EU, including the United States and now – after Brexit – the United Kingdom, and permits data protection authorities to impose large penalties for violations of the GDPR, including potential fines of up to €20 million or 4% of annual global revenues, whichever is greater. Concerning the transfer of (pseudonymized) personal data to the United States, the recent CJEU case C-3111/18, also known as Schremes II, invalidated the European Commission’s adequacy decision for the EU-U.S. Privacy Shield Framework, on which the majority of U.S. companies relied to conduct trans-Atlantic trade in compliance with EU data protection rules. The decision reinforced the importance of data protection to global commerce and imposed EU companies trading with US companies or organizations to rely the transfer of personal data on other legal basis or appropriate safeguards provided for in the GDPR, such as Standard Contractual Clauses (SCC), Binding Corporate Rules (BCR) or derogations for specific situations. Regarding the transfer of personal data to United Kingdom, the EU / UK agreement regulating the transition period after Brexit (“Statement on the end of the Brexit transition period”) provides that, until June 2021, “all data flows of personal data between stakeholders subject to GDPR and UK organizations will not be considered as transfers to a third country”, thus implying the adoption of appropriate legal basis and safeguards provided for in the GDPR for any communication of personal data to a third party, such as Data Processing Agreement containing Standard Contractual Clauses.</w:t>
      </w:r>
    </w:p>
    <w:p>
      <w:pPr>
        <w:spacing w:after="0" w:line="16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GDPR also confers a private right of action on data subjects and consumer associations to lodge complaints with supervisory authorities, seek judicial remedies and obtain compensation for damages.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Compliance with the GDPR and all relevant EU data protection rules will be a rigorous and time-intensive process that may increase our cost of doing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Drug Products</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the EU,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drug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drug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drug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drug products, if approved in those countries.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consultants</w:t>
      </w:r>
    </w:p>
    <w:p>
      <w:pPr>
        <w:spacing w:after="0" w:line="25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As of April 20, 2021, we had four full-time employees, all located in Milan, Italy and we rely on consultants and a large number of collaborators at SR-TIGET and OSR. Our full-time employees and consultants are engaged in clinical, research and development, product development and quality assurance activities. We consider our relationship with our employees to be good.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091"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Property and Facilities</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corporate headquarters is located in Milan, Via Olgettina 58 within San Raffaele Hospital, Italy, where we lease approximately 51 square meters of office space (3 offices). The lease commenced in January 2020 and has a 6-year initial term. It will expire on December 1, 2025 and may be renewed for additional 6 years. We also have a representative office in a co-working space located in New York, NY. We believe that our existing facilities are adequate for our near-term needs, and we believe that suitable additional or alternative office will be available as required in the future on commercially reasonable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and have not been notified of any claims in respect thereof, other than as set forth below:</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By letter dated February 25, 2019, Theravectys notified the Company of the possible infringement by Genenta of Theravectys’ exclusive license to patents no. EP 1071804 (and of the corresponding US patent US 6,682,907), EP 1224314, and EP 1222300 (and of the corresponding US patent US 7,968,332) granted from the owner of the patents Institut Pasteur. Theravectys requested Genenta engage in discussions as to possible contractual arrangements including the opportunity to either enter into (i) a manufacturing and supply agreement; or (ii) a non-exclusive license for Genenta’s use of the technologies allegedly protected under the patent(s). Each of these patents is now expired, having each reached the end of it its patent term on April 23, 2019 for EP1071804 and October 10, 2020 for EP 1224314, and EP 1222300.</w:t>
      </w:r>
    </w:p>
    <w:p>
      <w:pPr>
        <w:spacing w:after="0" w:line="2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date, Genenta has not engaged in any such discussions with Theravectys nor has Genenta received any further claim/request from Theravectys in relation to the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56"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The following table sets forth the name, age as of the date of this prospectus, and position of the individuals who will serve as directors and executive officers of Genenta Science S.p.A. following the Corporate Conversion and the closing of this offering. The following also includes certain information regarding the individual experience, qualifications, attributes and skills of our directors and executive officers as well as brief statements of those aspects of our directors’ backgrounds that led us to conclude that they are qualified to serve as directors: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60" w:type="dxa"/>
            <w:vAlign w:val="bottom"/>
            <w:gridSpan w:val="2"/>
          </w:tcPr>
          <w:p>
            <w:pPr>
              <w:ind w:left="1240"/>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360" w:type="dxa"/>
            <w:vAlign w:val="bottom"/>
            <w:gridSpan w:val="2"/>
          </w:tcPr>
          <w:p>
            <w:pPr>
              <w:ind w:left="182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ind w:left="620"/>
              <w:spacing w:after="0"/>
              <w:rPr>
                <w:sz w:val="20"/>
                <w:szCs w:val="20"/>
                <w:color w:val="auto"/>
              </w:rPr>
            </w:pPr>
            <w:r>
              <w:rPr>
                <w:rFonts w:ascii="Arial" w:cs="Arial" w:eastAsia="Arial" w:hAnsi="Arial"/>
                <w:sz w:val="14"/>
                <w:szCs w:val="14"/>
                <w:b w:val="1"/>
                <w:bCs w:val="1"/>
                <w:color w:val="auto"/>
              </w:rPr>
              <w:t>Year elected or appointed</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Stephen Squinto, Ph.D.</w:t>
            </w:r>
          </w:p>
        </w:tc>
        <w:tc>
          <w:tcPr>
            <w:tcW w:w="24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17"/>
                <w:szCs w:val="17"/>
                <w:color w:val="auto"/>
              </w:rPr>
            </w:pPr>
          </w:p>
        </w:tc>
        <w:tc>
          <w:tcPr>
            <w:tcW w:w="4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Directors(1)(2)</w:t>
            </w:r>
          </w:p>
        </w:tc>
        <w:tc>
          <w:tcPr>
            <w:tcW w:w="220" w:type="dxa"/>
            <w:vAlign w:val="bottom"/>
          </w:tcPr>
          <w:p>
            <w:pPr>
              <w:spacing w:after="0"/>
              <w:rPr>
                <w:sz w:val="17"/>
                <w:szCs w:val="17"/>
                <w:color w:val="auto"/>
              </w:rPr>
            </w:pPr>
          </w:p>
        </w:tc>
        <w:tc>
          <w:tcPr>
            <w:tcW w:w="2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Director</w:t>
            </w:r>
          </w:p>
        </w:tc>
        <w:tc>
          <w:tcPr>
            <w:tcW w:w="2800" w:type="dxa"/>
            <w:vAlign w:val="bottom"/>
          </w:tcPr>
          <w:p>
            <w:pPr>
              <w:spacing w:after="0"/>
              <w:rPr>
                <w:sz w:val="20"/>
                <w:szCs w:val="20"/>
                <w:color w:val="auto"/>
              </w:rPr>
            </w:pPr>
            <w:r>
              <w:rPr>
                <w:rFonts w:ascii="Arial" w:cs="Arial" w:eastAsia="Arial" w:hAnsi="Arial"/>
                <w:sz w:val="18"/>
                <w:szCs w:val="18"/>
                <w:color w:val="auto"/>
              </w:rPr>
              <w:t>2014</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Richard B. Slansky</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spacing w:after="0"/>
              <w:rPr>
                <w:sz w:val="20"/>
                <w:szCs w:val="20"/>
                <w:color w:val="auto"/>
              </w:rPr>
            </w:pPr>
            <w:r>
              <w:rPr>
                <w:rFonts w:ascii="Arial" w:cs="Arial" w:eastAsia="Arial" w:hAnsi="Arial"/>
                <w:sz w:val="18"/>
                <w:szCs w:val="18"/>
                <w:color w:val="auto"/>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Carlo Russo, M.D.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Medical Officer, Head of Development</w:t>
            </w:r>
          </w:p>
        </w:tc>
        <w:tc>
          <w:tcPr>
            <w:tcW w:w="2800" w:type="dxa"/>
            <w:vAlign w:val="bottom"/>
          </w:tcPr>
          <w:p>
            <w:pPr>
              <w:spacing w:after="0"/>
              <w:rPr>
                <w:sz w:val="20"/>
                <w:szCs w:val="20"/>
                <w:color w:val="auto"/>
              </w:rPr>
            </w:pPr>
            <w:r>
              <w:rPr>
                <w:rFonts w:ascii="Arial" w:cs="Arial" w:eastAsia="Arial" w:hAnsi="Arial"/>
                <w:sz w:val="18"/>
                <w:szCs w:val="18"/>
                <w:color w:val="auto"/>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Roger Abravanel</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Director(1)(2)</w:t>
            </w:r>
          </w:p>
        </w:tc>
        <w:tc>
          <w:tcPr>
            <w:tcW w:w="2800" w:type="dxa"/>
            <w:vAlign w:val="bottom"/>
          </w:tcPr>
          <w:p>
            <w:pPr>
              <w:spacing w:after="0"/>
              <w:rPr>
                <w:sz w:val="20"/>
                <w:szCs w:val="20"/>
                <w:color w:val="auto"/>
              </w:rPr>
            </w:pPr>
            <w:r>
              <w:rPr>
                <w:rFonts w:ascii="Arial" w:cs="Arial" w:eastAsia="Arial" w:hAnsi="Arial"/>
                <w:sz w:val="18"/>
                <w:szCs w:val="18"/>
                <w:color w:val="auto"/>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Daniela Bellomo,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spacing w:after="0"/>
              <w:rPr>
                <w:sz w:val="20"/>
                <w:szCs w:val="20"/>
                <w:color w:val="auto"/>
              </w:rPr>
            </w:pPr>
            <w:r>
              <w:rPr>
                <w:rFonts w:ascii="Arial" w:cs="Arial" w:eastAsia="Arial" w:hAnsi="Arial"/>
                <w:sz w:val="18"/>
                <w:szCs w:val="18"/>
                <w:color w:val="auto"/>
              </w:rPr>
              <w:t>2019</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Guido Guidi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Director(1)(2)</w:t>
            </w:r>
          </w:p>
        </w:tc>
        <w:tc>
          <w:tcPr>
            <w:tcW w:w="2800" w:type="dxa"/>
            <w:vAlign w:val="bottom"/>
          </w:tcPr>
          <w:p>
            <w:pPr>
              <w:spacing w:after="0"/>
              <w:rPr>
                <w:sz w:val="20"/>
                <w:szCs w:val="20"/>
                <w:color w:val="auto"/>
              </w:rPr>
            </w:pPr>
            <w:r>
              <w:rPr>
                <w:rFonts w:ascii="Arial" w:cs="Arial" w:eastAsia="Arial" w:hAnsi="Arial"/>
                <w:sz w:val="18"/>
                <w:szCs w:val="18"/>
                <w:color w:val="auto"/>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Luca Guidotti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spacing w:after="0"/>
              <w:rPr>
                <w:sz w:val="20"/>
                <w:szCs w:val="20"/>
                <w:color w:val="auto"/>
              </w:rPr>
            </w:pPr>
            <w:r>
              <w:rPr>
                <w:rFonts w:ascii="Arial" w:cs="Arial" w:eastAsia="Arial" w:hAnsi="Arial"/>
                <w:sz w:val="18"/>
                <w:szCs w:val="18"/>
                <w:color w:val="auto"/>
              </w:rPr>
              <w:t>2018</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Anthony Marucci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w:t>
            </w:r>
          </w:p>
        </w:tc>
        <w:tc>
          <w:tcPr>
            <w:tcW w:w="2800" w:type="dxa"/>
            <w:vAlign w:val="bottom"/>
          </w:tcPr>
          <w:p>
            <w:pPr>
              <w:spacing w:after="0"/>
              <w:rPr>
                <w:sz w:val="20"/>
                <w:szCs w:val="20"/>
                <w:color w:val="auto"/>
              </w:rPr>
            </w:pPr>
            <w:r>
              <w:rPr>
                <w:rFonts w:ascii="Arial" w:cs="Arial" w:eastAsia="Arial" w:hAnsi="Arial"/>
                <w:sz w:val="18"/>
                <w:szCs w:val="18"/>
                <w:color w:val="auto"/>
              </w:rPr>
              <w:t>2021*</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Stefania Mazzoleni,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98"/>
              </w:rPr>
              <w:t>Scientific Project Manager and Communications Officer</w:t>
            </w:r>
          </w:p>
        </w:tc>
        <w:tc>
          <w:tcPr>
            <w:tcW w:w="2800" w:type="dxa"/>
            <w:vAlign w:val="bottom"/>
          </w:tcPr>
          <w:p>
            <w:pPr>
              <w:spacing w:after="0"/>
              <w:rPr>
                <w:sz w:val="20"/>
                <w:szCs w:val="20"/>
                <w:color w:val="auto"/>
              </w:rPr>
            </w:pPr>
            <w:r>
              <w:rPr>
                <w:rFonts w:ascii="Arial" w:cs="Arial" w:eastAsia="Arial" w:hAnsi="Arial"/>
                <w:sz w:val="18"/>
                <w:szCs w:val="18"/>
                <w:color w:val="auto"/>
              </w:rPr>
              <w:t>2016</w:t>
            </w:r>
          </w:p>
        </w:tc>
      </w:tr>
    </w:tbl>
    <w:p>
      <w:pPr>
        <w:spacing w:after="0" w:line="229" w:lineRule="exact"/>
        <w:rPr>
          <w:sz w:val="20"/>
          <w:szCs w:val="20"/>
          <w:color w:val="auto"/>
        </w:rPr>
      </w:pPr>
    </w:p>
    <w:p>
      <w:pPr>
        <w:ind w:left="140" w:hanging="132"/>
        <w:spacing w:after="0"/>
        <w:tabs>
          <w:tab w:leader="none" w:pos="1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Effective upon consummation of the Corporate Conversion.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Independent Director (as defined under Nasdaq Stock Market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Member of the Compensation, Nomination and Governance Committee</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directors above were elected at the Company’s general shareholders’ meeting held on , 2021, for a three-year term. The board of directors consists of 7 (seven) members.</w:t>
      </w:r>
    </w:p>
    <w:p>
      <w:pPr>
        <w:spacing w:after="0" w:line="19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of directors’ term will expire with the Shareholders’ Meeting called to approve the financial statements for the year ending December 31, 2023.</w:t>
      </w:r>
    </w:p>
    <w:p>
      <w:pPr>
        <w:spacing w:after="0" w:line="19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Following the expiration of the above board of directors, future members will be appointed by means of a list voting system: lists may be presented by the shareholders representing, individually or collectively, at least 6% of share capital represented by ordinary shares. The board of directors will be appointed as follows: six directors will be drawn from the list that has obtained the highest number of votes on the shareholders meeting (the Majority List), based on the progressive order in which they are listed, while one director will be drawn from the second list, in terms of the number of votes received, that have no connection, whether direct or indirect, with the shareholders who have submitted or voted the Majority List (the Minority Lists).</w:t>
      </w:r>
    </w:p>
    <w:p>
      <w:pPr>
        <w:spacing w:after="0" w:line="21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Each shareholder and shareholders belonging to the same group shall not present, or contribute to present, or vote for more than one list, including through an intermediary or trust company. Each candidate may only appear on one list or, otherwise, will be ineligible for election.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4" w:name="page145"/>
    <w:bookmarkEnd w:id="144"/>
    <w:p>
      <w:pPr>
        <w:ind w:right="40" w:firstLine="648"/>
        <w:spacing w:after="0" w:line="259" w:lineRule="auto"/>
        <w:rPr>
          <w:sz w:val="20"/>
          <w:szCs w:val="20"/>
          <w:color w:val="auto"/>
        </w:rPr>
      </w:pPr>
      <w:r>
        <w:rPr>
          <w:rFonts w:ascii="Arial" w:cs="Arial" w:eastAsia="Arial" w:hAnsi="Arial"/>
          <w:sz w:val="18"/>
          <w:szCs w:val="18"/>
          <w:color w:val="auto"/>
        </w:rPr>
        <w:t>If no list is presented the shareholders shall make the necessary appointments during the shareholders meeting convened for the appointment of new members of the board of directors, by resolution passed by simple majority, upon proposal of those attending and entitled to vote, making sure that the requirements set out in the laws pro tempore in force and in the bylaws on the composition of the board of directors and, especially, on gender balance, are complied with.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Pierluigi Paracchi, Chief Executive Officer and Director, Current Chairman of the Board</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Mr. Paracchi has over 15 years of combined experience as an investor and director of life science companies, including as Founder and CEO of Quantica SGR and in senior roles at Axòn Capital, Sofinnova Partners and AurorA Science. He was also a board member and investor in Ethical Oncology Science, which was acquired in 2013 for $470 million. Pierluigi Paracchi is a member of the Assobiotec Steering Committee, the Italian Association for the development of biotechnology. He also serves on the Board of Directors of the autoimmune disease and cancer company Altheia Science, as non-executive Chairman at medical device company Lipogems International and is a venture partner with AurorA Science, an independent biotech investment vehicle.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B. Slansky, Chief Financial Officer</w:t>
      </w:r>
    </w:p>
    <w:p>
      <w:pPr>
        <w:spacing w:after="0" w:line="25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Mr. Slansky is a senior financial executive with more than 30 years of experience as Chief Financial Officer in various biopharmaceutical, diagnostic and life science companies, including OncoSec Medical, Biological Dynamics and GenMark Diagnostics. His experience spans across public and private healthcare and technology companies at various stages of growth, pre-revenue to commercial. He has been responsible for strategic vision and oversight of financial and operational teams, organizational leadership and creating maximum stakeholder value. He also serves on the Board of Directors of several private companies, including Nuclear RNA Networks, an early-stage RNA gene transcription therapeutics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Carlo Russo, M.D., Chief Medical Officer &amp; Head of Development</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Dr. Russo has extensive experience as a biotech executive focused on medical affairs and research and development. He has served as Head of Development of GSK’s R&amp;D Biopharm and Rare Disease Units and the Cardiovascular Metabolic Center. Previously, Dr. Russo served as an Executive VP and CMO of Adverum, CMO &amp; Head of Research &amp; Development of Annapurna and President and CEO of VaxInnate Corporation, among other senior roles. Dr Russo holds a number of senior positions at research institutions, including Cornell University Medical College, Columbia University and Scripps Research Institute. He holds his MD and Board Certification in Hematology from the University of Genoa Medical School and is the author of more than 70 scientific publications.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Stefania Mazzoleni, Ph.D., Scientific Project Manager and Communications Officer</w:t>
      </w:r>
    </w:p>
    <w:p>
      <w:pPr>
        <w:spacing w:after="0" w:line="252"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Dr. Mazzoleni manages and oversees the scientific development of parallel immuno-gene therapy studies in oncology indications and provides scientific support for investor interactions. Dr. Mazzoleni has more than 15 years’ experience in life science research and development, oncology and project management, including over 4 years of drug development and cell and gene therapy experience acquired while working at various academic institutions (San Raffaele Hospital, National Institute of Molecular Genetics) and pharmaceutics (Nerviano Medical Sciences). Dr. Mazzoleni received a MSc in Medical Biotechnology in 2005, holds a PhD in Molecular and Cellular Biology from San Raffaele Vita-Salute University, has a second level vocational Master’s in Pharmacy and Pharmaceutical Oncology and is a member of the European Academy of Tumor Immunology.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Board of Directors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Stephen Squinto, Ph.D., Chairman of the Board of Directors</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Dr. Squinto has more than 25 years’ experience in the biotech industry and is an Executive Partner of the healthcare investment company OrbiMed Advisors. He was previously CEO of the gene therapy company, Passage Bio, and co-founded Alexion Pharmaceuticals, where he served as Chief Global Operations Officer and Global Head of Research, and held several senior leadership positions at Regeneron Pharmaceuticals. Dr Squinto currently serves on the Board of Directors of several biotech and healthcare companies and has received numerous honors and awards from academic and professional organizations for his scientific work. Dr. Squinto has agreed to assume the role of Chairman of the Board upon the consummation of the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Roger Abravanel, Director</w:t>
      </w:r>
    </w:p>
    <w:p>
      <w:pPr>
        <w:spacing w:after="0" w:line="2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Mr. Abravanel worked at McKinsey &amp; Company for 34 years as a consultant for Italian and multinational corporations in Europe, the United States and the Far East, and is now an emeritus director. He is a former board member of Luxottica, COFIDE, Teva and Admiral, is currently Chairman of the INSEAD’s advisory group in Italy and is the author of several best-selling business books.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Daniela Bellomo, Ph.D., Director</w:t>
      </w:r>
    </w:p>
    <w:p>
      <w:pPr>
        <w:spacing w:after="0" w:line="25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Dr. Bellomo is Head of Business Development at San Raffaele Hospital, where she oversees technology transfer, development and value generation of research in biotech, medical technology and digital health. Dr. Bellomo is a board member of San Raffaele’s spin off Genespire and has previously been on the boards of Parco Tecnologico Padano and BiovelocITA, as well as an advisor to several life science start-ups, venture capital and incubators in the biotech and medical technology field.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Guido Guidi, Director</w:t>
      </w:r>
    </w:p>
    <w:p>
      <w:pPr>
        <w:spacing w:after="0" w:line="25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Mr. Guidi has 35 years of experience in top global roles in large pharmaceuticals companies, managing up to 7,000 employees and a turnover of more than €7 billion. He was previously Head of Pharma EU at Novartis, Head of Oncology at Novartis EU, overseeing major products including Cosentyx, Entresto, Lucentis, Gilenya, Xolair, Ultibro, Seebri, Galvus and Exforge.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Luca Guidotti, MD, PhD.,Director</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Dr. Guidotti is an experimental pathologist renowned internationally in the field of viral hepatitis. Dr. Guidotti spent more than 20 years as a Faculty of the Scripps Research Institute in La Jolla, California and he currently serves as Deputy Scientific Director of San Raffaele Hospital, Milan. He has published works in prestigious scientific journals including Cell, Nature, Science, Nature Medicine, Journal of Clinical Investigation and Journal of Experimental Medicine.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Anthony Marucci, Director</w:t>
      </w:r>
    </w:p>
    <w:p>
      <w:pPr>
        <w:spacing w:after="0" w:line="225"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Mr. Marucci is a seasoned life sciences and public company leader who has raised $1.7 billion in capital in multiple organizations over his 30 years’ experience. He is currently President and CEO of Celldex Therapeutics, the company he co-founded in 2004 and which develops targeted therapeutics, including immunotherapies and other targeted biologics. Prior to founding Celldex, he was Treasurer at Medarex, from which Celldex was spun out, and he holds an MBA from Columbia University and a MHL from Brown University. The appointment of Mr. Marucci will be effective upon consummation of the Corporate Conversion.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Scientific Board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Luigi Naldini, M.D., Ph.D., Chairman of the Executive Scientific Board</w:t>
      </w:r>
    </w:p>
    <w:p>
      <w:pPr>
        <w:spacing w:after="0" w:line="252"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Professor Naldini is a deeply experienced scientist and academic, considered by many to be the father of lentiviral gene therapy. Dr. Naldini is Professor of Cell and Tissue Biology and Cell and Gene Therapy at the Vita-Salute San Raffaele University School of Medicine in Milan, and Director of the San Raffaele-Telethon Institute for Gene Therapy and of the Division of Regenerative Medicine, Stem Cells &amp; Gene Therapy at the San Raffaele Scientific Institute. He has previously served as President of the European Society of Gene and Cell Therapy and a member of the Board of Directors and Advisory Council of the American Society of Gene and Cell Therapy. Dr. Naldini is also a scientific advisor on EMEA and WHO committees for the evaluation of novel gene transfer medicines and has authored more than 250 scientific publications.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i w:val="1"/>
          <w:iCs w:val="1"/>
          <w:color w:val="auto"/>
        </w:rPr>
        <w:t>Bernhard Gentner, M.D., Member of the Executive Scientific Board</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Dr. Gentner is a physician scientist, serving as Group Leader of the Translational Stem Cell and Leukemia Research Unit at the San Raffaele-Telethon Institute for Gene Therapy in Milan and Staff Hematologist in the Hematology and Bone Marrow Transplantation Unit of San Raffaele Hospital. Dr. Gentner completed his MD studies at the University of Heidelberg, Germany, the MD Anderson Cancer Center and Baylor College of Medicine, Houston, USA. He completed his internal medicine training at Erlangen University Hospital, Germany and his hematology training at San Raffaele Vita-Salute University and has authored more than 30 scientific publications.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Advisor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Zambanini, Translational Medicine Advisor</w:t>
      </w:r>
    </w:p>
    <w:p>
      <w:pPr>
        <w:spacing w:after="0" w:line="252"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Mr. Zambanini, through his company, Zambanini Consulting provides clinical and scientific support to the development of clinical trials in oncology indications for Temferon. Mr. Zambanini previously held various leadership positions with increasing responsibility at GSK from 2003 through 2009, including head of the European Cardiovascular Clinic Group and Vice President and Medicine Development Leader for late-stage diabetes agents. He graduated with a Bachelor of Medicine in 1991 from St George’s Medical School in London and completed a specialty in clinical pharmacology and therapy from Imperial College London’s Chelsea and Westminster Hospital. He is an accredited UK specialist in pharmaceutical medicine. In 1998 he received a one-year research fellowship in cardiology in Auckland, New Zealand and continued his research interests in vascular imaging and hemodynamics upon his return to the UK at St Mary’s Hospital, London.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our executive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Concerning Election of Directors and Members of Management</w:t>
      </w:r>
    </w:p>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There are no arrangements or understandings with major shareholders, customers, suppliers or others pursuant to which any of our directors or members of senior management were selected as such.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following table presents in the aggregate all compensation we paid to all of our directors and senior management as a group for the year ended December 31, 2020. The table does not include any amounts we paid to reimburse any of such persons for costs incurred in providing us with services during this period. We are not required to provide the compensation, on an individual basis, of our executive officers and directors under Italian law. As a matter of Italian law, the compensation of directors is established at the time of their appointment or by the shareholders’ meeting. The compensation of the managing directors shall be established by the board of directors, with the opinion of the board of statutory auditors. Our bylaws provides that the shareholders’ meeting may determine a total amount for the compensation of the directors, including managing directors.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amounts reported in the table below reflect the cost to the Company, in thousands of Euros, for the year ended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Pension,</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Salary, Bonuses</w:t>
            </w:r>
          </w:p>
        </w:tc>
        <w:tc>
          <w:tcPr>
            <w:tcW w:w="1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Retirement</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 Other</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and Related</w:t>
            </w:r>
          </w:p>
        </w:tc>
        <w:tc>
          <w:tcPr>
            <w:tcW w:w="1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Similar</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Based</w:t>
            </w:r>
          </w:p>
        </w:tc>
        <w:tc>
          <w:tcPr>
            <w:tcW w:w="0" w:type="dxa"/>
            <w:vAlign w:val="bottom"/>
          </w:tcPr>
          <w:p>
            <w:pPr>
              <w:spacing w:after="0"/>
              <w:rPr>
                <w:sz w:val="1"/>
                <w:szCs w:val="1"/>
                <w:color w:val="auto"/>
              </w:rPr>
            </w:pPr>
          </w:p>
        </w:tc>
      </w:tr>
      <w:tr>
        <w:trPr>
          <w:trHeight w:val="178"/>
        </w:trPr>
        <w:tc>
          <w:tcPr>
            <w:tcW w:w="4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Benefits</w:t>
            </w: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Benefits</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88"/>
        </w:trPr>
        <w:tc>
          <w:tcPr>
            <w:tcW w:w="49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All directors and senior management as a group, consisting of</w:t>
            </w:r>
          </w:p>
        </w:tc>
        <w:tc>
          <w:tcPr>
            <w:tcW w:w="76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persons</w:t>
            </w:r>
          </w:p>
        </w:tc>
        <w:tc>
          <w:tcPr>
            <w:tcW w:w="27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6"/>
        </w:trPr>
        <w:tc>
          <w:tcPr>
            <w:tcW w:w="49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jc w:val="right"/>
              <w:ind w:right="1508"/>
              <w:spacing w:after="0"/>
              <w:rPr>
                <w:sz w:val="20"/>
                <w:szCs w:val="20"/>
                <w:color w:val="auto"/>
              </w:rPr>
            </w:pPr>
            <w:r>
              <w:rPr>
                <w:rFonts w:ascii="Arial" w:cs="Arial" w:eastAsia="Arial" w:hAnsi="Arial"/>
                <w:sz w:val="18"/>
                <w:szCs w:val="18"/>
                <w:color w:val="auto"/>
              </w:rPr>
              <w:t>138</w:t>
            </w: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Differences between Italian Laws and Nasdaq Requirements</w:t>
      </w:r>
    </w:p>
    <w:p>
      <w:pPr>
        <w:spacing w:after="0" w:line="252"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The Sarbanes-Oxley Act, as well as related rules subsequently implemented by the SEC, requires foreign private issuers, such as us, to comply with various corporate governance practices. In addition, following the listing of the ADSs on Nasdaq, we will be required to comply with the Nasdaq Stock Market Rules. Under those rules, we may elect to follow certain corporate governance practices permitted under Italian law in lieu of compliance with corresponding corporate governance requirements otherwise imposed by the Nasdaq Stock Market Rules for U.S. domestic registrants.</w:t>
      </w:r>
    </w:p>
    <w:p>
      <w:pPr>
        <w:spacing w:after="0" w:line="18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accordance with Italian law and practice and subject to the exemption set forth in Rule 5615 of the Nasdaq Stock Market Rules, as a foreign private issuer, we have elected to rely on home country governance requirements and certain exemptions thereunder rather than the Nasdaq Stock Market Rules, with respect to the following requirements:</w:t>
      </w:r>
    </w:p>
    <w:p>
      <w:pPr>
        <w:spacing w:after="0" w:line="211" w:lineRule="exact"/>
        <w:rPr>
          <w:sz w:val="20"/>
          <w:szCs w:val="20"/>
          <w:color w:val="auto"/>
        </w:rPr>
      </w:pPr>
    </w:p>
    <w:p>
      <w:pPr>
        <w:ind w:left="660" w:right="60" w:hanging="328"/>
        <w:spacing w:after="0" w:line="291"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Composition of the board of directors</w:t>
      </w:r>
      <w:r>
        <w:rPr>
          <w:rFonts w:ascii="Arial" w:cs="Arial" w:eastAsia="Arial" w:hAnsi="Arial"/>
          <w:sz w:val="16"/>
          <w:szCs w:val="16"/>
          <w:color w:val="auto"/>
        </w:rPr>
        <w:t>. Italian law does not require that the majority of our board of directors consist of independent directors.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therefore may include fewer independent directors than would be required if we were subject to Nasdaq Listing Rule 5605(b)</w:t>
      </w:r>
    </w:p>
    <w:p>
      <w:pPr>
        <w:ind w:left="660" w:right="760"/>
        <w:spacing w:after="0" w:line="260" w:lineRule="auto"/>
        <w:rPr>
          <w:rFonts w:ascii="Arial" w:cs="Arial" w:eastAsia="Arial" w:hAnsi="Arial"/>
          <w:sz w:val="16"/>
          <w:szCs w:val="16"/>
          <w:color w:val="auto"/>
        </w:rPr>
      </w:pPr>
      <w:r>
        <w:rPr>
          <w:rFonts w:ascii="Arial" w:cs="Arial" w:eastAsia="Arial" w:hAnsi="Arial"/>
          <w:sz w:val="18"/>
          <w:szCs w:val="18"/>
          <w:color w:val="auto"/>
        </w:rPr>
        <w:t>(1). In addition, we will not be subject to Nasdaq Listing Rule 5605(b)(2), which requires that independent directors must regularly have scheduled meetings at which only independent directors are present.</w:t>
      </w:r>
    </w:p>
    <w:p>
      <w:pPr>
        <w:spacing w:after="0" w:line="144" w:lineRule="exact"/>
        <w:rPr>
          <w:rFonts w:ascii="Arial" w:cs="Arial" w:eastAsia="Arial" w:hAnsi="Arial"/>
          <w:sz w:val="16"/>
          <w:szCs w:val="16"/>
          <w:color w:val="auto"/>
        </w:rPr>
      </w:pPr>
    </w:p>
    <w:p>
      <w:pPr>
        <w:jc w:val="both"/>
        <w:ind w:left="660" w:right="160" w:hanging="328"/>
        <w:spacing w:after="0" w:line="301"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Quorum. In accordance with Italian law quorum requirements generally applicable to general meetings of shareholders are set forth in the Italian Civil Code (see “Description of Share Capital and Governing Documents”—“Meeting of shareholders”) therefore our bylaws may not provide a specific regulation of them.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57" w:lineRule="exact"/>
        <w:rPr>
          <w:rFonts w:ascii="Arial" w:cs="Arial" w:eastAsia="Arial" w:hAnsi="Arial"/>
          <w:sz w:val="16"/>
          <w:szCs w:val="16"/>
          <w:color w:val="auto"/>
        </w:rPr>
      </w:pPr>
    </w:p>
    <w:p>
      <w:pPr>
        <w:ind w:left="660"/>
        <w:spacing w:after="0" w:line="255" w:lineRule="auto"/>
        <w:rPr>
          <w:rFonts w:ascii="Arial" w:cs="Arial" w:eastAsia="Arial" w:hAnsi="Arial"/>
          <w:sz w:val="16"/>
          <w:szCs w:val="16"/>
          <w:color w:val="auto"/>
        </w:rPr>
      </w:pPr>
      <w:r>
        <w:rPr>
          <w:rFonts w:ascii="Arial" w:cs="Arial" w:eastAsia="Arial" w:hAnsi="Arial"/>
          <w:sz w:val="18"/>
          <w:szCs w:val="18"/>
          <w:color w:val="auto"/>
        </w:rPr>
        <w:t>According to Italian law, the management report and the annual financial statements shall be communicated to Company’s auditor and to the board of statutory auditors at least 30 days prior to the general meeting of shareholders convened for its approval. The board of statutory auditors must report to the shareholders’ meeting on the results of the financial year and on the activities carried out in the performance of its duties, and make observations and proposals regarding the financial statements and their approval. The financial statements, together with the reports of the directors, statutory auditors and Company’s auditors, must remain deposited at the Company’s registered office for the 15 days preceding the shareholders’ meeting called to approve them.</w:t>
      </w:r>
    </w:p>
    <w:p>
      <w:pPr>
        <w:spacing w:after="0" w:line="192" w:lineRule="exact"/>
        <w:rPr>
          <w:rFonts w:ascii="Arial" w:cs="Arial" w:eastAsia="Arial" w:hAnsi="Arial"/>
          <w:sz w:val="16"/>
          <w:szCs w:val="16"/>
          <w:color w:val="auto"/>
        </w:rPr>
      </w:pPr>
    </w:p>
    <w:p>
      <w:pPr>
        <w:ind w:left="660" w:right="120" w:hanging="328"/>
        <w:spacing w:after="0" w:line="279" w:lineRule="auto"/>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Proxy Solicitations</w:t>
      </w:r>
      <w:r>
        <w:rPr>
          <w:rFonts w:ascii="Arial" w:cs="Arial" w:eastAsia="Arial" w:hAnsi="Arial"/>
          <w:sz w:val="17"/>
          <w:szCs w:val="17"/>
          <w:color w:val="auto"/>
        </w:rPr>
        <w:t>. Under Italian law shareholders may appoint attorneys-in-fact by delivering in writing appropriate power of attorney to</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 them in an ordinary or extraordinary shareholders’ meeting of the Company. Our directors, auditors and employees may not be proxies. Italian law does not have a specific regulatory regime for the solicitation of proxies in private companies; thus our practice will vary from the requirement of Nasdaq Listing Rule 5620(b), which sets forth certain requirements regarding the solicitation of proxies.</w:t>
      </w:r>
    </w:p>
    <w:p>
      <w:pPr>
        <w:spacing w:after="0" w:line="130" w:lineRule="exact"/>
        <w:rPr>
          <w:rFonts w:ascii="Arial" w:cs="Arial" w:eastAsia="Arial" w:hAnsi="Arial"/>
          <w:sz w:val="17"/>
          <w:szCs w:val="17"/>
          <w:color w:val="auto"/>
        </w:rPr>
      </w:pPr>
    </w:p>
    <w:p>
      <w:pPr>
        <w:ind w:left="660" w:right="160" w:hanging="328"/>
        <w:spacing w:after="0" w:line="255"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Share Issuances</w:t>
      </w:r>
      <w:r>
        <w:rPr>
          <w:rFonts w:ascii="Arial" w:cs="Arial" w:eastAsia="Arial" w:hAnsi="Arial"/>
          <w:sz w:val="18"/>
          <w:szCs w:val="18"/>
          <w:color w:val="auto"/>
        </w:rPr>
        <w:t>. Pursuant to Italian law, prior to this offering, we will opt out of shareholder approval requirements by way of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and conditional share capital (see “Description of Share Capital and Governing Documents—General —Authorization of shares”) for the issuance of securities in connection with certain events such as the acquisition of stock or assets of another company, the establishment of or amendments to equity-based compensation plans for employees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51"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US companies listed on Nasdaq are required to have an audit committee that satisfies the requirements of Rule 10A-3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and certain additional requirements set by the Nasdaq. In particular, all members of this committee must be independent and the committee must adopt a written charter. The committee’s prescribed responsibilities include (i) the appointment, compensation, retention and oversight of the external auditors; (ii) establishing procedures for handling “whistle blower” complaints regarding accounting, internal accounting controls, or auditing matters; (iii) engaging independent counsel and other advisers, as it determines necessary to carry out its duties and (iv) determine appropriate funding for payments to the external auditor, advisors employed by the audit committee and other necessary administrative expenses of the audit committee. A company must also have an internal audit function, which may be outsourced, except to the independent auditor. We follow the “traditional” model of corporate governance for Italian companies and accordingly have established (and following the Corporate Conversion, will continue to have) a board of statutory auditors established in accordance with Italian law which performs substantially the same functions, (see “Description of Share Capital and Governing Documents” – Statutory auditors”) and is accordingly exempt from the audit committee requirements established by Rule 10A-3 and Nasdaq rules. The Company’s reliance on such exemption is based on the circumstance that the Company’s board of statutory auditors meets the following requirements set forth in Exchange Act Rule 10A-3(c)(3):</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8" w:name="page149"/>
    <w:bookmarkEnd w:id="148"/>
    <w:p>
      <w:pPr>
        <w:ind w:left="1300" w:hanging="320"/>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board of statutory auditors is established and selected pursuant to Italian law expressly permitting such a board;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board of statutory auditors is required under Italian law to be separate from the Company’s board of directors;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board of statutory auditors is not elected by management of the Company and no executive officer of the Company is a member of the board of statutory auditors;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Italian law provides for standards for the independence of the board of statutory auditors from the Company and its management;</w:t>
      </w:r>
    </w:p>
    <w:p>
      <w:pPr>
        <w:spacing w:after="0" w:line="236" w:lineRule="exact"/>
        <w:rPr>
          <w:rFonts w:ascii="Arial" w:cs="Arial" w:eastAsia="Arial" w:hAnsi="Arial"/>
          <w:sz w:val="17"/>
          <w:szCs w:val="17"/>
          <w:color w:val="auto"/>
        </w:rPr>
      </w:pPr>
    </w:p>
    <w:p>
      <w:pPr>
        <w:ind w:left="1300" w:right="100" w:hanging="320"/>
        <w:spacing w:after="0" w:line="301" w:lineRule="auto"/>
        <w:tabs>
          <w:tab w:leader="none" w:pos="13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board of statutory auditors, in accordance with applicable Italian law and the Company’s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the Company.</w:t>
      </w:r>
    </w:p>
    <w:p>
      <w:pPr>
        <w:spacing w:after="0" w:line="184"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Our reliance on Rule 10A-3(c)(3) does not, in our opinion, materially adversely affect the ability of its board of statutory auditors to act independently and to satisfy the other requirements of Rule 10A-3.</w:t>
      </w:r>
    </w:p>
    <w:p>
      <w:pPr>
        <w:spacing w:after="0" w:line="197" w:lineRule="exact"/>
        <w:rPr>
          <w:sz w:val="20"/>
          <w:szCs w:val="20"/>
          <w:color w:val="auto"/>
        </w:rPr>
      </w:pPr>
    </w:p>
    <w:p>
      <w:pPr>
        <w:ind w:left="660" w:right="160" w:hanging="328"/>
        <w:spacing w:after="0" w:line="291"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Compensation, Nomination and Governance Committee</w:t>
      </w:r>
      <w:r>
        <w:rPr>
          <w:rFonts w:ascii="Arial" w:cs="Arial" w:eastAsia="Arial" w:hAnsi="Arial"/>
          <w:sz w:val="16"/>
          <w:szCs w:val="16"/>
          <w:color w:val="auto"/>
        </w:rPr>
        <w:t>. Italian law does not require the appointment of a Compensation, Nomination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Committee as required by the Nasdaq Listing Rules. As a matter of Italian law applicable to Italian stock corporations whose shares are not listed on a regulated market in the European Union and under our bylaws, the compensation of executive directors, including the CEO, is determined by the board of directors, after consultation with the board of statutory auditors, while the Company’s shareholders, according to Italian law and our bylaws, may determine a total amount for the compensation of the directors, including managing directors. Compensation of the Company’s executive officers is determined by board of directors or by the CEO, if duly empowered. Nevertheless, although not required under Italian law, the Company intend to establish a Compensation, Nomination and Governance Committee.</w:t>
      </w:r>
    </w:p>
    <w:p>
      <w:pPr>
        <w:spacing w:after="0" w:line="166" w:lineRule="exact"/>
        <w:rPr>
          <w:rFonts w:ascii="Arial" w:cs="Arial" w:eastAsia="Arial" w:hAnsi="Arial"/>
          <w:sz w:val="16"/>
          <w:szCs w:val="16"/>
          <w:color w:val="auto"/>
        </w:rPr>
      </w:pPr>
    </w:p>
    <w:p>
      <w:pPr>
        <w:ind w:left="660" w:right="80" w:hanging="328"/>
        <w:spacing w:after="0" w:line="259"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Code of Business</w:t>
      </w:r>
      <w:r>
        <w:rPr>
          <w:rFonts w:ascii="Arial" w:cs="Arial" w:eastAsia="Arial" w:hAnsi="Arial"/>
          <w:sz w:val="18"/>
          <w:szCs w:val="18"/>
          <w:color w:val="auto"/>
        </w:rPr>
        <w:t>. Conduct and Ethics. Pursuant to Italian law, prior to this offering, we will adopt an “Organization and Operational Model” 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Italian Legislative Decree of June 8, 2001, No. 231 (relating to administrative responsibility) that we expect will consist of: (i) a Code of Etichs; (ii) operating procedures and reporting systems applicable to all of our directors, officers and employees, which may not comply with the requirements of Nasdaq Listing Rule 5610.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currently follow the historical Italian corporate governance system, with a board of directors (</w:t>
      </w:r>
      <w:r>
        <w:rPr>
          <w:rFonts w:ascii="Arial" w:cs="Arial" w:eastAsia="Arial" w:hAnsi="Arial"/>
          <w:sz w:val="18"/>
          <w:szCs w:val="18"/>
          <w:i w:val="1"/>
          <w:iCs w:val="1"/>
          <w:color w:val="auto"/>
        </w:rPr>
        <w:t>consiglio di amministrazione</w:t>
      </w:r>
      <w:r>
        <w:rPr>
          <w:rFonts w:ascii="Arial" w:cs="Arial" w:eastAsia="Arial" w:hAnsi="Arial"/>
          <w:sz w:val="18"/>
          <w:szCs w:val="18"/>
          <w:color w:val="auto"/>
        </w:rPr>
        <w:t>) and a separate board of statutory auditors (</w:t>
      </w:r>
      <w:r>
        <w:rPr>
          <w:rFonts w:ascii="Arial" w:cs="Arial" w:eastAsia="Arial" w:hAnsi="Arial"/>
          <w:sz w:val="18"/>
          <w:szCs w:val="18"/>
          <w:i w:val="1"/>
          <w:iCs w:val="1"/>
          <w:color w:val="auto"/>
        </w:rPr>
        <w:t>collegio sindacale</w:t>
      </w:r>
      <w:r>
        <w:rPr>
          <w:rFonts w:ascii="Arial" w:cs="Arial" w:eastAsia="Arial" w:hAnsi="Arial"/>
          <w:sz w:val="18"/>
          <w:szCs w:val="18"/>
          <w:color w:val="auto"/>
        </w:rPr>
        <w:t>) with supervisory functions. The two boards are separate and no individual may be a member of both corporate bodies. Both the members of the board of directors and the members of the board of statutory auditors owe duties of loyalty and care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ectPr>
          <w:pgSz w:w="11900" w:h="16838" w:orient="portrait"/>
          <w:cols w:equalWidth="0" w:num="1">
            <w:col w:w="11240"/>
          </w:cols>
          <w:pgMar w:left="320" w:top="715" w:right="339" w:bottom="1440" w:gutter="0" w:footer="0" w:header="0"/>
        </w:sectPr>
      </w:pP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2020, the Company’s statutory auditors received approximately €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in compensation in the aggregate for their services to the</w:t>
      </w:r>
    </w:p>
    <w:p>
      <w:pPr>
        <w:spacing w:after="0" w:line="490" w:lineRule="exact"/>
        <w:rPr>
          <w:sz w:val="20"/>
          <w:szCs w:val="20"/>
          <w:color w:val="auto"/>
        </w:rPr>
      </w:pPr>
    </w:p>
    <w:p>
      <w:pPr>
        <w:sectPr>
          <w:pgSz w:w="11900" w:h="16838" w:orient="portrait"/>
          <w:cols w:equalWidth="0" w:num="2">
            <w:col w:w="5920" w:space="540"/>
            <w:col w:w="4780"/>
          </w:cols>
          <w:pgMar w:left="320" w:top="715" w:right="339" w:bottom="1440" w:gutter="0" w:footer="0" w:header="0"/>
          <w:type w:val="continuous"/>
        </w:sectPr>
      </w:pPr>
    </w:p>
    <w:p>
      <w:pPr>
        <w:ind w:left="660"/>
        <w:spacing w:after="0"/>
        <w:tabs>
          <w:tab w:leader="none" w:pos="5880" w:val="left"/>
        </w:tabs>
        <w:rPr>
          <w:sz w:val="20"/>
          <w:szCs w:val="20"/>
          <w:color w:val="auto"/>
        </w:rPr>
      </w:pPr>
      <w:r>
        <w:rPr>
          <w:rFonts w:ascii="Arial" w:cs="Arial" w:eastAsia="Arial" w:hAnsi="Arial"/>
          <w:sz w:val="18"/>
          <w:szCs w:val="18"/>
          <w:color w:val="auto"/>
        </w:rPr>
        <w:t>At the Company’s annual general shareholders’ meeting held on</w:t>
      </w:r>
      <w:r>
        <w:rPr>
          <w:sz w:val="20"/>
          <w:szCs w:val="20"/>
          <w:color w:val="auto"/>
        </w:rPr>
        <w:tab/>
      </w:r>
      <w:r>
        <w:rPr>
          <w:rFonts w:ascii="Arial" w:cs="Arial" w:eastAsia="Arial" w:hAnsi="Arial"/>
          <w:sz w:val="16"/>
          <w:szCs w:val="16"/>
          <w:color w:val="auto"/>
        </w:rPr>
        <w:t>, 2021, the following individuals were elected to the Company’s board of</w:t>
      </w:r>
    </w:p>
    <w:p>
      <w:pPr>
        <w:sectPr>
          <w:pgSz w:w="11900" w:h="16838" w:orient="portrait"/>
          <w:cols w:equalWidth="0" w:num="1">
            <w:col w:w="11240"/>
          </w:cols>
          <w:pgMar w:left="320" w:top="715" w:right="339" w:bottom="1440" w:gutter="0" w:footer="0" w:header="0"/>
          <w:type w:val="continuous"/>
        </w:sectPr>
      </w:pPr>
    </w:p>
    <w:p>
      <w:pPr>
        <w:spacing w:after="0" w:line="23" w:lineRule="exact"/>
        <w:rPr>
          <w:sz w:val="20"/>
          <w:szCs w:val="20"/>
          <w:color w:val="auto"/>
        </w:rPr>
      </w:pPr>
    </w:p>
    <w:p>
      <w:pPr>
        <w:jc w:val="both"/>
        <w:ind w:right="440"/>
        <w:spacing w:after="0" w:line="323" w:lineRule="auto"/>
        <w:rPr>
          <w:sz w:val="20"/>
          <w:szCs w:val="20"/>
          <w:color w:val="auto"/>
        </w:rPr>
      </w:pPr>
      <w:r>
        <w:rPr>
          <w:rFonts w:ascii="Arial" w:cs="Arial" w:eastAsia="Arial" w:hAnsi="Arial"/>
          <w:sz w:val="16"/>
          <w:szCs w:val="16"/>
          <w:color w:val="auto"/>
        </w:rPr>
        <w:t>statutory auditors for a three-year term. The board consists of three members, one of which is the chairman, and two alternates. The board of statutory auditors’ term will therefore expire with the Shareholders’ Meeting called to approve the financial statements for the year ending December 31,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20" w:type="dxa"/>
            <w:vAlign w:val="bottom"/>
            <w:gridSpan w:val="2"/>
          </w:tcPr>
          <w:p>
            <w:pPr>
              <w:ind w:left="108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820" w:type="dxa"/>
            <w:vAlign w:val="bottom"/>
            <w:gridSpan w:val="2"/>
          </w:tcPr>
          <w:p>
            <w:pPr>
              <w:ind w:left="204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ind w:left="620"/>
              <w:spacing w:after="0"/>
              <w:rPr>
                <w:sz w:val="20"/>
                <w:szCs w:val="20"/>
                <w:color w:val="auto"/>
              </w:rPr>
            </w:pPr>
            <w:r>
              <w:rPr>
                <w:rFonts w:ascii="Arial" w:cs="Arial" w:eastAsia="Arial" w:hAnsi="Arial"/>
                <w:sz w:val="14"/>
                <w:szCs w:val="14"/>
                <w:b w:val="1"/>
                <w:bCs w:val="1"/>
                <w:color w:val="auto"/>
              </w:rPr>
              <w:t>Year elected or appointed</w:t>
            </w:r>
          </w:p>
        </w:tc>
      </w:tr>
      <w:tr>
        <w:trPr>
          <w:trHeight w:val="202"/>
        </w:trPr>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Carlo-Alberto Nicchio</w:t>
            </w:r>
          </w:p>
        </w:tc>
        <w:tc>
          <w:tcPr>
            <w:tcW w:w="220" w:type="dxa"/>
            <w:vAlign w:val="bottom"/>
          </w:tcPr>
          <w:p>
            <w:pPr>
              <w:spacing w:after="0"/>
              <w:rPr>
                <w:sz w:val="17"/>
                <w:szCs w:val="17"/>
                <w:color w:val="auto"/>
              </w:rPr>
            </w:pPr>
          </w:p>
        </w:tc>
        <w:tc>
          <w:tcPr>
            <w:tcW w:w="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Statutory Auditors</w:t>
            </w:r>
          </w:p>
        </w:tc>
        <w:tc>
          <w:tcPr>
            <w:tcW w:w="220" w:type="dxa"/>
            <w:vAlign w:val="bottom"/>
          </w:tcPr>
          <w:p>
            <w:pPr>
              <w:spacing w:after="0"/>
              <w:rPr>
                <w:sz w:val="17"/>
                <w:szCs w:val="17"/>
                <w:color w:val="auto"/>
              </w:rPr>
            </w:pPr>
          </w:p>
        </w:tc>
        <w:tc>
          <w:tcPr>
            <w:tcW w:w="2800" w:type="dxa"/>
            <w:vAlign w:val="bottom"/>
            <w:tcBorders>
              <w:top w:val="single" w:sz="8" w:color="auto"/>
            </w:tcBorders>
          </w:tcPr>
          <w:p>
            <w:pPr>
              <w:spacing w:after="0"/>
              <w:rPr>
                <w:sz w:val="17"/>
                <w:szCs w:val="17"/>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Cesare Lazzaroni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Jacopo Doveri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Roberto Lorusso Caputi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spacing w:after="0"/>
              <w:rPr>
                <w:sz w:val="18"/>
                <w:szCs w:val="18"/>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Edda Specchio</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83</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spacing w:after="0"/>
              <w:rPr>
                <w:sz w:val="20"/>
                <w:szCs w:val="20"/>
                <w:color w:val="auto"/>
              </w:rPr>
            </w:pPr>
          </w:p>
        </w:tc>
      </w:tr>
    </w:tbl>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Following the expiration of the above board of statutory auditors, future members will be appointed by means of a list voting system: lists may be presented by the shareholders representing at least 6% of share capital represented by ordinary shares. The list of candidates shall be split into two sections, one for the candidates for the position of statutory auditor and one for the candidates for the position of alternate auditor. According to the Company’s bylaws, the board of statutory auditors will be appointed as follows: two statutory auditors and one alternate auditor will be drawn from the list that has obtained the highest number of votes on the shareholders meeting (the Majority List), based on the progressive order in which they are listed, while one statutory auditor and one alternate auditor will be drawn from the second list, in terms of the number of votes received, that have no connection, whether direct or indirect, with the shareholders who have submitted or voted the Majority List (the Minority Lists). The statutory auditor drawn by the Minority Lists will be the chairman of the board of statutory auditors.</w:t>
      </w:r>
    </w:p>
    <w:p>
      <w:pPr>
        <w:spacing w:after="0" w:line="20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Each shareholder and shareholders belonging to the same group shall not present, or contribute to present, or vote for more than one list, including through an intermediary or trust company. Each candidate may only appear on one list or, otherwise, will be ineligible for election.</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no list is presented the shareholders shall make the necessary appointments during the shareholders meeting convened for the appointment of new members of the board of statutory auditors, by resolution passed by simple majority, upon proposal of those attending and entitled to vote, making sure that the requirements set out in the laws pro tempore in force and in the bylaws on the composition of the board of statutory auditors and, especially, on gender balance, are complied with.</w:t>
      </w:r>
    </w:p>
    <w:p>
      <w:pPr>
        <w:spacing w:after="0" w:line="214"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 xml:space="preserve">The Company relies on an exemption from the Rule 10A-3 requirements provided by Rule 10A-3(c)(3) of the Exchange Act for foreign private issuers with a board of statutory auditors established in accordance with local law or listing requirements and subject to independence requirements under local law or listing requirements. See “— </w:t>
      </w:r>
      <w:r>
        <w:rPr>
          <w:rFonts w:ascii="Arial" w:cs="Arial" w:eastAsia="Arial" w:hAnsi="Arial"/>
          <w:sz w:val="17"/>
          <w:szCs w:val="17"/>
          <w:i w:val="1"/>
          <w:iCs w:val="1"/>
          <w:color w:val="auto"/>
        </w:rPr>
        <w:t>Differences between Italian Laws and Nasdaq Requirements</w:t>
      </w:r>
      <w:r>
        <w:rPr>
          <w:rFonts w:ascii="Arial" w:cs="Arial" w:eastAsia="Arial" w:hAnsi="Arial"/>
          <w:sz w:val="17"/>
          <w:szCs w:val="17"/>
          <w:color w:val="auto"/>
        </w:rPr>
        <w:t>” for more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Additional Board Committees</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Although Italian law does not require that we adopt a Compensation, Nomination and Governance Committee, in connection with the Corporate Conversion, we plan to establish a Compensation, Nomination and Governance Committee according to Nasdaq Listing Rule 5615(a)(3). The members of our compensation, nomination and governance committee are expected to include Stephen Squinto, Roger Abravanel and Guido Guidi. The compensation, nomination and governance committee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 2025 Equity Incentive Plan</w:t>
      </w:r>
    </w:p>
    <w:p>
      <w:pPr>
        <w:spacing w:after="0" w:line="252" w:lineRule="exact"/>
        <w:rPr>
          <w:sz w:val="20"/>
          <w:szCs w:val="20"/>
          <w:color w:val="auto"/>
        </w:rPr>
      </w:pPr>
    </w:p>
    <w:p>
      <w:pPr>
        <w:ind w:left="600" w:right="400" w:firstLine="63"/>
        <w:spacing w:after="0" w:line="274" w:lineRule="auto"/>
        <w:rPr>
          <w:sz w:val="20"/>
          <w:szCs w:val="20"/>
          <w:color w:val="auto"/>
        </w:rPr>
      </w:pPr>
      <w:r>
        <w:rPr>
          <w:rFonts w:ascii="Arial" w:cs="Arial" w:eastAsia="Arial" w:hAnsi="Arial"/>
          <w:sz w:val="17"/>
          <w:szCs w:val="17"/>
          <w:color w:val="auto"/>
        </w:rPr>
        <w:t>On 2021, our shareholders meeting approved a capital increase to allow for issuance of up to ordinary shares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of the share capital of the Company upon this offering on a fully diluted basis) to the service of a four-years employees’ share option plan (the</w:t>
      </w:r>
    </w:p>
    <w:p>
      <w:pPr>
        <w:ind w:right="220"/>
        <w:spacing w:after="0" w:line="260" w:lineRule="auto"/>
        <w:rPr>
          <w:sz w:val="20"/>
          <w:szCs w:val="20"/>
          <w:color w:val="auto"/>
        </w:rPr>
      </w:pPr>
      <w:r>
        <w:rPr>
          <w:rFonts w:ascii="Arial" w:cs="Arial" w:eastAsia="Arial" w:hAnsi="Arial"/>
          <w:sz w:val="18"/>
          <w:szCs w:val="18"/>
          <w:color w:val="auto"/>
        </w:rPr>
        <w:t>“2021-2025 Plan”) to be adopted by the board of directors. The purpose of the 2021-2025 Plan is to motivate and reward performance of our employees, directors, consultants, strategic partners and advisors and in the best interests of the Company and our shareholders.</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2021 our board of directors approved the specific terms (e.g., regulation) of our 2021 – 2025 Plan which will become effective upon the effectiveness of the registration statement of which this prospectus is part. Under Italian law, we do not need to obtain the approval of the specific terms of our equity incentive plans by our shareholders. Except where the context indicates otherwise, reference hereunder to our ordinary shares shall be deemed to include a number of ADSs equal to the number of ordinary shares.</w:t>
      </w:r>
    </w:p>
    <w:p>
      <w:pPr>
        <w:spacing w:after="0" w:line="214"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Our 2021 – 2025 Plan is administered by our board of directors jointly with Compensation, Nomination and Governance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The board of directors has the authority to take all actions and make all determinations under the 2021 – 2025 Plan, to interpret the 2021 – 2025 Plan and award agreements and to adopt, amend and repeal rules for the administration of the 2021 – 2025 Plan as it deems advisable, subject to certain limitations imposed under the 2021 – 2025 Plan, and other applicable laws and stock exchange rules.</w:t>
      </w:r>
    </w:p>
    <w:p>
      <w:pPr>
        <w:spacing w:after="0" w:line="19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Eligible Participants</w:t>
      </w:r>
      <w:r>
        <w:rPr>
          <w:rFonts w:ascii="Arial" w:cs="Arial" w:eastAsia="Arial" w:hAnsi="Arial"/>
          <w:sz w:val="18"/>
          <w:szCs w:val="18"/>
          <w:color w:val="auto"/>
        </w:rPr>
        <w:t>. The board of directors jointly with Compensation, Nomination and Governance Committee will be able to offer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at its discretion under the 2021 – 2025 Plan to:</w:t>
      </w:r>
    </w:p>
    <w:p>
      <w:pPr>
        <w:spacing w:after="0" w:line="197"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employees of us or any of our subsidiaries;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non-employee directors serving on our board of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consultants or other advisors to us or any of our subsidiaries;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strategic partners (the “Eligible Participants”).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Grant of Awards; Shares Available for Awards. </w:t>
      </w:r>
      <w:r>
        <w:rPr>
          <w:rFonts w:ascii="Arial" w:cs="Arial" w:eastAsia="Arial" w:hAnsi="Arial"/>
          <w:sz w:val="17"/>
          <w:szCs w:val="17"/>
          <w:color w:val="auto"/>
        </w:rPr>
        <w:t>The 2021 – 2025 Plan provides for the grant of options to purchase up to a maximum of</w:t>
      </w:r>
    </w:p>
    <w:p>
      <w:pPr>
        <w:spacing w:after="0" w:line="35" w:lineRule="exact"/>
        <w:rPr>
          <w:sz w:val="20"/>
          <w:szCs w:val="20"/>
          <w:color w:val="auto"/>
        </w:rPr>
      </w:pPr>
    </w:p>
    <w:p>
      <w:pPr>
        <w:ind w:right="20" w:firstLine="1170"/>
        <w:spacing w:after="0" w:line="302" w:lineRule="auto"/>
        <w:rPr>
          <w:sz w:val="20"/>
          <w:szCs w:val="20"/>
          <w:color w:val="auto"/>
        </w:rPr>
      </w:pPr>
      <w:r>
        <w:rPr>
          <w:rFonts w:ascii="Arial" w:cs="Arial" w:eastAsia="Arial" w:hAnsi="Arial"/>
          <w:sz w:val="16"/>
          <w:szCs w:val="16"/>
          <w:color w:val="auto"/>
        </w:rPr>
        <w:t>ordinary shares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of the share capital of the Company upon this offering on a fully diluted basis) in the future upon written exercise notice. This number is subject to adjustment in the event of a split-up, share dividend or other change in our capitalization. If any award expires, is cancelled, or is terminated, unexercised or is forfeited, the number of shares subject thereto is again available for grant under the 2021 – 2025 Plan.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51" w:name="page152"/>
    <w:bookmarkEnd w:id="151"/>
    <w:p>
      <w:pPr>
        <w:ind w:right="520" w:firstLine="648"/>
        <w:spacing w:after="0" w:line="277" w:lineRule="auto"/>
        <w:rPr>
          <w:sz w:val="20"/>
          <w:szCs w:val="20"/>
          <w:color w:val="auto"/>
        </w:rPr>
      </w:pPr>
      <w:r>
        <w:rPr>
          <w:rFonts w:ascii="Arial" w:cs="Arial" w:eastAsia="Arial" w:hAnsi="Arial"/>
          <w:sz w:val="18"/>
          <w:szCs w:val="18"/>
          <w:color w:val="auto"/>
        </w:rPr>
        <w:t>The number of stock options to be granted to executives and directors cannot be determined at this time as the grant of stock options and/or restricted shares is dependent upon various factors such as hiring requirements and job performance.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Terms of exercise – Stock Options</w:t>
      </w:r>
      <w:r>
        <w:rPr>
          <w:rFonts w:ascii="Arial" w:cs="Arial" w:eastAsia="Arial" w:hAnsi="Arial"/>
          <w:sz w:val="16"/>
          <w:szCs w:val="16"/>
          <w:color w:val="auto"/>
        </w:rPr>
        <w:t>. Options may be granted on such terms and conditions as the board of directors may determine; provided,</w:t>
      </w:r>
    </w:p>
    <w:p>
      <w:pPr>
        <w:spacing w:after="0" w:line="46" w:lineRule="exact"/>
        <w:rPr>
          <w:sz w:val="20"/>
          <w:szCs w:val="20"/>
          <w:color w:val="auto"/>
        </w:rPr>
      </w:pPr>
    </w:p>
    <w:p>
      <w:pPr>
        <w:spacing w:after="0"/>
        <w:tabs>
          <w:tab w:leader="none" w:pos="5320" w:val="left"/>
          <w:tab w:leader="none" w:pos="9000" w:val="left"/>
        </w:tabs>
        <w:rPr>
          <w:sz w:val="20"/>
          <w:szCs w:val="20"/>
          <w:color w:val="auto"/>
        </w:rPr>
      </w:pPr>
      <w:r>
        <w:rPr>
          <w:rFonts w:ascii="Arial" w:cs="Arial" w:eastAsia="Arial" w:hAnsi="Arial"/>
          <w:sz w:val="18"/>
          <w:szCs w:val="18"/>
          <w:color w:val="auto"/>
        </w:rPr>
        <w:t>however, that the exercise price of an option may not be less than</w:t>
      </w:r>
      <w:r>
        <w:rPr>
          <w:sz w:val="20"/>
          <w:szCs w:val="20"/>
          <w:color w:val="auto"/>
        </w:rPr>
        <w:tab/>
      </w:r>
      <w:r>
        <w:rPr>
          <w:rFonts w:ascii="Arial" w:cs="Arial" w:eastAsia="Arial" w:hAnsi="Arial"/>
          <w:sz w:val="18"/>
          <w:szCs w:val="18"/>
          <w:color w:val="auto"/>
        </w:rPr>
        <w:t>and the term of the option my not exceed</w:t>
      </w:r>
      <w:r>
        <w:rPr>
          <w:sz w:val="20"/>
          <w:szCs w:val="20"/>
          <w:color w:val="auto"/>
        </w:rPr>
        <w:tab/>
      </w:r>
      <w:r>
        <w:rPr>
          <w:rFonts w:ascii="Arial" w:cs="Arial" w:eastAsia="Arial" w:hAnsi="Arial"/>
          <w:sz w:val="15"/>
          <w:szCs w:val="15"/>
          <w:color w:val="auto"/>
        </w:rPr>
        <w:t>years.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Vesting</w:t>
      </w:r>
      <w:r>
        <w:rPr>
          <w:rFonts w:ascii="Arial" w:cs="Arial" w:eastAsia="Arial" w:hAnsi="Arial"/>
          <w:sz w:val="17"/>
          <w:szCs w:val="17"/>
          <w:color w:val="auto"/>
        </w:rPr>
        <w:t>. The vesting conditions for stock options granted under the 2021 – 2025 Plan are set forth in the applicable award documentation.</w:t>
      </w:r>
    </w:p>
    <w:p>
      <w:pPr>
        <w:spacing w:after="0" w:line="26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Termination of Service and Change in Control</w:t>
      </w:r>
      <w:r>
        <w:rPr>
          <w:rFonts w:ascii="Arial" w:cs="Arial" w:eastAsia="Arial" w:hAnsi="Arial"/>
          <w:sz w:val="16"/>
          <w:szCs w:val="16"/>
          <w:color w:val="auto"/>
        </w:rPr>
        <w:t>. In the event of an Eligible Participant’s termination of employment, the board of directors may, at</w:t>
      </w:r>
      <w:r>
        <w:rPr>
          <w:rFonts w:ascii="Arial" w:cs="Arial" w:eastAsia="Arial" w:hAnsi="Arial"/>
          <w:sz w:val="16"/>
          <w:szCs w:val="16"/>
          <w:i w:val="1"/>
          <w:iCs w:val="1"/>
          <w:color w:val="auto"/>
        </w:rPr>
        <w:t xml:space="preserve"> </w:t>
      </w:r>
      <w:r>
        <w:rPr>
          <w:rFonts w:ascii="Arial" w:cs="Arial" w:eastAsia="Arial" w:hAnsi="Arial"/>
          <w:sz w:val="16"/>
          <w:szCs w:val="16"/>
          <w:color w:val="auto"/>
        </w:rPr>
        <w:t>its discretion, determine the extent to which options may be exercised, settled, vested, paid or forfeited. In the event of our termination of a participant’s employment without cause or a participant’s resignation for just cause (as defined in the 2021 – 2025 Plan) following a change in control of the company (as defined in the 2021 – 2025 Plan), any awards outstanding to the participant (unless otherwise provided in the award agreement) will immediately vest and settle, and options will become fully exercisable. In the event of a change in control that involves a merger, acquisition or other corporate transaction, any outstanding award not assumed, substituted, replaced or continued in connection with the transaction will immediately vest and settle, and options will become fully exercisable and upon the effectiveness of such corporate transaction, the 2021 – 2025 Plan and all awards will automatically terminate.</w:t>
      </w:r>
    </w:p>
    <w:p>
      <w:pPr>
        <w:spacing w:after="0" w:line="193"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board of directors may adopt, amend and rescind rules relating to the administration of the 2021 – 2025 Plan,</w:t>
      </w:r>
      <w:r>
        <w:rPr>
          <w:rFonts w:ascii="Arial" w:cs="Arial" w:eastAsia="Arial" w:hAnsi="Arial"/>
          <w:sz w:val="16"/>
          <w:szCs w:val="16"/>
          <w:i w:val="1"/>
          <w:iCs w:val="1"/>
          <w:color w:val="auto"/>
        </w:rPr>
        <w:t xml:space="preserve"> </w:t>
      </w:r>
      <w:r>
        <w:rPr>
          <w:rFonts w:ascii="Arial" w:cs="Arial" w:eastAsia="Arial" w:hAnsi="Arial"/>
          <w:sz w:val="16"/>
          <w:szCs w:val="16"/>
          <w:color w:val="auto"/>
        </w:rPr>
        <w:t>and amend, suspend or terminate the 2021 – 2025 Plan, but no amendment will be made that adversely affects in a material manner any rights of the holder of any award without the holder’s consent, other than amendments that are necessary to permit the granting of awards in compliance with applicable laws.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2021- 2025 Chairman Sub-Plan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2021 – 2025 Chairman Sub-Plan allows for the grant of options to our chairman of the board of directors, Mr. Squinto. Except for the</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following , all provisions of the 2021 – 2025 Plan are incorporated into the 2021 – 2025 Chairman Sub-Plan and provides for identical terms and conditions under our 2021 – 2025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Vesting of Existing Options Represented by Class B Quotas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table summarizes, as of the date of this prospectus, existing outstanding options subject to accelerated vesting upon the occurrence of a liquidity event. Upon the consummation of this offering, several of our executive officers and board members will fully vest their remaining options. All of the options described below are currently represented by class B quotas and will be converted into our Ordinary Shares as part of the Corporation Conversion.</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Class B quotas</w:t>
            </w: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Underlying Options</w:t>
            </w: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600" w:type="dxa"/>
            <w:vAlign w:val="bottom"/>
            <w:gridSpan w:val="2"/>
            <w:vMerge w:val="continue"/>
          </w:tcPr>
          <w:p>
            <w:pPr>
              <w:spacing w:after="0"/>
              <w:rPr>
                <w:sz w:val="15"/>
                <w:szCs w:val="15"/>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Awarded</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(€/Share)</w:t>
            </w:r>
          </w:p>
        </w:tc>
        <w:tc>
          <w:tcPr>
            <w:tcW w:w="0" w:type="dxa"/>
            <w:vAlign w:val="bottom"/>
          </w:tcPr>
          <w:p>
            <w:pPr>
              <w:spacing w:after="0"/>
              <w:rPr>
                <w:sz w:val="1"/>
                <w:szCs w:val="1"/>
                <w:color w:val="auto"/>
              </w:rPr>
            </w:pPr>
          </w:p>
        </w:tc>
      </w:tr>
      <w:tr>
        <w:trPr>
          <w:trHeight w:val="257"/>
        </w:trPr>
        <w:tc>
          <w:tcPr>
            <w:tcW w:w="5400" w:type="dxa"/>
            <w:vAlign w:val="bottom"/>
            <w:tcBorders>
              <w:top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Roger Abravanel</w:t>
            </w:r>
            <w:r>
              <w:rPr>
                <w:rFonts w:ascii="Arial" w:cs="Arial" w:eastAsia="Arial" w:hAnsi="Arial"/>
                <w:sz w:val="29"/>
                <w:szCs w:val="29"/>
                <w:color w:val="auto"/>
                <w:vertAlign w:val="superscript"/>
              </w:rPr>
              <w:t>(1)</w:t>
            </w:r>
          </w:p>
        </w:tc>
        <w:tc>
          <w:tcPr>
            <w:tcW w:w="20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line="256" w:lineRule="exact"/>
              <w:rPr>
                <w:sz w:val="20"/>
                <w:szCs w:val="20"/>
                <w:color w:val="auto"/>
              </w:rPr>
            </w:pPr>
            <w:r>
              <w:rPr>
                <w:rFonts w:ascii="Arial" w:cs="Arial" w:eastAsia="Arial" w:hAnsi="Arial"/>
                <w:sz w:val="18"/>
                <w:szCs w:val="18"/>
                <w:color w:val="auto"/>
              </w:rPr>
              <w:t>Guido Guidi</w:t>
            </w:r>
            <w:r>
              <w:rPr>
                <w:rFonts w:ascii="Arial" w:cs="Arial" w:eastAsia="Arial" w:hAnsi="Arial"/>
                <w:sz w:val="29"/>
                <w:szCs w:val="29"/>
                <w:color w:val="auto"/>
                <w:vertAlign w:val="superscript"/>
              </w:rPr>
              <w:t>(1)</w:t>
            </w:r>
          </w:p>
        </w:tc>
        <w:tc>
          <w:tcPr>
            <w:tcW w:w="152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Luca Guidotti</w:t>
            </w:r>
            <w:r>
              <w:rPr>
                <w:rFonts w:ascii="Arial" w:cs="Arial" w:eastAsia="Arial" w:hAnsi="Arial"/>
                <w:sz w:val="29"/>
                <w:szCs w:val="29"/>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Carlo Russo</w:t>
            </w:r>
          </w:p>
        </w:tc>
        <w:tc>
          <w:tcPr>
            <w:tcW w:w="152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6459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40"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2"/>
          <w:szCs w:val="12"/>
          <w:color w:val="auto"/>
        </w:rPr>
      </w:pPr>
      <w:r>
        <w:rPr>
          <w:rFonts w:ascii="Arial" w:cs="Arial" w:eastAsia="Arial" w:hAnsi="Arial"/>
          <w:sz w:val="14"/>
          <w:szCs w:val="14"/>
          <w:color w:val="auto"/>
        </w:rPr>
        <w:t>Includes 41 class B quotas such holder will be entitled to upon the consummation of the offering.</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BENEFICIAL OWNERSHIP OF PRINCIPAL SHAREHOLDERS AND MANAGEMENT</w:t>
      </w:r>
    </w:p>
    <w:p>
      <w:pPr>
        <w:sectPr>
          <w:pgSz w:w="11900" w:h="16838" w:orient="portrait"/>
          <w:cols w:equalWidth="0" w:num="1">
            <w:col w:w="11240"/>
          </w:cols>
          <w:pgMar w:left="320" w:top="715" w:right="339" w:bottom="1440" w:gutter="0" w:footer="0" w:header="0"/>
        </w:sectPr>
      </w:pP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sets forth information regarding beneficial ownership of our ordinary shares as of effect to the Corporate Conversion 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2021 after giving pro forma</w:t>
      </w:r>
    </w:p>
    <w:p>
      <w:pPr>
        <w:spacing w:after="0" w:line="490" w:lineRule="exact"/>
        <w:rPr>
          <w:sz w:val="20"/>
          <w:szCs w:val="20"/>
          <w:color w:val="auto"/>
        </w:rPr>
      </w:pPr>
    </w:p>
    <w:p>
      <w:pPr>
        <w:sectPr>
          <w:pgSz w:w="11900" w:h="16838" w:orient="portrait"/>
          <w:cols w:equalWidth="0" w:num="2">
            <w:col w:w="8020" w:space="720"/>
            <w:col w:w="2500"/>
          </w:cols>
          <w:pgMar w:left="320" w:top="715" w:right="339" w:bottom="1440" w:gutter="0" w:footer="0" w:header="0"/>
          <w:type w:val="continuous"/>
        </w:sectPr>
      </w:pPr>
    </w:p>
    <w:p>
      <w:pPr>
        <w:ind w:left="660" w:hanging="328"/>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each person, or group of affiliated persons, known to us to be the beneficial owner of more than 5% of our outstanding ordinary shares;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Beneficial ownership is determined in accordance with the rules of the SEC, and includes voting or investment power with respect to ordinary</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shares. Percentage of shares beneficially owned before this offering is based on shares outstanding on , 2021. The number of ordinary shares deemed outstanding after this offering includes the ordinary shares being offered for sale in this offering but assumes no exercise by the representative of the underwriters of the over-allotment option.</w:t>
      </w:r>
    </w:p>
    <w:p>
      <w:pPr>
        <w:spacing w:after="0" w:line="217"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Genenta Science S.r.l., Via Olgettina no. 58, 20132 Milan, Italy.</w:t>
      </w:r>
    </w:p>
    <w:p>
      <w:pPr>
        <w:spacing w:after="0" w:line="171" w:lineRule="exact"/>
        <w:rPr>
          <w:sz w:val="20"/>
          <w:szCs w:val="20"/>
          <w:color w:val="auto"/>
        </w:rPr>
      </w:pPr>
    </w:p>
    <w:tbl>
      <w:tblPr>
        <w:tblLayout w:type="fixed"/>
        <w:tblInd w:w="5940" w:type="dxa"/>
        <w:tblCellMar>
          <w:top w:w="0" w:type="dxa"/>
          <w:left w:w="0" w:type="dxa"/>
          <w:bottom w:w="0" w:type="dxa"/>
          <w:right w:w="0" w:type="dxa"/>
        </w:tblCellMar>
      </w:tblPr>
      <w:tr>
        <w:trPr>
          <w:trHeight w:val="161"/>
        </w:trPr>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No. of Shares</w:t>
            </w:r>
          </w:p>
        </w:tc>
        <w:tc>
          <w:tcPr>
            <w:tcW w:w="1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17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80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Owned</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Owned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Prior to this</w:t>
            </w: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Before this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After this</w:t>
            </w:r>
          </w:p>
        </w:tc>
        <w:tc>
          <w:tcPr>
            <w:tcW w:w="0" w:type="dxa"/>
            <w:vAlign w:val="bottom"/>
          </w:tcPr>
          <w:p>
            <w:pPr>
              <w:spacing w:after="0"/>
              <w:rPr>
                <w:sz w:val="1"/>
                <w:szCs w:val="1"/>
                <w:color w:val="auto"/>
              </w:rPr>
            </w:pPr>
          </w:p>
        </w:tc>
      </w:tr>
      <w:tr>
        <w:trPr>
          <w:trHeight w:val="183"/>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200" w:type="dxa"/>
            <w:vAlign w:val="bottom"/>
          </w:tcPr>
          <w:p>
            <w:pPr>
              <w:spacing w:after="0"/>
              <w:rPr>
                <w:sz w:val="15"/>
                <w:szCs w:val="15"/>
                <w:color w:val="auto"/>
              </w:rPr>
            </w:pPr>
          </w:p>
        </w:tc>
        <w:tc>
          <w:tcPr>
            <w:tcW w:w="1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8"/>
              </w:rPr>
              <w:t>Offering</w:t>
            </w:r>
            <w:r>
              <w:rPr>
                <w:rFonts w:ascii="Arial" w:cs="Arial" w:eastAsia="Arial" w:hAnsi="Arial"/>
                <w:sz w:val="20"/>
                <w:szCs w:val="20"/>
                <w:b w:val="1"/>
                <w:bCs w:val="1"/>
                <w:color w:val="auto"/>
                <w:w w:val="98"/>
                <w:vertAlign w:val="superscript"/>
              </w:rPr>
              <w:t>(1)</w:t>
            </w:r>
          </w:p>
        </w:tc>
        <w:tc>
          <w:tcPr>
            <w:tcW w:w="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b w:val="1"/>
                <w:bCs w:val="1"/>
                <w:color w:val="auto"/>
              </w:rPr>
              <w:t>Directors and executive officers</w:t>
            </w:r>
          </w:p>
        </w:tc>
        <w:tc>
          <w:tcPr>
            <w:tcW w:w="26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Stephen Squinto</w:t>
            </w:r>
          </w:p>
        </w:tc>
        <w:tc>
          <w:tcPr>
            <w:tcW w:w="26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Pierluigi Paracchi</w:t>
            </w:r>
          </w:p>
        </w:tc>
        <w:tc>
          <w:tcPr>
            <w:tcW w:w="2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2,275,516</w:t>
            </w:r>
          </w:p>
        </w:tc>
        <w:tc>
          <w:tcPr>
            <w:tcW w:w="21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[15.17]%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Roger Abravanel</w:t>
            </w:r>
          </w:p>
        </w:tc>
        <w:tc>
          <w:tcPr>
            <w:tcW w:w="2660" w:type="dxa"/>
            <w:vAlign w:val="bottom"/>
          </w:tcPr>
          <w:p>
            <w:pPr>
              <w:jc w:val="right"/>
              <w:ind w:right="570"/>
              <w:spacing w:after="0"/>
              <w:rPr>
                <w:sz w:val="20"/>
                <w:szCs w:val="20"/>
                <w:color w:val="auto"/>
              </w:rPr>
            </w:pPr>
            <w:r>
              <w:rPr>
                <w:rFonts w:ascii="Arial" w:cs="Arial" w:eastAsia="Arial" w:hAnsi="Arial"/>
                <w:sz w:val="18"/>
                <w:szCs w:val="18"/>
                <w:color w:val="auto"/>
              </w:rPr>
              <w:t>73,729</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Daniela Bellomo</w:t>
            </w:r>
          </w:p>
        </w:tc>
        <w:tc>
          <w:tcPr>
            <w:tcW w:w="2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16,357</w:t>
            </w:r>
          </w:p>
        </w:tc>
        <w:tc>
          <w:tcPr>
            <w:tcW w:w="21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Guido Guidi</w:t>
            </w:r>
          </w:p>
        </w:tc>
        <w:tc>
          <w:tcPr>
            <w:tcW w:w="2660" w:type="dxa"/>
            <w:vAlign w:val="bottom"/>
          </w:tcPr>
          <w:p>
            <w:pPr>
              <w:jc w:val="right"/>
              <w:ind w:right="570"/>
              <w:spacing w:after="0"/>
              <w:rPr>
                <w:sz w:val="20"/>
                <w:szCs w:val="20"/>
                <w:color w:val="auto"/>
              </w:rPr>
            </w:pPr>
            <w:r>
              <w:rPr>
                <w:rFonts w:ascii="Arial" w:cs="Arial" w:eastAsia="Arial" w:hAnsi="Arial"/>
                <w:sz w:val="18"/>
                <w:szCs w:val="18"/>
                <w:color w:val="auto"/>
              </w:rPr>
              <w:t>61,553</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Luca Guidotti</w:t>
            </w:r>
          </w:p>
        </w:tc>
        <w:tc>
          <w:tcPr>
            <w:tcW w:w="2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49,469</w:t>
            </w:r>
          </w:p>
        </w:tc>
        <w:tc>
          <w:tcPr>
            <w:tcW w:w="21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Anthony Marucci</w:t>
            </w:r>
          </w:p>
        </w:tc>
        <w:tc>
          <w:tcPr>
            <w:tcW w:w="26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Richard B. Slansky</w:t>
            </w:r>
          </w:p>
        </w:tc>
        <w:tc>
          <w:tcPr>
            <w:tcW w:w="2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19,947</w:t>
            </w:r>
          </w:p>
        </w:tc>
        <w:tc>
          <w:tcPr>
            <w:tcW w:w="21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Carlo-Russo</w:t>
            </w:r>
          </w:p>
        </w:tc>
        <w:tc>
          <w:tcPr>
            <w:tcW w:w="2660" w:type="dxa"/>
            <w:vAlign w:val="bottom"/>
          </w:tcPr>
          <w:p>
            <w:pPr>
              <w:jc w:val="right"/>
              <w:ind w:right="570"/>
              <w:spacing w:after="0"/>
              <w:rPr>
                <w:sz w:val="20"/>
                <w:szCs w:val="20"/>
                <w:color w:val="auto"/>
              </w:rPr>
            </w:pPr>
            <w:r>
              <w:rPr>
                <w:rFonts w:ascii="Arial" w:cs="Arial" w:eastAsia="Arial" w:hAnsi="Arial"/>
                <w:sz w:val="18"/>
                <w:szCs w:val="18"/>
                <w:color w:val="auto"/>
              </w:rPr>
              <w:t>598,417</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[3.99]%</w:t>
            </w:r>
          </w:p>
        </w:tc>
        <w:tc>
          <w:tcPr>
            <w:tcW w:w="9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Luigi Naldini</w:t>
            </w:r>
          </w:p>
        </w:tc>
        <w:tc>
          <w:tcPr>
            <w:tcW w:w="2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1,386,145</w:t>
            </w:r>
          </w:p>
        </w:tc>
        <w:tc>
          <w:tcPr>
            <w:tcW w:w="21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[9.24]%</w:t>
            </w:r>
          </w:p>
        </w:tc>
        <w:tc>
          <w:tcPr>
            <w:tcW w:w="94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Bernard Gentner</w:t>
            </w:r>
          </w:p>
        </w:tc>
        <w:tc>
          <w:tcPr>
            <w:tcW w:w="2660" w:type="dxa"/>
            <w:vAlign w:val="bottom"/>
          </w:tcPr>
          <w:p>
            <w:pPr>
              <w:jc w:val="right"/>
              <w:ind w:right="570"/>
              <w:spacing w:after="0"/>
              <w:rPr>
                <w:sz w:val="20"/>
                <w:szCs w:val="20"/>
                <w:color w:val="auto"/>
              </w:rPr>
            </w:pPr>
            <w:r>
              <w:rPr>
                <w:rFonts w:ascii="Arial" w:cs="Arial" w:eastAsia="Arial" w:hAnsi="Arial"/>
                <w:sz w:val="18"/>
                <w:szCs w:val="18"/>
                <w:color w:val="auto"/>
              </w:rPr>
              <w:t>692,871</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[4.62]%</w:t>
            </w:r>
          </w:p>
        </w:tc>
        <w:tc>
          <w:tcPr>
            <w:tcW w:w="9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All directors and executive officers as a group (11 persons)</w:t>
            </w:r>
          </w:p>
        </w:tc>
        <w:tc>
          <w:tcPr>
            <w:tcW w:w="2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5,174,004</w:t>
            </w:r>
          </w:p>
        </w:tc>
        <w:tc>
          <w:tcPr>
            <w:tcW w:w="21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[34.49]%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5% Shareholders</w:t>
            </w:r>
          </w:p>
        </w:tc>
        <w:tc>
          <w:tcPr>
            <w:tcW w:w="2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Ospedale San Raffaele</w:t>
            </w:r>
          </w:p>
        </w:tc>
        <w:tc>
          <w:tcPr>
            <w:tcW w:w="2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1,896,730</w:t>
            </w:r>
          </w:p>
        </w:tc>
        <w:tc>
          <w:tcPr>
            <w:tcW w:w="21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[12.64]%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Spafid</w:t>
            </w:r>
          </w:p>
        </w:tc>
        <w:tc>
          <w:tcPr>
            <w:tcW w:w="2660" w:type="dxa"/>
            <w:vAlign w:val="bottom"/>
          </w:tcPr>
          <w:p>
            <w:pPr>
              <w:jc w:val="right"/>
              <w:ind w:right="570"/>
              <w:spacing w:after="0"/>
              <w:rPr>
                <w:sz w:val="20"/>
                <w:szCs w:val="20"/>
                <w:color w:val="auto"/>
              </w:rPr>
            </w:pPr>
            <w:r>
              <w:rPr>
                <w:rFonts w:ascii="Arial" w:cs="Arial" w:eastAsia="Arial" w:hAnsi="Arial"/>
                <w:sz w:val="18"/>
                <w:szCs w:val="18"/>
                <w:color w:val="auto"/>
              </w:rPr>
              <w:t>3,431,482</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[22.88]%</w:t>
            </w:r>
          </w:p>
        </w:tc>
        <w:tc>
          <w:tcPr>
            <w:tcW w:w="94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0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w w:val="99"/>
              </w:rPr>
              <w:t xml:space="preserve">(1)   </w:t>
            </w:r>
            <w:r>
              <w:rPr>
                <w:rFonts w:ascii="Arial" w:cs="Arial" w:eastAsia="Arial" w:hAnsi="Arial"/>
                <w:sz w:val="14"/>
                <w:szCs w:val="14"/>
                <w:color w:val="auto"/>
                <w:w w:val="99"/>
              </w:rPr>
              <w:t>The percentages shown are based on</w:t>
            </w:r>
          </w:p>
        </w:tc>
        <w:tc>
          <w:tcPr>
            <w:tcW w:w="2940" w:type="dxa"/>
            <w:vAlign w:val="bottom"/>
            <w:gridSpan w:val="2"/>
          </w:tcPr>
          <w:p>
            <w:pPr>
              <w:ind w:left="200"/>
              <w:spacing w:after="0"/>
              <w:rPr>
                <w:sz w:val="20"/>
                <w:szCs w:val="20"/>
                <w:color w:val="auto"/>
              </w:rPr>
            </w:pPr>
            <w:r>
              <w:rPr>
                <w:rFonts w:ascii="Arial" w:cs="Arial" w:eastAsia="Arial" w:hAnsi="Arial"/>
                <w:sz w:val="14"/>
                <w:szCs w:val="14"/>
                <w:color w:val="auto"/>
                <w:w w:val="97"/>
              </w:rPr>
              <w:t>ordinary shares issued and outstanding as of</w:t>
            </w:r>
          </w:p>
        </w:tc>
        <w:tc>
          <w:tcPr>
            <w:tcW w:w="5460" w:type="dxa"/>
            <w:vAlign w:val="bottom"/>
          </w:tcPr>
          <w:p>
            <w:pPr>
              <w:jc w:val="right"/>
              <w:ind w:right="4808"/>
              <w:spacing w:after="0"/>
              <w:rPr>
                <w:sz w:val="20"/>
                <w:szCs w:val="20"/>
                <w:color w:val="auto"/>
              </w:rPr>
            </w:pPr>
            <w:r>
              <w:rPr>
                <w:rFonts w:ascii="Arial" w:cs="Arial" w:eastAsia="Arial" w:hAnsi="Arial"/>
                <w:sz w:val="14"/>
                <w:szCs w:val="14"/>
                <w:color w:val="auto"/>
              </w:rPr>
              <w:t>, 2021.</w:t>
            </w:r>
          </w:p>
        </w:tc>
      </w:tr>
      <w:tr>
        <w:trPr>
          <w:trHeight w:val="439"/>
        </w:trPr>
        <w:tc>
          <w:tcPr>
            <w:tcW w:w="1520" w:type="dxa"/>
            <w:vAlign w:val="bottom"/>
          </w:tcPr>
          <w:p>
            <w:pPr>
              <w:spacing w:after="0"/>
              <w:rPr>
                <w:sz w:val="20"/>
                <w:szCs w:val="20"/>
                <w:color w:val="auto"/>
              </w:rPr>
            </w:pPr>
            <w:r>
              <w:rPr>
                <w:rFonts w:ascii="Arial" w:cs="Arial" w:eastAsia="Arial" w:hAnsi="Arial"/>
                <w:sz w:val="18"/>
                <w:szCs w:val="18"/>
                <w:b w:val="1"/>
                <w:bCs w:val="1"/>
                <w:i w:val="1"/>
                <w:iCs w:val="1"/>
                <w:color w:val="auto"/>
              </w:rPr>
              <w:t>Record Holders</w:t>
            </w: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59"/>
        </w:trPr>
        <w:tc>
          <w:tcPr>
            <w:tcW w:w="1520" w:type="dxa"/>
            <w:vAlign w:val="bottom"/>
          </w:tcPr>
          <w:p>
            <w:pPr>
              <w:ind w:left="660"/>
              <w:spacing w:after="0"/>
              <w:rPr>
                <w:sz w:val="20"/>
                <w:szCs w:val="20"/>
                <w:color w:val="auto"/>
              </w:rPr>
            </w:pPr>
            <w:r>
              <w:rPr>
                <w:rFonts w:ascii="Arial" w:cs="Arial" w:eastAsia="Arial" w:hAnsi="Arial"/>
                <w:sz w:val="18"/>
                <w:szCs w:val="18"/>
                <w:color w:val="auto"/>
              </w:rPr>
              <w:t>As of</w:t>
            </w:r>
          </w:p>
        </w:tc>
        <w:tc>
          <w:tcPr>
            <w:tcW w:w="2560" w:type="dxa"/>
            <w:vAlign w:val="bottom"/>
            <w:gridSpan w:val="2"/>
          </w:tcPr>
          <w:p>
            <w:pPr>
              <w:ind w:left="340"/>
              <w:spacing w:after="0"/>
              <w:rPr>
                <w:sz w:val="20"/>
                <w:szCs w:val="20"/>
                <w:color w:val="auto"/>
              </w:rPr>
            </w:pPr>
            <w:r>
              <w:rPr>
                <w:rFonts w:ascii="Arial" w:cs="Arial" w:eastAsia="Arial" w:hAnsi="Arial"/>
                <w:sz w:val="18"/>
                <w:szCs w:val="18"/>
                <w:color w:val="auto"/>
              </w:rPr>
              <w:t>, 2021, there was a total of</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w w:val="94"/>
              </w:rPr>
              <w:t>holders of record of our ordinary shares, none of which had, to the best of our knowledge, a</w:t>
            </w:r>
          </w:p>
        </w:tc>
      </w:tr>
    </w:tbl>
    <w:p>
      <w:pPr>
        <w:spacing w:after="0"/>
        <w:rPr>
          <w:sz w:val="20"/>
          <w:szCs w:val="20"/>
          <w:color w:val="auto"/>
        </w:rPr>
      </w:pPr>
      <w:r>
        <w:rPr>
          <w:rFonts w:ascii="Arial" w:cs="Arial" w:eastAsia="Arial" w:hAnsi="Arial"/>
          <w:sz w:val="18"/>
          <w:szCs w:val="18"/>
          <w:color w:val="auto"/>
        </w:rPr>
        <w:t>registered address in the United States.</w:t>
      </w:r>
    </w:p>
    <w:p>
      <w:pPr>
        <w:spacing w:after="0" w:line="238" w:lineRule="exact"/>
        <w:rPr>
          <w:sz w:val="20"/>
          <w:szCs w:val="20"/>
          <w:color w:val="auto"/>
        </w:rPr>
      </w:pPr>
    </w:p>
    <w:p>
      <w:pPr>
        <w:jc w:val="both"/>
        <w:ind w:right="260" w:firstLine="648"/>
        <w:spacing w:after="0" w:line="277" w:lineRule="auto"/>
        <w:rPr>
          <w:sz w:val="20"/>
          <w:szCs w:val="20"/>
          <w:color w:val="auto"/>
        </w:rPr>
      </w:pPr>
      <w:r>
        <w:rPr>
          <w:rFonts w:ascii="Arial" w:cs="Arial" w:eastAsia="Arial" w:hAnsi="Arial"/>
          <w:sz w:val="18"/>
          <w:szCs w:val="18"/>
          <w:color w:val="auto"/>
        </w:rPr>
        <w:t>We are not controlled by another corporation, by any foreign government or by any natural or legal persons except as set forth herein, and there are no arrangements known to us which would result in a change in control of the Company at a subsequent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OSR</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a longstanding relationship with OSR. Dr. Guidotti, a member of our Board of Directors, currently serves as Deputy Scientific Director of OSR. On June 4, 2015, we entered into a service agreement with OSR to provide certain services (accounting/bookkeeping and rent of spaces, the latter with an addendum effective from January 1, 2016) free of charge. Beginning in January 2020, we engaged a third-party provider to perform these services. We determined that the value of these services provided in 2019 and in prior years were not material to our financial statements. Beginning January 1, 2020, we entered into a six-year lease agreement for the use of office space in the OSR building. We paid OSR annual rent of €13,400 in 2020 with a security deposit of €3,350.</w:t>
      </w:r>
    </w:p>
    <w:p>
      <w:pPr>
        <w:spacing w:after="0" w:line="21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entered into a license agreement with OSR effective December 15, 2014, pursuant to which OSR granted us an exclusive, royalty-bearing, non-transferable, worldwide license, subject to certain retained rights, to certain patents, patent applications and existing know-how in exchange for certain ongoing payment obligations. See “Business — Collaboration/Licensing.” In February 2021, we entered into a Sponsored Research Agreement (“SRA”) with OSR to conduct certain research projects related to Temferon. The total consideration to be paid by the Company under the SRA will be €1.0 million with payments scheduled quarterly during 2021 and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Consulting and Services Agreements</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Mr. Russo is currently a party to a Service Agreement dated July 2017 through an affiliated company, XDG BioMed LLC, which, as amended, provides for fixed annual fees of €300,000 gross and a discretionary annual variable gross remuneration up to a minimum amount of €50,000, tax included. We entered into consulting agreements in October 2015 and April 2016 with Prof. Naldini and Dr. Gentner, which, as amended, provided for gross annual fees of €50,000 and €30,000, respectively. These agreements renew automatically each year.</w:t>
      </w:r>
    </w:p>
    <w:p>
      <w:pPr>
        <w:spacing w:after="0" w:line="214"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We entered into a directorship agreement with Mr. Paracchi in December 2019, which provides for an annual salary of €250,000 and a discretionary €50,000 performance bonus payment to be approved by the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New Employment Agreements</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intend to enter into new employment agreements with each of Messrs. Paracchi, Russo and Slansky effective upon the consummation of this offering. The forms of such proposed employment agreements have been filed as exhibits to the registration statement of which this prospectus forms a part. Pursuant to such proposed employment agreements, Messrs. Paracchi, Russo and Slansky are entitled to gross annual base salaries of € 415,000, $500,000 and $240,000, respectively, each of which is subject to annual review by and at the sole discretion of the Compensation, Nomination and Governance Committee of our board of directors. Each of Messrs. Paracchi, Russo and Slansky are also eligible to receive an annual cash bonus equal to or exceeding 30% of base salary, provided that such individual achieves performance targets determined by the Compensation, Nomination and Governance Committee of the board of directors.</w:t>
      </w:r>
    </w:p>
    <w:p>
      <w:pPr>
        <w:spacing w:after="0" w:line="22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Each proposed employment agreement has a term commencing on the date of consummation of this offering and continuing until terminated (i) upon death of the employee, (ii) upon disability, (iii) for cause or good reason, (iv) without cause, or (v) voluntarily, or in the case of our proposed Italian employees, (a) upon death of the employee, (b) for just cause, (c) with objective or subjective reason, (d) by resignation of the employee, or (e) voluntarily by mutual agreement between the parties. The employment agreement also contains, among other things, the following material provisions: (i) reimbursement for all reasonable travel and other out-of-pocket expenses incurred in connection with such individual’s employment; (ii) paid vacation leave; (iii) health benefits; and (iv) a severance payment equal to twelve (12) months of base salary and a prorated portion of the applicable cash bonus upon termination by such individual for just cause or by the Company without cause (each as defined in the relevant agreement), with restrictive covenants applicable for a corresponding period after termination.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event such individual is terminated six months prior to or two years after a Change of Control (as defined in the agreement) by the Company</w:t>
      </w:r>
    </w:p>
    <w:p>
      <w:pPr>
        <w:spacing w:after="0" w:line="46"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for any reason other than cause or by such individual for good reason, then the executive shall be entitled to receive a cash payment equal to times such individual’s then-current annual base salary, plus 1.0 times his cash bonus for the year in which the termination occurs. Such payment shall be in lieu of the severance payment described above.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i w:val="1"/>
          <w:iCs w:val="1"/>
          <w:color w:val="auto"/>
        </w:rPr>
        <w:t>Issuances of Share Capital</w:t>
      </w:r>
    </w:p>
    <w:p>
      <w:pPr>
        <w:spacing w:after="0" w:line="25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Since our founding, we have obtained equity financing in an aggregate amount of approximately €33.6 million in four separate rounds based on the credentials and reputation of our founders and management team and our relationship with SR-TIGET, OSR, and Telethon Institute for Gene Therapy.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its organization in July 2014, the Company was capitalized with €11,650 through the issuance of the following quotas: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560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6"/>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Ospedale San Raffaele</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4,754.37</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1520" w:type="dxa"/>
            <w:vAlign w:val="bottom"/>
          </w:tcPr>
          <w:p>
            <w:pPr>
              <w:jc w:val="right"/>
              <w:spacing w:after="0"/>
              <w:rPr>
                <w:sz w:val="20"/>
                <w:szCs w:val="20"/>
                <w:color w:val="auto"/>
              </w:rPr>
            </w:pPr>
            <w:r>
              <w:rPr>
                <w:rFonts w:ascii="Arial" w:cs="Arial" w:eastAsia="Arial" w:hAnsi="Arial"/>
                <w:sz w:val="18"/>
                <w:szCs w:val="18"/>
                <w:color w:val="auto"/>
              </w:rPr>
              <w:t>5,703.84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Bernhard Gentner</w:t>
            </w:r>
          </w:p>
        </w:tc>
        <w:tc>
          <w:tcPr>
            <w:tcW w:w="1520" w:type="dxa"/>
            <w:vAlign w:val="bottom"/>
          </w:tcPr>
          <w:p>
            <w:pPr>
              <w:jc w:val="right"/>
              <w:spacing w:after="0"/>
              <w:rPr>
                <w:sz w:val="20"/>
                <w:szCs w:val="20"/>
                <w:color w:val="auto"/>
              </w:rPr>
            </w:pPr>
            <w:r>
              <w:rPr>
                <w:rFonts w:ascii="Arial" w:cs="Arial" w:eastAsia="Arial" w:hAnsi="Arial"/>
                <w:sz w:val="18"/>
                <w:szCs w:val="18"/>
                <w:color w:val="auto"/>
              </w:rPr>
              <w:t>397.26</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quotas held by Mr. Paracchi and OSR, on the one hand, and by Prof. Naldini and Dr. Gentner, on the other hand, were converted into class A and B quotas, respectively, in connection with our first round of equity financing approved by shareholders on December 23, 2014 (which resolution has been subsequently amended and restated), as follows:</w:t>
      </w:r>
    </w:p>
    <w:p>
      <w:pPr>
        <w:spacing w:after="0" w:line="211" w:lineRule="exact"/>
        <w:rPr>
          <w:sz w:val="20"/>
          <w:szCs w:val="20"/>
          <w:color w:val="auto"/>
        </w:rPr>
      </w:pPr>
    </w:p>
    <w:p>
      <w:pPr>
        <w:ind w:left="660" w:right="40" w:hanging="328"/>
        <w:spacing w:after="0" w:line="258"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issuance of a maximum of €6,237.50 of class B quotas to Prof. Naldini and Dr. Gentner, directors, employees and other individuals in recognition of their contributions to the Company’s growth; and</w:t>
      </w:r>
    </w:p>
    <w:p>
      <w:pPr>
        <w:spacing w:after="0" w:line="1" w:lineRule="exact"/>
        <w:rPr>
          <w:rFonts w:ascii="Arial" w:cs="Arial" w:eastAsia="Arial" w:hAnsi="Arial"/>
          <w:sz w:val="18"/>
          <w:szCs w:val="18"/>
          <w:color w:val="auto"/>
        </w:rPr>
      </w:pPr>
    </w:p>
    <w:p>
      <w:pPr>
        <w:ind w:left="660" w:right="520" w:hanging="328"/>
        <w:spacing w:after="0" w:line="260"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issuance of class C quotas (including class C quotas issuable upon conversion of convertible notes) for an aggregate amount equal to €10.0 million.</w:t>
      </w:r>
    </w:p>
    <w:p>
      <w:pPr>
        <w:spacing w:after="0" w:line="21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class C quotas were offered on the basis of a pre-money valuation of the Company of €20.0 million with assistance from Banca Esperia, the formerly Private Bank of Mediobanca, and purchased by accredited investors, including entrepreneurs, managers, and family offices, including affiliates of the Ferrari family, which controls FIS Holding, one of the leading manufacturers of pharmaceuticals in Europe, and an early investor in Advanced Accelerator Application (NASDAQ: AAAP) (“AAAP”), a biotech company later acquired by Novartis (NYSE: NVS) for $3.9 billion.</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the class C quota offering, Roger Abravanel (former McKinsey &amp; Company director and board member of TEVA) joined the Company’s board of directors.</w:t>
      </w:r>
    </w:p>
    <w:p>
      <w:pPr>
        <w:spacing w:after="0" w:line="19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On June 27, 2017, our shareholders approved the issuance of class D quotas for an aggregate amount equal to €7.0 million on the basis of a pre-money valuation of the Company of €45.0 million. The class D quotas were purchased by Italian, British, and Swiss private investors, family offices, and angel investors, including FIDIM S.r.l., the holding company for the Rovati family, former owner of Rottapharm, which was acquired in 2014 by Meda/Mylan for $2.2 billion) (“FIDIM”), some other early investors in AAAP, and Mr. Giuseppe Vita, former Chairman of Schering-Plough.</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connection with the class D quota offering, Guido Guidi, then Head of Novartis in Europe joined the Company’s board of directors. During his tenure as Head of Novartis’ Oncology Europe division, Mr. Guidi led the development and launch of a number of highly successful products, such as Cosentyx, Entresto, Lucentis, Gilenya, Xolair, Ultibro, Seebri, Galvus, Exforge, Zometa, Femara and Glivec. At that time, Kenneth C. Anderson, Kraft Family Professor of Medicine at Harvard Medical School, President Elect of the American Society of Hematology, and Director of the Lebow Institute for Myeloma Therapeutics and the Jerome Lipper Myeloma Center at DanaFaber Cancer Institute, joined the Company’s Scientific Advisory Board.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55" w:name="page156"/>
    <w:bookmarkEnd w:id="155"/>
    <w:p>
      <w:pPr>
        <w:ind w:right="200" w:firstLine="648"/>
        <w:spacing w:after="0" w:line="279" w:lineRule="auto"/>
        <w:rPr>
          <w:sz w:val="20"/>
          <w:szCs w:val="20"/>
          <w:color w:val="auto"/>
        </w:rPr>
      </w:pPr>
      <w:r>
        <w:rPr>
          <w:rFonts w:ascii="Arial" w:cs="Arial" w:eastAsia="Arial" w:hAnsi="Arial"/>
          <w:sz w:val="17"/>
          <w:szCs w:val="17"/>
          <w:color w:val="auto"/>
        </w:rPr>
        <w:t>In August 2019, our shareholders approved the issuance of class E quotas for an aggregate amount equal €17.1 million, subscribed for €15.1 million, on the basis of a pre-money valuation of the Company of €70.0 million. The lead investor in the class E quota offering was Qianzhan Investment Management, a Shanghai based private company active in private equity and venture capital investments, and FIDIM. Qianzhan was an early investor in Tencent Music (NASDAQ: TME) and in pharmaceutical and biotech companies in China and in the U.S.</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July 2020, our shareholders approved the issuance of an additional of class E quotas for an aggregate amount equal to € 1.5 million on the basis of a pre-money valuation of the Company of €90.0 million. The lead investor was GM Investimenti, a private company controlled by Giuseppe Miroglio, former CEO and current Chairman of Miroglio Group.</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tables below set forth the aggregate number of class B and D quotas issued and subscribed by related parties as part of the offerings described above. No related parties purchased class C or E quotas.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B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Bernhard Gentner</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1,396.5</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1,396.5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Carlo Russo</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Roger Abravanel</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Luca Guidotti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Stefania Mazzoleni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D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Abravanel</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17.29</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147</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8"/>
          <w:szCs w:val="18"/>
          <w:b w:val="1"/>
          <w:bCs w:val="1"/>
          <w:color w:val="auto"/>
        </w:rPr>
        <w:t>DESCRIPTION OF SHARE CAPITAL AND GOVERNING DOCUMENTS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description summarizes important terms of our capital stock and certain provisions of our articles of association and by-laws, each of which will be in effect upon the closing of this offering. Copies of these documents will be filed with the SEC as exhibits to our registration statement, of which this prospectus forms a part. The description of our capital stock reflects the completion of the Corporate Conversion that will occur immediately prior to the effectiveness of the registration statement of which this prospectus forms a part.</w:t>
      </w:r>
    </w:p>
    <w:p>
      <w:pPr>
        <w:sectPr>
          <w:pgSz w:w="11900" w:h="16838" w:orient="portrait"/>
          <w:cols w:equalWidth="0" w:num="1">
            <w:col w:w="11240"/>
          </w:cols>
          <w:pgMar w:left="320" w:top="715" w:right="339" w:bottom="1440" w:gutter="0" w:footer="0" w:header="0"/>
        </w:sectPr>
      </w:pPr>
    </w:p>
    <w:p>
      <w:pPr>
        <w:spacing w:after="0" w:line="214"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As of the date of filing of this prospectus our authorized capital stock consists of</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6460" w:space="660"/>
            <w:col w:w="4120"/>
          </w:cols>
          <w:pgMar w:left="320" w:top="715" w:right="339" w:bottom="1440" w:gutter="0" w:footer="0" w:header="0"/>
          <w:type w:val="continuous"/>
        </w:sectPr>
      </w:pPr>
    </w:p>
    <w:p>
      <w:pPr>
        <w:spacing w:after="0" w:line="52" w:lineRule="exact"/>
        <w:rPr>
          <w:sz w:val="20"/>
          <w:szCs w:val="20"/>
          <w:color w:val="auto"/>
        </w:rPr>
      </w:pPr>
    </w:p>
    <w:p>
      <w:pPr>
        <w:ind w:left="720" w:hanging="71"/>
        <w:spacing w:after="0" w:line="381" w:lineRule="auto"/>
        <w:rPr>
          <w:sz w:val="20"/>
          <w:szCs w:val="20"/>
          <w:color w:val="auto"/>
        </w:rPr>
      </w:pPr>
      <w:r>
        <w:rPr>
          <w:rFonts w:ascii="Arial" w:cs="Arial" w:eastAsia="Arial" w:hAnsi="Arial"/>
          <w:sz w:val="15"/>
          <w:szCs w:val="15"/>
          <w:color w:val="auto"/>
        </w:rPr>
        <w:t>Following the Corporate Conversion and the closing of this offering, there will be shareholders of record. No preference shares are designated, issued or outstanding.</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outstanding, held by approximately</w:t>
      </w:r>
    </w:p>
    <w:p>
      <w:pPr>
        <w:spacing w:after="0" w:line="490" w:lineRule="exact"/>
        <w:rPr>
          <w:sz w:val="20"/>
          <w:szCs w:val="20"/>
          <w:color w:val="auto"/>
        </w:rPr>
      </w:pPr>
    </w:p>
    <w:p>
      <w:pPr>
        <w:sectPr>
          <w:pgSz w:w="11900" w:h="16838" w:orient="portrait"/>
          <w:cols w:equalWidth="0" w:num="2">
            <w:col w:w="6680" w:space="500"/>
            <w:col w:w="4060"/>
          </w:cols>
          <w:pgMar w:left="320" w:top="715" w:right="339" w:bottom="1440" w:gutter="0" w:footer="0" w:header="0"/>
          <w:type w:val="continuous"/>
        </w:sectPr>
      </w:pPr>
    </w:p>
    <w:p>
      <w:pPr>
        <w:ind w:right="100" w:firstLine="648"/>
        <w:spacing w:after="0" w:line="259" w:lineRule="auto"/>
        <w:rPr>
          <w:sz w:val="20"/>
          <w:szCs w:val="20"/>
          <w:color w:val="auto"/>
        </w:rPr>
      </w:pPr>
      <w:r>
        <w:rPr>
          <w:rFonts w:ascii="Arial" w:cs="Arial" w:eastAsia="Arial" w:hAnsi="Arial"/>
          <w:sz w:val="18"/>
          <w:szCs w:val="18"/>
          <w:color w:val="auto"/>
        </w:rPr>
        <w:t>The following is a summary of certain information concerning our ordinary shares and bylaws (</w:t>
      </w:r>
      <w:r>
        <w:rPr>
          <w:rFonts w:ascii="Arial" w:cs="Arial" w:eastAsia="Arial" w:hAnsi="Arial"/>
          <w:sz w:val="18"/>
          <w:szCs w:val="18"/>
          <w:i w:val="1"/>
          <w:iCs w:val="1"/>
          <w:color w:val="auto"/>
        </w:rPr>
        <w:t>Statuto</w:t>
      </w:r>
      <w:r>
        <w:rPr>
          <w:rFonts w:ascii="Arial" w:cs="Arial" w:eastAsia="Arial" w:hAnsi="Arial"/>
          <w:sz w:val="18"/>
          <w:szCs w:val="18"/>
          <w:color w:val="auto"/>
        </w:rPr>
        <w:t>), as well as Italian law provisions applicable to companies like ours whose shares are not listed in a “regulated market” within the European Union, as in effect at the date of this prospectus. The summary contains such information as we consider material regarding the ordinary shares but does not purport to be complete and is qualified in its entirety by reference to our bylaws or Italian law, as the case may be.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Italian law, most of the procedures regulating our Company, including certain rights of shareholders, are contained in our bylaws.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Amendments to our bylaws must be approved at an extraordinary meeting of shareholders, as described 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Authorization of shares</w:t>
      </w:r>
    </w:p>
    <w:p>
      <w:pPr>
        <w:spacing w:after="0" w:line="252"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Our shareholders may authorize the issuance of additional shares at any time at an extraordinary shareholders’ meeting. However, the newly issued shares may not be purchased before all the outstanding shares (i.e., the shares already subscribed) are entirely paid for. Moreover, although Italian law generally provides shareholders with preemptive rights when new shares are issued for cash, it is possible, in certain case, for general meeting to exclude or limit preemptive rights. Such an exclusion of preemptive rights must be illustrated by the directors with a specific report which sets out the reasons for the exclusion or limitation of the pre-emptive right, or, if the exclusion derives from a contribution in kind, the reasons for such contribution in</w:t>
      </w:r>
    </w:p>
    <w:p>
      <w:pPr>
        <w:spacing w:after="0" w:line="2"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kind, and in any case the criteria adopted for determining the issue price. On , 2021 following a recommendation by our board of directors, our shareholders approved a capital increase with the exclusion of preemptive rights to allow for the issuance of:</w:t>
      </w:r>
    </w:p>
    <w:p>
      <w:pPr>
        <w:spacing w:after="0" w:line="212" w:lineRule="exact"/>
        <w:rPr>
          <w:sz w:val="20"/>
          <w:szCs w:val="20"/>
          <w:color w:val="auto"/>
        </w:rPr>
      </w:pPr>
    </w:p>
    <w:p>
      <w:pPr>
        <w:ind w:left="660" w:hanging="328"/>
        <w:spacing w:after="0" w:line="277" w:lineRule="auto"/>
        <w:tabs>
          <w:tab w:leader="none" w:pos="1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ordinary shares in our initial public offering (including ordinary shares underlying the over-allotment option and ordinary shares issuable upon exercise of the Representatives’ Warrants);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14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ordinary shares to the service of a four year equity incentive plan (the “2021-2025 Equity Incentive Plan”) to be adopted by the board of directors; and</w:t>
      </w:r>
    </w:p>
    <w:p>
      <w:pPr>
        <w:spacing w:after="0" w:line="129" w:lineRule="exact"/>
        <w:rPr>
          <w:rFonts w:ascii="Arial" w:cs="Arial" w:eastAsia="Arial" w:hAnsi="Arial"/>
          <w:sz w:val="18"/>
          <w:szCs w:val="18"/>
          <w:color w:val="auto"/>
        </w:rPr>
      </w:pPr>
    </w:p>
    <w:p>
      <w:pPr>
        <w:ind w:left="660" w:right="100" w:hanging="328"/>
        <w:spacing w:after="0" w:line="263" w:lineRule="auto"/>
        <w:tabs>
          <w:tab w:leader="none" w:pos="14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ordinary shares, delegated to the board of directors and subject to a time limit up to a five-years term, in connection with certain events such as the acquisition of stock or assets of another company, the establishment of or amendments to equity-based compensation plans for employees, and certain private placements.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and transfer of shares</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ordinary shares are not represented by share certificates (</w:t>
      </w:r>
      <w:r>
        <w:rPr>
          <w:rFonts w:ascii="Arial" w:cs="Arial" w:eastAsia="Arial" w:hAnsi="Arial"/>
          <w:sz w:val="16"/>
          <w:szCs w:val="16"/>
          <w:i w:val="1"/>
          <w:iCs w:val="1"/>
          <w:color w:val="auto"/>
        </w:rPr>
        <w:t>certificati azionari) as they are dematerialised (azioni dematerializzate</w:t>
      </w:r>
      <w:r>
        <w:rPr>
          <w:rFonts w:ascii="Arial" w:cs="Arial" w:eastAsia="Arial" w:hAnsi="Arial"/>
          <w:sz w:val="16"/>
          <w:szCs w:val="16"/>
          <w:color w:val="auto"/>
        </w:rPr>
        <w:t>). The ownership of the shares, their transfer, the related rights and restrictions on the shares (if any) results from the electronical register managed by an intermediary (banks and other financial institutions). The entitlement to exercise the rights attached to the shares is then proven by the exhibition of certifications or communications to the issuer made by the intermediary, pursuant to its own accounting records, in favor of the subject entitled to the right.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57" w:name="page158"/>
    <w:bookmarkEnd w:id="157"/>
    <w:p>
      <w:pPr>
        <w:ind w:right="160" w:firstLine="648"/>
        <w:spacing w:after="0" w:line="254" w:lineRule="auto"/>
        <w:rPr>
          <w:sz w:val="20"/>
          <w:szCs w:val="20"/>
          <w:color w:val="auto"/>
        </w:rPr>
      </w:pPr>
      <w:r>
        <w:rPr>
          <w:rFonts w:ascii="Arial" w:cs="Arial" w:eastAsia="Arial" w:hAnsi="Arial"/>
          <w:sz w:val="18"/>
          <w:szCs w:val="18"/>
          <w:color w:val="auto"/>
        </w:rPr>
        <w:t>There are no limitations on the right to own or vote our ordinary shares, which applies to non-Italian residents and foreign residents except for Golden Power’s rules and Antitrust rule (see Section “Notification of Acquisition of Shares”). There are no provisions in our articles of association or bylaws that would have the effect of delaying, deferring or preventing a change of control of our Company and that would operate only with respect to a merger, acquisition or corporate restructuring involving our Company. There are no provisions in our bylaws governing the ownership threshold which shareholder ownership must be disclosed. There are no provisions discriminating against any existing or prospective holder of our ordinary shares as a result of such shareholder owning a substantial number of our shares. There are no sinking fund provisions or provisions providing for liability for further capital calls by our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52"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Our payment of any annual dividend must be proposed by our board of directors to the shareholders and is subject to the approval of our shareholders at the annual ordinary shareholders’ meeting. Before dividends may be paid out of our unconsolidated net income in any year, we must allocate an amount equal to 5% of the Italian GAAP net income to our legal reserve until such reserve is at least equal to 20% of our corporate capital. If a loss in our corporate capital occurs, we may not pay dividends until the capital is reconstituted or reduced by the amount of such losses. We may pay dividends out of available retained earnings from prior years, provided that after such payment, we will have a legal reserve at least equal to the legally required minimum of 20% of the corporate capital. We may not approve or pay dividends until this minimum (i.e., 20% of the capital) is met. If the minimum is met, the board of directors could propose the issuance of a dividend to the shareholders and the shareholders’ resolution might approve that issuance. The shareholders’ resolution will specify the manner and the date for dividend payment. Any dividends which shareholders do not collect within five years of the date on which they become payable will be forfeited by those shareholders and come back to us. The board of directors may not approve interim dividends at times between our annual ordinary shareholders’ meetings.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Nasdaq rules, the Company is permitted, as a listed foreign private issuer, to adhere to the corporate governance rules of our home country in lieu of certain Nasdaq corporate governance rules.</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Corporate governance rules for Italian corporations (</w:t>
      </w:r>
      <w:r>
        <w:rPr>
          <w:rFonts w:ascii="Arial" w:cs="Arial" w:eastAsia="Arial" w:hAnsi="Arial"/>
          <w:sz w:val="16"/>
          <w:szCs w:val="16"/>
          <w:i w:val="1"/>
          <w:iCs w:val="1"/>
          <w:color w:val="auto"/>
        </w:rPr>
        <w:t>società per azioni</w:t>
      </w:r>
      <w:r>
        <w:rPr>
          <w:rFonts w:ascii="Arial" w:cs="Arial" w:eastAsia="Arial" w:hAnsi="Arial"/>
          <w:sz w:val="16"/>
          <w:szCs w:val="16"/>
          <w:color w:val="auto"/>
        </w:rPr>
        <w:t>) like the Company provide that the Company can be managed by a board of directors (</w:t>
      </w:r>
      <w:r>
        <w:rPr>
          <w:rFonts w:ascii="Arial" w:cs="Arial" w:eastAsia="Arial" w:hAnsi="Arial"/>
          <w:sz w:val="16"/>
          <w:szCs w:val="16"/>
          <w:i w:val="1"/>
          <w:iCs w:val="1"/>
          <w:color w:val="auto"/>
        </w:rPr>
        <w:t>consiglio di amministrazione</w:t>
      </w:r>
      <w:r>
        <w:rPr>
          <w:rFonts w:ascii="Arial" w:cs="Arial" w:eastAsia="Arial" w:hAnsi="Arial"/>
          <w:sz w:val="16"/>
          <w:szCs w:val="16"/>
          <w:color w:val="auto"/>
        </w:rPr>
        <w:t>) and a separate board of statutory auditors (</w:t>
      </w:r>
      <w:r>
        <w:rPr>
          <w:rFonts w:ascii="Arial" w:cs="Arial" w:eastAsia="Arial" w:hAnsi="Arial"/>
          <w:sz w:val="16"/>
          <w:szCs w:val="16"/>
          <w:i w:val="1"/>
          <w:iCs w:val="1"/>
          <w:color w:val="auto"/>
        </w:rPr>
        <w:t>collegio sindacale</w:t>
      </w:r>
      <w:r>
        <w:rPr>
          <w:rFonts w:ascii="Arial" w:cs="Arial" w:eastAsia="Arial" w:hAnsi="Arial"/>
          <w:sz w:val="16"/>
          <w:szCs w:val="16"/>
          <w:color w:val="auto"/>
        </w:rPr>
        <w:t>) with supervisory functions concerning the compliance of the by-laws and Italian laws. The two boards are separate and no individual may be a member of both boards. Both the members of the board of directors and the members of the board of statutory auditors owe duties of loyalty and care to the Company. As required by Italian law, an external auditing firm (</w:t>
      </w:r>
      <w:r>
        <w:rPr>
          <w:rFonts w:ascii="Arial" w:cs="Arial" w:eastAsia="Arial" w:hAnsi="Arial"/>
          <w:sz w:val="16"/>
          <w:szCs w:val="16"/>
          <w:i w:val="1"/>
          <w:iCs w:val="1"/>
          <w:color w:val="auto"/>
        </w:rPr>
        <w:t>società di revisione</w:t>
      </w:r>
      <w:r>
        <w:rPr>
          <w:rFonts w:ascii="Arial" w:cs="Arial" w:eastAsia="Arial" w:hAnsi="Arial"/>
          <w:sz w:val="16"/>
          <w:szCs w:val="16"/>
          <w:color w:val="auto"/>
        </w:rPr>
        <w:t>) is in charge of auditing the Company’s financial statements. The members of the Company’s board of directors and board of statutory auditors, as well as the external auditor, are directly and separately appointed by shareholder resolution at the shareholders’ meetings.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52"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board of director consists of 7 (seven) members (see “Management” for additional information). Our board of directors is elected at an ordinary shareholders’ meeting for the period established at the time of election but in any case, for no longer than three fiscal years. Our directors, who may but are not required to be shareholders, may be reappointed for successive terms.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Following the expiration of the above board of directors currently in force, future members will be appointed by means of a list voting system: lists may be presented by the shareholders representing, individually or collectively, at least 6% of share capital represented by ordinary shares. The board of directors will be appointed as follows: six directors will be drawn from the list that has obtained the highest number of votes on the shareholders meeting (the Majority List), based on the progressive order in which they are listed, while one director will be drawn from the second list, in terms of the number of votes received, that have no connection, whether direct or indirect, with the shareholders who have submitted or voted the Majority List (the Minority Lists).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58" w:name="page159"/>
    <w:bookmarkEnd w:id="158"/>
    <w:p>
      <w:pPr>
        <w:ind w:right="20" w:firstLine="648"/>
        <w:spacing w:after="0" w:line="308" w:lineRule="auto"/>
        <w:rPr>
          <w:sz w:val="20"/>
          <w:szCs w:val="20"/>
          <w:color w:val="auto"/>
        </w:rPr>
      </w:pPr>
      <w:r>
        <w:rPr>
          <w:rFonts w:ascii="Arial" w:cs="Arial" w:eastAsia="Arial" w:hAnsi="Arial"/>
          <w:sz w:val="17"/>
          <w:szCs w:val="17"/>
          <w:color w:val="auto"/>
        </w:rPr>
        <w:t>Each shareholder and shareholders belonging to the same group shall not present, or contribute to present, or vote for more than one list, including through an intermediary or trust company. Each candidate may only appear on one list or, otherwise, will be ineligible for election.</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no list is presented the shareholders shall make the necessary appointments during the shareholders meeting convened for the appointment of new members of the board of directors, by resolution passed by simple majority, upon proposal of those attending and entitled to vote, making sure that the requirements set out in the laws pro tempore in force and in the bylaws on the composition of the board of directors and, especially, on gender balance, are complied with.</w:t>
      </w:r>
    </w:p>
    <w:p>
      <w:pPr>
        <w:spacing w:after="0" w:line="21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board of directors has all ordinary and extraordinary powers to manage our affairs as it deems advisable for the achievement of our corporate purposes, except for the actions reserved, by applicable law or the bylaws, to a vote of the shareholders at an ordinary or extraordinary shareholders’ meeting.</w:t>
      </w:r>
    </w:p>
    <w:p>
      <w:pPr>
        <w:spacing w:after="0" w:line="21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If we cannot repay our creditors, and a court determines that our directors did not perform their duties regarding the preservation of our assets, the court may find our directors liable to our creditors. However, the judgement on the director’s diligence in carrying out his or her mandate should never cover the management choices or the manner and circumstances of such choices, even if the same entail significant economic risks, but should cover only the diligence shown by the director in appreciating in advance the risk margins connected with the transaction to be undertaken, and therefore, the possible omission of those precautions, assessments and information normally required for a decision of that type, implemented in those circumstances and with those methods. Directors are liable to the company’s creditors when their improper management conduct impairs the company’s assets in such a way that the same may not be sufficient to satisfy creditors’ claims.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 chairman (president) is not already appointed by the shareholders, the board of directors must appoint one and may appoint a vice-chairman.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chairman of the board of directors is the legal representative of the Company. Our board of directors may delegate certain powers to one or 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managing directors (</w:t>
      </w:r>
      <w:r>
        <w:rPr>
          <w:rFonts w:ascii="Arial" w:cs="Arial" w:eastAsia="Arial" w:hAnsi="Arial"/>
          <w:sz w:val="16"/>
          <w:szCs w:val="16"/>
          <w:i w:val="1"/>
          <w:iCs w:val="1"/>
          <w:color w:val="auto"/>
        </w:rPr>
        <w:t>amministratori delegati</w:t>
      </w:r>
      <w:r>
        <w:rPr>
          <w:rFonts w:ascii="Arial" w:cs="Arial" w:eastAsia="Arial" w:hAnsi="Arial"/>
          <w:sz w:val="16"/>
          <w:szCs w:val="16"/>
          <w:color w:val="auto"/>
        </w:rPr>
        <w:t>), determine the nature and scope of the powers delegated to each director and revoke such delegation at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The managing directors must report to the board of directors and the board of statutory auditors at least every 180 days on the Company’s 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main transactions carried out by the Company or by its subsidiaries. Our board of directors may also appoint one or more general managers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direttori generali</w:t>
      </w:r>
      <w:r>
        <w:rPr>
          <w:rFonts w:ascii="Arial" w:cs="Arial" w:eastAsia="Arial" w:hAnsi="Arial"/>
          <w:sz w:val="16"/>
          <w:szCs w:val="16"/>
          <w:color w:val="auto"/>
        </w:rPr>
        <w:t>) who must report directly to the board and confer powers for single acts or categories of acts to employees of the Company or persons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unaffiliated with the Company. These general managers may be employees, and the board may delegate certain powers to general managers that the board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has not already delegated to managing directors or an executive committee, subject to the limitations discussed below.</w:t>
      </w:r>
    </w:p>
    <w:p>
      <w:pPr>
        <w:spacing w:after="0" w:line="23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Under Italian law, the members of the board of directors must perform the duties imposed on them by law and company’s bylaws with the degree of diligence that is required by the nature of their office and pursuant to their specific level of competence.</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Italian law, our board of directors cannot delegate certain responsibilities, including the preparation and approval of draft financial statements, the approval of merger and de-merger plans to be presented to shareholders’ meetings, increases in the amount of our share capital or the issuance of convertible debentures (if any of such powers has been delegated to our board of directors by our shareholders at an extraordinary shareholders’ meeting).</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Meetings of our board of directors are called no less than four days in advance or, in case of urgency, at least one day in advance by registered letter or e-mail sent by the chairman own initiative. Statutory auditors are normally required to attend our board meetings, but if a meeting has been duly called, the board can validly take action at the meeting even if the board of statutory auditors does not attend. If the meeting has not been duly called, the meeting is nevertheless validly constituted if all of the directors in office and all of the statutory auditors are in attendance. The chairman may call meetings on his own initiative and meetings must be called upon the request of any director.</w:t>
      </w:r>
    </w:p>
    <w:p>
      <w:pPr>
        <w:spacing w:after="0" w:line="21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Meetings of our board of directors may be held in person, or by audio-conference or video-conference, in Italy and in any member state of the European Union or the United States. The quorum for meetings of our board of directors is the attendance of the majority of the directors in office. Resolutions are adopted by the vote of the majority of the directors in attendance at a meeting at which a quorum is met.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59" w:name="page160"/>
    <w:bookmarkEnd w:id="159"/>
    <w:p>
      <w:pPr>
        <w:ind w:right="40" w:firstLine="648"/>
        <w:spacing w:after="0" w:line="271" w:lineRule="auto"/>
        <w:rPr>
          <w:sz w:val="20"/>
          <w:szCs w:val="20"/>
          <w:color w:val="auto"/>
        </w:rPr>
      </w:pPr>
      <w:r>
        <w:rPr>
          <w:rFonts w:ascii="Arial" w:cs="Arial" w:eastAsia="Arial" w:hAnsi="Arial"/>
          <w:sz w:val="17"/>
          <w:szCs w:val="17"/>
          <w:color w:val="auto"/>
        </w:rPr>
        <w:t>Under Italian law, directors having any interest in a proposed transaction must disclose their interest to the board of directors and to the board of statutory auditors, even if such interest is not in conflict with the Company’s interest in the same transaction. The interested director is not required to abstain from voting on the resolution approving the transaction, but the resolution must state explicitly the reasons for, and the benefit to us of, the approved transaction. If these provisions are not complied with, or if the transaction would not have been approved without the vote of the interested director, the resolution may be challenged by a director or by our board of statutory auditors if the approved transaction may be prejudicial to us. A director having any interest in a proposed transaction that he or she has authority to approve must solicit prior board approval of such transaction. The interested director may be held liable for damages to us resulting from a resolution adopted in breach of the above rules. Finally, directors may be held liable for damages to us if they illicitly profit from insider information or corporate opportunities.</w:t>
      </w:r>
    </w:p>
    <w:p>
      <w:pPr>
        <w:spacing w:after="0" w:line="20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directors cannot be unlimitedly liable shareholders in competing companies, nor can they act as competitors on their own or on behalf of third parties, nor be directors or general managers in competing companies, unless authorized by the shareholders’ meeting. Failure to comply with such prohibition may result in the revocation of the director from office and in his or her liability for damages.</w:t>
      </w:r>
    </w:p>
    <w:p>
      <w:pPr>
        <w:spacing w:after="0" w:line="211" w:lineRule="exact"/>
        <w:rPr>
          <w:sz w:val="20"/>
          <w:szCs w:val="20"/>
          <w:color w:val="auto"/>
        </w:rPr>
      </w:pPr>
    </w:p>
    <w:p>
      <w:pPr>
        <w:ind w:right="340" w:firstLine="648"/>
        <w:spacing w:after="0" w:line="301" w:lineRule="auto"/>
        <w:rPr>
          <w:sz w:val="20"/>
          <w:szCs w:val="20"/>
          <w:color w:val="auto"/>
        </w:rPr>
      </w:pPr>
      <w:r>
        <w:rPr>
          <w:rFonts w:ascii="Arial" w:cs="Arial" w:eastAsia="Arial" w:hAnsi="Arial"/>
          <w:sz w:val="16"/>
          <w:szCs w:val="16"/>
          <w:color w:val="auto"/>
        </w:rPr>
        <w:t>Our board of directors may transfer the Company’s registered office within Italy, set up and eliminate secondary offices and, if the company’s bylaws (as in our case) so provide, approve mergers by absorption into the Company of any subsidiary in which the Company holds at least 90% of the issued share capital. Our board of directors may also approve the issuance of shares or convertible debentures and reductions of the Company’s share capital in the case of withdrawal of a shareholder if so authorized by the Company’s extraordinary shareholders’ meeting.</w:t>
      </w:r>
    </w:p>
    <w:p>
      <w:pPr>
        <w:spacing w:after="0" w:line="18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Under Italian law, directors may be removed from office at any time by the vote of shareholders at an ordinary shareholders’ meeting. Whilst the removal is immediately effective within the company, it is effective </w:t>
      </w:r>
      <w:r>
        <w:rPr>
          <w:rFonts w:ascii="Arial" w:cs="Arial" w:eastAsia="Arial" w:hAnsi="Arial"/>
          <w:sz w:val="16"/>
          <w:szCs w:val="16"/>
          <w:i w:val="1"/>
          <w:iCs w:val="1"/>
          <w:color w:val="auto"/>
        </w:rPr>
        <w:t>vis-à-vis</w:t>
      </w:r>
      <w:r>
        <w:rPr>
          <w:rFonts w:ascii="Arial" w:cs="Arial" w:eastAsia="Arial" w:hAnsi="Arial"/>
          <w:sz w:val="16"/>
          <w:szCs w:val="16"/>
          <w:color w:val="auto"/>
        </w:rPr>
        <w:t xml:space="preserve"> third parties only upon entry of the relevant resolution in the companies register. The resolution of the shareholders’ meeting in favor of a liability suit against the director and the occurrence of causes of ineligibility also constitute justified causes for removal. If the removal of a director occurs without just cause, such directors may have a claim for damages against us. These damages may include, but are not limited to, compensation that would otherwise have been paid to the director for the remainder of his or her term and damage to his or her reputation. Directors may resign at any time by written notice to our board of directors and to the chairman of our board of statutory auditors. Our board of directors must appoint substitute directors to fill vacancies arising from removals or resignations, subject to the approval of the board of statutory auditors, to serve until the next ordinary shareholders’ meeting. If, at any time, more than half of the members of our board of directors appointed by the shareholders’ meeting of the Company resign, such resignation is ineffective until the majority of the new board of directors has been appointed. In such a case, the remaining member of the board of directors (or the board of statutory auditors if all members of the board of directors have resigned or ceased to be directors) must promptly call an ordinary shareholders’ meeting to appoint new directors.</w:t>
      </w:r>
    </w:p>
    <w:p>
      <w:pPr>
        <w:spacing w:after="0" w:line="19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Compensation, Nomination and Governance Committee will recommend the compensation of our directors to our board of directors, which in turn makes recommendations to our shareholders. Under Italian law, our shareholders determine the compensation of our directors relating to basic board service, such as annual fees for serving on the board and/or fees for attending board meetings. Our board of directors, after consultation with our board of statutory auditors, may determine the remuneration of directors that serve on the various board committees and/or perform management or other special services for us, such as managing directors. Our directors are entitled to reimbursement for expenses incurred in connection with their service as directors, such as expenses incurred in travel to attend board meetings. Our articles of association and bylaws do not contain any provisions with respect to borrowing powers exercisable by our directors.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pacing w:after="0" w:line="252"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The board of statutory auditors (</w:t>
      </w:r>
      <w:r>
        <w:rPr>
          <w:rFonts w:ascii="Arial" w:cs="Arial" w:eastAsia="Arial" w:hAnsi="Arial"/>
          <w:sz w:val="17"/>
          <w:szCs w:val="17"/>
          <w:i w:val="1"/>
          <w:iCs w:val="1"/>
          <w:color w:val="auto"/>
        </w:rPr>
        <w:t>Collegio Sindacale</w:t>
      </w:r>
      <w:r>
        <w:rPr>
          <w:rFonts w:ascii="Arial" w:cs="Arial" w:eastAsia="Arial" w:hAnsi="Arial"/>
          <w:sz w:val="17"/>
          <w:szCs w:val="17"/>
          <w:color w:val="auto"/>
        </w:rPr>
        <w:t>) is elected by the shareholders and must be comprised of individuals qualified to act in such capacity under Italian law. Statutory auditors are elected for a term of three fiscal years, they may be re-elected for successive terms and may be removed only for cause and with the approval of a competent court. Each member of our board of statutory auditors must provide evidence that such individual is qualified to act in such capacity under Italian law and meets certain professional standards.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0" w:name="page161"/>
    <w:bookmarkEnd w:id="160"/>
    <w:p>
      <w:pPr>
        <w:ind w:right="40" w:firstLine="648"/>
        <w:spacing w:after="0" w:line="259" w:lineRule="auto"/>
        <w:rPr>
          <w:sz w:val="20"/>
          <w:szCs w:val="20"/>
          <w:color w:val="auto"/>
        </w:rPr>
      </w:pPr>
      <w:r>
        <w:rPr>
          <w:rFonts w:ascii="Arial" w:cs="Arial" w:eastAsia="Arial" w:hAnsi="Arial"/>
          <w:sz w:val="18"/>
          <w:szCs w:val="18"/>
          <w:color w:val="auto"/>
        </w:rPr>
        <w:t>Under Italian law, at least one standing statutory auditor and one substitute statutory auditor of a company shall be chosen among persons registered with the Register of Auditors established with the Italian Ministry of Justice. The other statutory auditors shall be chosen among those registered with any register established by decree of the Ministry of Justice or among University professors in economics or law, if they are not registered with the Register of Auditors. The following persons may not be appointed as statutory auditors:</w:t>
      </w:r>
    </w:p>
    <w:p>
      <w:pPr>
        <w:spacing w:after="0" w:line="214"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person legally incapacitated, bankrupt, or disqualified from holding public or an executive office under Italian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spouse, parent or relative-in-law of a director of the company or an affiliate of the company; and</w:t>
      </w:r>
    </w:p>
    <w:p>
      <w:pPr>
        <w:spacing w:after="0" w:line="184"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one whose independence may be impaired due to an employment or consulting relationship or any other economic relationship with the company or an affiliate of the company.</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bylaws currently provides that the board of statutory auditors shall consist of three standing statutory auditors and two alternate auditors (who will automatically replace a statutory auditor who resigns or is otherwise unable to serve).</w:t>
      </w:r>
    </w:p>
    <w:p>
      <w:pPr>
        <w:spacing w:after="0" w:line="19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Following the expiration of the above board of statutory auditors currently in force, future members will be appointed by means of a list voting system: lists may be presented by the shareholders representing at least 6% of share capital represented by ordinary shares. The list of candidates shall be split into two sections, one for the candidates for the position of statutory auditor and one for the candidates for the position of alternate auditor. According to the Company’s bylaws, the board of statutory auditors will be appointed as follows: two statutory auditors and one alternate auditor will be drawn from the list that has obtained the highest number of votes on the shareholders meeting (the Majority List), based on the progressive order in which they are listed, while one statutory auditor and one alternate auditor will be drawn from the second list, in terms of the number of votes received, that have no connection, whether direct or indirect, with the shareholders who have submitted or voted the Majority List (the Minority Lists). The statutory auditor drawn by the Minority Lists will be the chairman of the board of statutory auditors.</w:t>
      </w:r>
    </w:p>
    <w:p>
      <w:pPr>
        <w:spacing w:after="0" w:line="20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Each shareholder and shareholders belonging to the same group shall not present, or contribute to present, or vote for more than one list, including through an intermediary or trust company. Each candidate may only appear on one list or, otherwise, will be ineligible for election.</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no list is presented the shareholders shall make the necessary appointments during the shareholders meeting convened for the appointment of new members of the board of statutory auditors, by resolution passed by simple majority, upon proposal of those attending and entitled to vote, making sure that the requirements set out in the laws pro tempore in force and in the bylaws on the composition of the board of statutory auditors and, especially, on gender balance, are complied with.</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statutory auditors is required, among other things, to verify that we:</w:t>
      </w:r>
    </w:p>
    <w:p>
      <w:pPr>
        <w:spacing w:after="0" w:line="252"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comply with applicable laws and our bylaws;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respect principles of good governance;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maintain adequate organizational structure, internal controls and administrative and accounting system.</w:t>
      </w:r>
    </w:p>
    <w:p>
      <w:pPr>
        <w:spacing w:after="0" w:line="252" w:lineRule="exact"/>
        <w:rPr>
          <w:sz w:val="20"/>
          <w:szCs w:val="20"/>
          <w:color w:val="auto"/>
        </w:rPr>
      </w:pPr>
    </w:p>
    <w:p>
      <w:pPr>
        <w:jc w:val="both"/>
        <w:ind w:right="80" w:firstLine="648"/>
        <w:spacing w:after="0" w:line="287" w:lineRule="auto"/>
        <w:rPr>
          <w:sz w:val="20"/>
          <w:szCs w:val="20"/>
          <w:color w:val="auto"/>
        </w:rPr>
      </w:pPr>
      <w:r>
        <w:rPr>
          <w:rFonts w:ascii="Arial" w:cs="Arial" w:eastAsia="Arial" w:hAnsi="Arial"/>
          <w:sz w:val="16"/>
          <w:szCs w:val="16"/>
          <w:color w:val="auto"/>
        </w:rPr>
        <w:t>The board of statutory auditors is required to meet at least once every ninety days and is expected to attend meetings of our board of directors and our shareholders. In case a statutory auditor, without just cause, does not attend the shareholders’ meetings or does not attend two consecutive meetings of the board of directors or of the board of statutory auditors during the same fiscal year, such statutory auditor shall automatically be removed from office.</w:t>
      </w:r>
    </w:p>
    <w:p>
      <w:pPr>
        <w:spacing w:after="0" w:line="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Our statutory auditors may decide to call a meeting of our shareholders, ask for information about our management from our directors, carry out inspections and verifications at our offices and exchange information with our external auditors. Any shareholder may submit a complaint to our board of statutory auditors regarding facts that the shareholder believes should be investigated and if shareholders collectively representing 5% of our corporate capital, or 2% of the corporate capital should our company be classified as an Open Company (see Section “Comparison Of Italian Law And Delaware Law”) submit such a complaint, our board of statutory auditors must promptly undertake an investigation and present its findings and any recommendations to a shareholders’ meeting (which must be convened immediately if the complaint appears to have a reasonable basis and there is an urgent need to take action). Our board of statutory auditors may report serious breaches of directors’ duties to a competent court which then may take such actions as inspecting the company’s operations, removing directors, appointing temporary administrators to manage the company or any other actions that the court feels is necessary to preserve the value of our company for our creditors and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i w:val="1"/>
          <w:iCs w:val="1"/>
          <w:color w:val="auto"/>
        </w:rPr>
        <w:t>External auditor</w:t>
      </w:r>
    </w:p>
    <w:p>
      <w:pPr>
        <w:spacing w:after="0" w:line="2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Italian law requires us to appoint an external auditor or a firm of external auditors (</w:t>
      </w:r>
      <w:r>
        <w:rPr>
          <w:rFonts w:ascii="Arial" w:cs="Arial" w:eastAsia="Arial" w:hAnsi="Arial"/>
          <w:sz w:val="18"/>
          <w:szCs w:val="18"/>
          <w:i w:val="1"/>
          <w:iCs w:val="1"/>
          <w:color w:val="auto"/>
        </w:rPr>
        <w:t>revisore legale dei conti</w:t>
      </w:r>
      <w:r>
        <w:rPr>
          <w:rFonts w:ascii="Arial" w:cs="Arial" w:eastAsia="Arial" w:hAnsi="Arial"/>
          <w:sz w:val="18"/>
          <w:szCs w:val="18"/>
          <w:color w:val="auto"/>
        </w:rPr>
        <w:t>), each of them qualified to act in such capacity under Italian law, to verify during the fiscal year that our accounting records are correctly kept and accurately reflect our activities, and to audit our financial statements. The external auditor’s opinion on the financial statements must be published.</w:t>
      </w:r>
    </w:p>
    <w:p>
      <w:pPr>
        <w:spacing w:after="0" w:line="211"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The external auditor is appointed for a three-year term by the vote of our shareholders at an ordinary shareholders’ meeting. Once appointed, the shareholders may remove the auditors only for cause and with the approval of the board of statutory auditors and of a competent court. Following revocation, the Company and the external auditor or auditing firm must timely inform the Italian Ministry of Economics and Finance, explaining the reasons justifying the revocation. In case we are considered an Open Company, such communication must be served to the Consob.</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 2021, our shareholders appointed Kreston GV Italy – Audit S.r.l., as our external auditors for three-year term expiring at the time of the annual shareholders meeting to approve the financial statement for the financial year ending on December 31,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Shareholders are entitled to attend and vote at ordinary and extraordinary shareholders’ meetings. Votes may be cast personally or by proxy. Shareholders’ meetings may be called by our board of directors (or by our board of statutory auditors) and must be called if requested by holders of at least 10% of the outstanding shares. Shareholders are not entitled to request that a meeting of shareholders be convened to vote on issues which as a matter of law is falling within the authority of the board of directors. If the shareholders’ meeting is not called despite the shareholders’ request and such refusal is unjustified, a competent court may call the meeting.</w:t>
      </w:r>
    </w:p>
    <w:p>
      <w:pPr>
        <w:spacing w:after="0" w:line="21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may hold meetings of shareholders at our registered office, or elsewhere within Italy and any member state of the European Union or the United States. Our bylaws provides that we must provide written notice of meetings to our shareholders at least eight days before the date fixed for the meeting, and such notice must contain documentation necessary to inform shareholders about the topics in discussion. However, if the above procedures are not complied with, the shareholders’ meeting will still be deemed validly held if all outstanding shares are represented, all other holders having the right to vote are present and a majority of the board of directors and the board of statutory auditors are in attendance.</w:t>
      </w:r>
    </w:p>
    <w:p>
      <w:pPr>
        <w:spacing w:after="0" w:line="203"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must convene an ordinary shareholders’ meeting at least once a year. Our annual stand-alone financial statements are prepared by the board of directors and submitted for approval to the ordinary shareholders’ meeting, which must be convened within 120 days after the end of the fiscal year to which such financial statements relate. This term may be extended by up to 180 days after the end of the fiscal year, as long as the Company continues to be bound by law to draw up financial statements or if particular circumstances concerning our structure or our purposes so require. At ordinary shareholders’ meetings, our shareholders also appoint the external auditors, approve any distribution of dividends that have been proposed by our board of directors, elect our board of directors and statutory auditors, determine their remuneration and vote on any business matter for which resolution or authorization is entrusted to the shareholders by law.</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2" w:name="page163"/>
    <w:bookmarkEnd w:id="162"/>
    <w:p>
      <w:pPr>
        <w:ind w:right="40" w:firstLine="648"/>
        <w:spacing w:after="0" w:line="254" w:lineRule="auto"/>
        <w:rPr>
          <w:sz w:val="20"/>
          <w:szCs w:val="20"/>
          <w:color w:val="auto"/>
        </w:rPr>
      </w:pPr>
      <w:r>
        <w:rPr>
          <w:rFonts w:ascii="Arial" w:cs="Arial" w:eastAsia="Arial" w:hAnsi="Arial"/>
          <w:sz w:val="18"/>
          <w:szCs w:val="18"/>
          <w:color w:val="auto"/>
        </w:rPr>
        <w:t>We may call extraordinary shareholders’ meetings to vote upon split-ups, dissolutions, appointment of receivers and similar extraordinary actions. We may also call extraordinary shareholders’ meetings to vote upon proposed amendments to our bylaws, issuance of convertible debentures, mergers and de-mergers and capital increases and reductions, if the actions may not be authorized by the board of directors. The board of directors has the authority to transfer our registered office within Italy, authorize, on a non-exclusive basis, amendments to our bylaws that are required by law, authorize mergers by absorption to our subsidiaries in which we hold all or at least 90% of the outstanding shares, if the company’s bylaws (as in our case) so provide, authorize reductions of our share capital in case of withdrawal of a shareholder and indicate who among the directors is our legal representative. If the shareholders authorize the issuance of shares or other securities at an extraordinary meeting, they may delegate the power to make specific issuances to the board of directors.</w:t>
      </w:r>
    </w:p>
    <w:p>
      <w:pPr>
        <w:spacing w:after="0" w:line="219"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Once our shareholders have authorized the issuance of securities, the securities that have been subscribed must be fully paid for before the shareholders may authorize the issuance of additional securities, unless the shareholders meet and vote to cancel those authorized but unsubscribed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notice of our shareholders’ meeting may specify two or more meeting dates for an ordinary or extraordinary shareholders’ meeting.</w:t>
      </w:r>
    </w:p>
    <w:p>
      <w:pPr>
        <w:spacing w:after="0" w:line="26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quorum for an ordinary meeting of our shareholders on the first call, also in the event we are considered an Open Company, is at least 50% of the outstanding ordinary shares, while on second call there is no quorum requirement. In either case, resolutions are adopted by the majority of ordinary shares in attendance or represented at the meeting. The quorum for an extraordinary shareholders’ meeting is more than half of the outstanding ordinary shares on the first call and more than one-third of the outstanding shares on second call. Resolutions are adopted by the majority of the outstanding ordinary shares on first call and at least two-thirds of the holders of shares in attendance or represented at the meeting on second call. In the event we are considered an Open Company, the quorum for an extraordinary shareholders’ meeting is, on first call, the majority of at least two-thirds of the holders of shares present or represented at such meeting, provided that a quorum of at least half of the share capital is attending; on second call, the majority of at least two-thirds of the holders of shares present or represented at such meeting, provided that a quorum of more than one-third of the share capital is attending. In addition, certain matters (such as, for example, a change in our purpose, the transfer of our registered office outside Italy or our liquidation prior to the date set forth in our bylaws) must be adopted by shareholders representing more than one-third of the outstanding ordinary shares (not just the ordinary shares in attendance or represented at the meeting.</w:t>
      </w:r>
    </w:p>
    <w:p>
      <w:pPr>
        <w:spacing w:after="0" w:line="20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Shareholders are entitled to one vote per ordinary share. Neither Italian law nor our bylaws limit the right of non-resident or foreign owners to hold or vote their shares. Shareholders do not need to present their share certificates (due to the fact that our shares are not represented by share certificates) but the entitlement to attend the meetings is then proven by exhibition of the certificate or communication to the Company made by the intermediary (banks and other financial institutions) which manages the electronical register whereby ownership of the shares, their transfer, the related rights and restrictions on shares (if any) are recorded.</w:t>
      </w:r>
    </w:p>
    <w:p>
      <w:pPr>
        <w:spacing w:after="0" w:line="21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Shareholders may appoint attorneys-in-fact by delivering in writing the proxies to represent them in an ordinary or extraordinary shareholders’ meeting. Our directors, auditors and employees may not be proxies. Italian law provides that no proxy may represent more than twenty shareholders prior to the company “seeking access to the risk capital market.” It is unsettled whether listing shares on a stock exchange outside of the European Union constitutes “seeking access to the risk capital market for this purpose.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Pursuant to Italian law, holders of outstanding ordinary shares and convertible debentures are entitled to subscribe for issuance of ordinary shares or convertible debentures in proportion to their holdings at the time that the shareholders authorize the capital increase for those issuances, unless those issuances are for non-cash considerations. Those who exercise the preemptive right, provided they make such request simultaneously, have a pre-emption right on the purchase of shares and debentures convertible into shares that have not been subscribed. The preemptive rights may be excluded or limited by resolution of the shareholders at an extraordinary meeting of shareholders, or by a board of directors if the bylaws delegate such power to the board of directors (including the power to exclude or limit the preemptive right), and provided that such exclusion or limitation is in the interest of the company, or if the shares are to be paid by means of contributions in kind. According to Italian law proposals to increase share capital with exclusion or limitation of preemptive rights must be illustrated by the directors with a specific report which handles the reasons for the exclusion or limitation of the option right, or, if the exclusion derives from a contribution in kind, the reasons for such contribution in kind, and in any case the criteria adopted for determining the issue price. The report must be communicated by the directors to the board of statutory auditors and to the person appointed to audit the accounts at least thirty days prior to the date set for the shareholders’ meeting. Within fifteen days, the board of statutory auditors must express its opinion on the fairness of the issue price of the shares. The opinion of the board of statutory auditors and, only in the case of contribution in kind, the sworn report of the expert appointed by the Court or the documentation provided by Italian law, must remain deposited at the company’s registered office during the fifteen days prior to the shareholders’ meeting and until the latter has passed a resolution. The resolution shall determine the issue price of the shares on the basis of the value of shareholders’ equity, taking into account, in the case of shares listed on regulated markets, also the trend in prices over the last six months. The foregoing procedure shall apply also in case of capital increase delegated to the board of directors.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i w:val="1"/>
          <w:iCs w:val="1"/>
          <w:color w:val="auto"/>
        </w:rPr>
        <w:t>Preference shares; other securities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Italian law permits us to issue preference shares with limited voting rights, other classes of equity securities with different economic and voting rights, shares with economic rights related to the results of the corporate activity in a specific sector, to issue “participation instruments” with limited economic and voting rights against the contribution, by shareholders or third-parties, of work or services, as well as “participation instruments” in favor of employees.</w:t>
      </w:r>
    </w:p>
    <w:p>
      <w:pPr>
        <w:spacing w:after="0" w:line="214"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Our bylaws allow us to issue shares without voting rights, with voting rights limited to particular subjects, with voting rights subject to the occurrence of particular conditions not merely arbitrary or with multiple voting rights (each multiple voting right share may have a maximum of three votes). According to Italian law, the total value of such shares may not exceed half of the share capital. Our bylaws also provides that, in relation to the quantity of shares held by the same party, the voting right may be limited to a maximum extent or may be staggered.</w:t>
      </w:r>
    </w:p>
    <w:p>
      <w:pPr>
        <w:spacing w:after="0" w:line="198"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“Participation instruments”, which may include, for example, convertible equity and/or “hybrid” instruments endow the right to vote on specific matters and/or grant economic rights, to be determined at the time of the issuance of such instruments, or administrative rights, such as the right to appoint, in accordance with the procedures established by the bylaws, an independent member of the board of directors or a statutory auditor.</w:t>
      </w:r>
    </w:p>
    <w:p>
      <w:pPr>
        <w:spacing w:after="0" w:line="17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bylaws currently allow us to issue these securities. We may also issue convertible and non-convertible debt securities. In order to issue convertible debt securities, our board of directors would need to recommend to our shareholders that they approve the issuance of particular securities in connection with a capital increase, and the shareholders would need to vote to approve such an issuance and capital increase at an extraordinary meeting. The board of directors would also need to recommend, and the shareholders would need to approve by vote at the extraordinary meeting, specific terms of the securities. The shareholders may vote at the extraordinary shareholders’ meeting to delegate authority to the board of directors to issue those securities from time to time, but not for more than five years from the date of the extraordinary shareholders’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Debt-equity ratio</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Italian law provides that we may not issue debt securities for an amount exceeding twice the value of the sum of our equity capital, our legal reserve and any other disposable reserves appearing on the latest balance sheet approved by our shareholders. The board of statutory auditors must certify compliance with such limitation. This limitation may be exceeded if the debt securities issued in excess are intended for subscription by professional investors subject to prudential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 The legal reserve is a reserve to which we are required to allocate 5% of our Italian GAAP net income each year until it equals at least 20% of our equity capital. One of the other reserves that we maintain on our balance sheet is a “share premium reserve”, meaning amounts paid for our ordinary shares in excess of the amount of such ordinary shares that is allocated to stated capital (</w:t>
      </w:r>
      <w:r>
        <w:rPr>
          <w:rFonts w:ascii="Arial" w:cs="Arial" w:eastAsia="Arial" w:hAnsi="Arial"/>
          <w:sz w:val="16"/>
          <w:szCs w:val="16"/>
          <w:i w:val="1"/>
          <w:iCs w:val="1"/>
          <w:color w:val="auto"/>
        </w:rPr>
        <w:t>valore nominale</w:t>
      </w:r>
      <w:r>
        <w:rPr>
          <w:rFonts w:ascii="Arial" w:cs="Arial" w:eastAsia="Arial" w:hAnsi="Arial"/>
          <w:sz w:val="16"/>
          <w:szCs w:val="16"/>
          <w:color w:val="auto"/>
        </w:rPr>
        <w:t>). Until our outstanding debt securities are repaid in full, we may not voluntarily reduce our equity capital or distribute our reserves (such as by declaring dividends) in the event the aggregate of the capital plus reserves, after giving effect to such reduction, is less than half of the outstanding amount of the debt securities. If our equity capital is reduced by losses or otherwise such that the amount of the outstanding debt securities is more than twice the amount of our equity capital, we cannot distribute profits to our shareholders until the ratio between the amount of our debt securities and our equity capital plus reserves is restored. If our equity capital is reduced, we could recapitalize by means of issuing new shares or having our current shareholders contribute additional capital to our company, although there can be no assurance that we would be able to find purchasers for new shares or that any of our current shareholders would be willing to contribute additional capital. The legal requirements regarding the ratio of debt securities to equity capital plus reserves do not apply to issuances of debt securities to professional investors (as defined by Italian law). However, in such a case, should the professional investors transfer such debt securities to third parties not qualified as professional investors, the former remains liable for the payment of such securities.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i w:val="1"/>
          <w:iCs w:val="1"/>
          <w:color w:val="auto"/>
        </w:rPr>
        <w:t>Reduction of equity by losses</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Italian law requires us to reduce our shareholders’ equity in certain situations. Our shareholders’ equity has three main components: capital, legal reserves and other shareholders’ equity (such as any share premium and any retained earnings). We first apply our losses from operations against our shareholders’ equity other than legal reserves and capital. If additional losses remain and, after the legal reserves, our corporate capital is reduced by more than one-third, our board of directors must call a shareholders’ meeting as soon as possible. The shareholders should take appropriate measures, which may include, inter alia, either reducing the legal reserves and capital by the amount of the remaining losses, or carrying the losses forward for up to one year. If the shareholders vote to elect to carry the losses forward up to one year, and the losses are still more than one-third of the amount of the capital at the end of the year, then we must reduce our capital by the amount of the losses.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present intention to enter into any such transaction and no such transaction is currently in effect.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Pursuant to Italian law and subject to the satisfaction of the claims of all creditors, our shareholders are entitled to a distribution in liquidation that is equal to an amount resulting from the division of the positive liquidation balance by the number of shares (to the extent available out of our net assets). Preferred shareholders and holders of “participating certificates” typically do not participate in the distribution of assets of a dissolved corporation beyond their established contractual preferences. Once the rights of preferred shareholders and holders of participating certificates and the claims of all creditors have been fully satisfied, holders of ordinary shares are entitled to the distribution of any remaining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shares by us (Treasury Stocks)</w:t>
      </w:r>
    </w:p>
    <w:p>
      <w:pPr>
        <w:spacing w:after="0" w:line="252" w:lineRule="exact"/>
        <w:rPr>
          <w:sz w:val="20"/>
          <w:szCs w:val="20"/>
          <w:color w:val="auto"/>
        </w:rPr>
      </w:pPr>
    </w:p>
    <w:p>
      <w:pPr>
        <w:ind w:right="380" w:firstLine="648"/>
        <w:spacing w:after="0" w:line="296" w:lineRule="auto"/>
        <w:rPr>
          <w:sz w:val="20"/>
          <w:szCs w:val="20"/>
          <w:color w:val="auto"/>
        </w:rPr>
      </w:pPr>
      <w:r>
        <w:rPr>
          <w:rFonts w:ascii="Arial" w:cs="Arial" w:eastAsia="Arial" w:hAnsi="Arial"/>
          <w:sz w:val="16"/>
          <w:szCs w:val="16"/>
          <w:color w:val="auto"/>
        </w:rPr>
        <w:t>We are permitted to purchase our outstanding shares, subject to certain conditions and limitations provided for by Italian law. We may only purchase the shares out of profits available for dividends or out of distributable reserves, in each case as appearing on the latest shareholder-approved financial statements; in lack, the shares in excess must be cancelled and the corporate capital must be reduced accordingly. Further, we may only repurchase fully paid-in shares. Such purchases and the conditions thereto must be authorized by our shareholders by vote at an ordinary shareholders’ meeting and the authorization may be issued for a period not exceeding the term of eighteen (18) months.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corresponding reserve equal to the purchase price of such shares must be created in the balance sheet, and such reserve is not available for distribution, unless such shares are sold or cancelled. Shares purchased and held by us may be resold only pursuant to a resolution of our shareholders adopted at an ordinary shareholders’ meeting. The voting rights attaching to the shares held by us or our subsidiaries cannot be exercised, but the shares can be counted for quorum purposes in shareholders’ meetings. Dividends and other rights, including pre-emptive rights, attaching to such shares will accrue to the benefit of other shareholders.</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foregoing limitations do not apply in case we purchase our shares: (i) by giving execution to shareholders’ meeting resolution authorizing capital reduction through repurchase or cancellation; (ii) for free, to the extent they are fully paid-in; (iii) as a consequence of universal succession, merger or demerger; (iv) on occasion of foreclosures authorized to satisfy a credit of our company, to the extent they are fully paid-in.</w:t>
      </w:r>
    </w:p>
    <w:p>
      <w:pPr>
        <w:spacing w:after="0" w:line="19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quorum required for the constitution and for the resolutions of the shareholders’ meetings.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hold any of its ordinary shares.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i w:val="1"/>
          <w:iCs w:val="1"/>
          <w:color w:val="auto"/>
        </w:rPr>
        <w:t>Notification of the acquisition of shares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accordance with Italian antitrust laws, the Italian Antitrust Authority could prohibit, if certain threshold requirements are met, the acquisition of control in a company which would thereby create or strengthen a dominant position in the domestic market or a significant part thereof and which would result in the elimination or substantial reduction, on a lasting basis, of competition, provided that certain turnover thresholds are exceeded. However, if the turnover of the acquiring party and the company to be acquired exceed certain other monetary thresholds, the antitrust review of the acquisition falls within the exclusive jurisdiction of the European Commission.</w:t>
      </w:r>
    </w:p>
    <w:p>
      <w:pPr>
        <w:spacing w:after="0" w:line="215"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 xml:space="preserve">In addition, if we fall under the scope of the Law Decree No. 21 of March 15, 2012 (Italian Golden Power regulation), as subsequently amended and supplemented, (i) certain resolutions of the Company and, if specific thresholds requirements are met, (ii) certain third-party investors’ purchases of our shares may be subject to </w:t>
      </w:r>
      <w:r>
        <w:rPr>
          <w:rFonts w:ascii="Arial" w:cs="Arial" w:eastAsia="Arial" w:hAnsi="Arial"/>
          <w:sz w:val="16"/>
          <w:szCs w:val="16"/>
          <w:i w:val="1"/>
          <w:iCs w:val="1"/>
          <w:color w:val="auto"/>
        </w:rPr>
        <w:t>ad hoc</w:t>
      </w:r>
      <w:r>
        <w:rPr>
          <w:rFonts w:ascii="Arial" w:cs="Arial" w:eastAsia="Arial" w:hAnsi="Arial"/>
          <w:sz w:val="16"/>
          <w:szCs w:val="16"/>
          <w:color w:val="auto"/>
        </w:rPr>
        <w:t xml:space="preserve"> notifications to the Italian Government and this latter may object to the transaction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particular, in such cases the Government would have, </w:t>
      </w:r>
      <w:r>
        <w:rPr>
          <w:rFonts w:ascii="Arial" w:cs="Arial" w:eastAsia="Arial" w:hAnsi="Arial"/>
          <w:sz w:val="18"/>
          <w:szCs w:val="18"/>
          <w:i w:val="1"/>
          <w:iCs w:val="1"/>
          <w:color w:val="auto"/>
        </w:rPr>
        <w:t>inter alia</w:t>
      </w:r>
      <w:r>
        <w:rPr>
          <w:rFonts w:ascii="Arial" w:cs="Arial" w:eastAsia="Arial" w:hAnsi="Arial"/>
          <w:sz w:val="18"/>
          <w:szCs w:val="18"/>
          <w:color w:val="auto"/>
        </w:rPr>
        <w:t>:</w:t>
      </w:r>
    </w:p>
    <w:p>
      <w:pPr>
        <w:spacing w:after="0" w:line="252" w:lineRule="exact"/>
        <w:rPr>
          <w:sz w:val="20"/>
          <w:szCs w:val="20"/>
          <w:color w:val="auto"/>
        </w:rPr>
      </w:pPr>
    </w:p>
    <w:p>
      <w:pPr>
        <w:ind w:right="420" w:firstLine="656"/>
        <w:spacing w:after="0" w:line="277" w:lineRule="auto"/>
        <w:tabs>
          <w:tab w:leader="none" w:pos="86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power to veto or to impose specific conditions with respect to the acquisition of certain shareholdings by any foreign entity outside the European Union, in companies having assets and relations in sectors of strategic importance; and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power to veto or impose specific conditions with regard to the adoption of specific corporate resolutions, acts or transactions by the same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shareholders’ rights; withdrawal rights</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Shareholders’ resolutions which are not adopted in conformity with applicable law or our bylaws may be challenged (with certain limitations and exceptions) within ninety days of such resolution (or, if such resolution is subject to registration or filing with the Italian Company Register, within ninety days of its registration or filing) by absent, dissenting or abstaining shareholders representing individually or in the aggregate at least 5% of our share capital (as well as by our board of directors or our board of statutory auditors). Shareholders not reaching this threshold or shareholders not entitled to vote at our meetings may only claim damages arising from the challenged resolution.</w:t>
      </w:r>
    </w:p>
    <w:p>
      <w:pPr>
        <w:spacing w:after="0" w:line="21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Dissenting or absent shareholders may withdraw from the company as a result of shareholders’ resolutions approving, among other things, material modifications of our corporate purpose or of the voting rights of our ordinary shares, our transformation from a share corporation into a different legal entity or the transfer of our registered seat outside Italy. In such a case, our other shareholders would have a pre-emptive right to purchase the shares of the withdrawing shareholder. Should no shareholder exercise that pre-emptive right, the shares must be offered to third parties or, in the absence of any third party wishing to buy them, they will be purchased by us by using the available reserves. In the event that no reserve is available, our equity capital must be reduced accordingly. Any repurchase of such shares by us must be on terms authorized by our board of directors, upon consultation with our board of statutory auditors and our external auditor, having regard to our net asset value, our prospective earnings and the market value of our ordinary shares, if any. Under Italian law, we may set forth different criteria in our bylaws for the consideration to be paid to withdrawing shareholders. We have not done so as of the date of this registration statement.</w:t>
      </w:r>
    </w:p>
    <w:p>
      <w:pPr>
        <w:spacing w:after="0" w:line="20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Each shareholder may bring to the attention of the board of statutory auditors facts or acts which such shareholder deems wrongful. If such shareholders represent at least 5% of our share capital, or in case we are considered an Open Company 2% of the same, our board of statutory auditors must investigate without delay and report its findings and recommendations at our shareholders’ meeting. Shareholders representing more than 10% of our share capital, or, in case we are considered an Open Company one-twentieth, have the right to report to the competent court serious breaches of the duties of the directors which may be prejudicial to us or to our subsidiaries. In addition, shareholders representing at least 20% of our share capital may commence derivative suits before the competent court against our directors, statutory auditors and general managers. We may waive or settle the suit unless shareholders holding at least 20% of the shares vote against such waiver or settlement. We will reimburse the legal costs of such action in the event that the claim of such shareholder is successful and the court does not award such costs against the relevant directors, statutory auditors or general managers.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Applicable Laws</w:t>
      </w:r>
    </w:p>
    <w:p>
      <w:pPr>
        <w:spacing w:after="0" w:line="25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 of the date of this prospectus and upon completion of the contemplated initial public offering of our ADS, our Company is and will be governed by the corporate laws of Italy, and is and will be legally considered and treated, according to the Italian Civil Code, as a private company being our shares not listed on a regulated market in Italy or within the European Union.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For the purpose of the present section, it is appropriate to specify that our Italian corporate legal framework, while regulating joint-stock companies as a unitary type, draws a distinction between those companies that do not have access to the capital markets (hereinafter referred to as the </w:t>
      </w:r>
      <w:r>
        <w:rPr>
          <w:rFonts w:ascii="Arial" w:cs="Arial" w:eastAsia="Arial" w:hAnsi="Arial"/>
          <w:sz w:val="17"/>
          <w:szCs w:val="17"/>
          <w:b w:val="1"/>
          <w:bCs w:val="1"/>
          <w:i w:val="1"/>
          <w:iCs w:val="1"/>
          <w:color w:val="auto"/>
        </w:rPr>
        <w:t>Private Companies</w:t>
      </w:r>
      <w:r>
        <w:rPr>
          <w:rFonts w:ascii="Arial" w:cs="Arial" w:eastAsia="Arial" w:hAnsi="Arial"/>
          <w:sz w:val="17"/>
          <w:szCs w:val="17"/>
          <w:color w:val="auto"/>
        </w:rPr>
        <w:t>) and companies that instead do have it. This latter category comprises both companies listed on European regulated markets (</w:t>
      </w:r>
      <w:r>
        <w:rPr>
          <w:rFonts w:ascii="Arial" w:cs="Arial" w:eastAsia="Arial" w:hAnsi="Arial"/>
          <w:sz w:val="17"/>
          <w:szCs w:val="17"/>
          <w:b w:val="1"/>
          <w:bCs w:val="1"/>
          <w:i w:val="1"/>
          <w:iCs w:val="1"/>
          <w:color w:val="auto"/>
        </w:rPr>
        <w:t>Public Companies</w:t>
      </w:r>
      <w:r>
        <w:rPr>
          <w:rFonts w:ascii="Arial" w:cs="Arial" w:eastAsia="Arial" w:hAnsi="Arial"/>
          <w:sz w:val="17"/>
          <w:szCs w:val="17"/>
          <w:color w:val="auto"/>
        </w:rPr>
        <w:t>) and companies whose securities are not listed on such markets, insofar as they have a significant distribution of their securities among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(so-called “</w:t>
      </w:r>
      <w:r>
        <w:rPr>
          <w:rFonts w:ascii="Arial" w:cs="Arial" w:eastAsia="Arial" w:hAnsi="Arial"/>
          <w:sz w:val="17"/>
          <w:szCs w:val="17"/>
          <w:i w:val="1"/>
          <w:iCs w:val="1"/>
          <w:color w:val="auto"/>
        </w:rPr>
        <w:t>emittenti aventi strumenti finanziari diffusi tra il pubblico in maniera rilevante</w:t>
      </w:r>
      <w:r>
        <w:rPr>
          <w:rFonts w:ascii="Arial" w:cs="Arial" w:eastAsia="Arial" w:hAnsi="Arial"/>
          <w:sz w:val="17"/>
          <w:szCs w:val="17"/>
          <w:color w:val="auto"/>
        </w:rPr>
        <w:t xml:space="preserve">”), according to the relevant provisions set forth in Italian Financials’ Consolidated Act and its implementing provisions (hereinafter referred to as the </w:t>
      </w:r>
      <w:r>
        <w:rPr>
          <w:rFonts w:ascii="Arial" w:cs="Arial" w:eastAsia="Arial" w:hAnsi="Arial"/>
          <w:sz w:val="17"/>
          <w:szCs w:val="17"/>
          <w:b w:val="1"/>
          <w:bCs w:val="1"/>
          <w:i w:val="1"/>
          <w:iCs w:val="1"/>
          <w:color w:val="auto"/>
        </w:rPr>
        <w:t>Open Companies</w:t>
      </w:r>
      <w:r>
        <w:rPr>
          <w:rFonts w:ascii="Arial" w:cs="Arial" w:eastAsia="Arial" w:hAnsi="Arial"/>
          <w:sz w:val="17"/>
          <w:szCs w:val="17"/>
          <w:color w:val="auto"/>
        </w:rPr>
        <w:t>).</w:t>
      </w:r>
    </w:p>
    <w:p>
      <w:pPr>
        <w:spacing w:after="0" w:line="2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Article 2-bis of the Issuer’s Regulation implemented by Consob (</w:t>
      </w:r>
      <w:r>
        <w:rPr>
          <w:rFonts w:ascii="Arial" w:cs="Arial" w:eastAsia="Arial" w:hAnsi="Arial"/>
          <w:sz w:val="18"/>
          <w:szCs w:val="18"/>
          <w:i w:val="1"/>
          <w:iCs w:val="1"/>
          <w:color w:val="auto"/>
        </w:rPr>
        <w:t>Regolamento emittenti</w:t>
      </w:r>
      <w:r>
        <w:rPr>
          <w:rFonts w:ascii="Arial" w:cs="Arial" w:eastAsia="Arial" w:hAnsi="Arial"/>
          <w:sz w:val="18"/>
          <w:szCs w:val="18"/>
          <w:color w:val="auto"/>
        </w:rPr>
        <w:t>), Open Companies must meet the following requirements:</w:t>
      </w:r>
    </w:p>
    <w:p>
      <w:pPr>
        <w:spacing w:after="0" w:line="197" w:lineRule="exact"/>
        <w:rPr>
          <w:sz w:val="20"/>
          <w:szCs w:val="20"/>
          <w:color w:val="auto"/>
        </w:rPr>
      </w:pPr>
    </w:p>
    <w:p>
      <w:pPr>
        <w:ind w:left="980" w:right="40" w:hanging="324"/>
        <w:spacing w:after="0" w:line="277" w:lineRule="auto"/>
        <w:tabs>
          <w:tab w:leader="none" w:pos="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having shareholders other than the majority shareholders accounting for more than 500, and holding overall at least a 5% participation in the corporate capital; and</w:t>
      </w:r>
    </w:p>
    <w:p>
      <w:pPr>
        <w:spacing w:after="0" w:line="150" w:lineRule="exact"/>
        <w:rPr>
          <w:rFonts w:ascii="Arial" w:cs="Arial" w:eastAsia="Arial" w:hAnsi="Arial"/>
          <w:sz w:val="18"/>
          <w:szCs w:val="18"/>
          <w:color w:val="auto"/>
        </w:rPr>
      </w:pPr>
    </w:p>
    <w:p>
      <w:pPr>
        <w:ind w:left="980" w:hanging="324"/>
        <w:spacing w:after="0"/>
        <w:tabs>
          <w:tab w:leader="none" w:pos="980" w:val="left"/>
        </w:tabs>
        <w:numPr>
          <w:ilvl w:val="0"/>
          <w:numId w:val="121"/>
        </w:numPr>
        <w:rPr>
          <w:rFonts w:ascii="Arial" w:cs="Arial" w:eastAsia="Arial" w:hAnsi="Arial"/>
          <w:sz w:val="36"/>
          <w:szCs w:val="36"/>
          <w:color w:val="auto"/>
          <w:vertAlign w:val="superscript"/>
        </w:rPr>
      </w:pPr>
      <w:r>
        <w:rPr>
          <w:rFonts w:ascii="Arial" w:cs="Arial" w:eastAsia="Arial" w:hAnsi="Arial"/>
          <w:sz w:val="18"/>
          <w:szCs w:val="18"/>
          <w:color w:val="auto"/>
        </w:rPr>
        <w:t>exceeding two out of three limits indicated under the first subsection of Article 2435-</w:t>
      </w:r>
      <w:r>
        <w:rPr>
          <w:rFonts w:ascii="Arial" w:cs="Arial" w:eastAsia="Arial" w:hAnsi="Arial"/>
          <w:sz w:val="18"/>
          <w:szCs w:val="18"/>
          <w:i w:val="1"/>
          <w:iCs w:val="1"/>
          <w:color w:val="auto"/>
        </w:rPr>
        <w:t>bis</w:t>
      </w:r>
      <w:r>
        <w:rPr>
          <w:rFonts w:ascii="Arial" w:cs="Arial" w:eastAsia="Arial" w:hAnsi="Arial"/>
          <w:sz w:val="18"/>
          <w:szCs w:val="18"/>
          <w:color w:val="auto"/>
        </w:rPr>
        <w:t xml:space="preserve"> of the Italian Civil Code</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10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Based on the foregoing, in the event that, following completion of the initial public offering, our Company issues financial instruments widely distributed among the public, the regulation relating to Open Companies could apply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reserved the symbol “GNTA” for purposes of listing the ADSs on the Nasdaq Capital Market and plan to apply to list the ADSs on the Nasdaq Capital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ectPr>
          <w:pgSz w:w="11900" w:h="16838" w:orient="portrait"/>
          <w:cols w:equalWidth="0" w:num="1">
            <w:col w:w="11140"/>
          </w:cols>
          <w:pgMar w:left="320" w:top="715" w:right="439" w:bottom="1440" w:gutter="0" w:footer="0" w:header="0"/>
        </w:sectPr>
      </w:pP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share register is currently kept by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14312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which acts as transfer agent and registrar. The share register reflects only record owners of our</w:t>
      </w:r>
    </w:p>
    <w:p>
      <w:pPr>
        <w:spacing w:after="0" w:line="493" w:lineRule="exact"/>
        <w:rPr>
          <w:sz w:val="20"/>
          <w:szCs w:val="20"/>
          <w:color w:val="auto"/>
        </w:rPr>
      </w:pPr>
    </w:p>
    <w:p>
      <w:pPr>
        <w:sectPr>
          <w:pgSz w:w="11900" w:h="16838" w:orient="portrait"/>
          <w:cols w:equalWidth="0" w:num="2">
            <w:col w:w="3480" w:space="720"/>
            <w:col w:w="6940"/>
          </w:cols>
          <w:pgMar w:left="320" w:top="715" w:right="439" w:bottom="1440" w:gutter="0" w:footer="0" w:header="0"/>
          <w:type w:val="continuous"/>
        </w:sect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26"/>
          <w:szCs w:val="26"/>
          <w:color w:val="auto"/>
          <w:vertAlign w:val="superscript"/>
        </w:rPr>
        <w:t>2</w:t>
      </w:r>
      <w:r>
        <w:rPr>
          <w:rFonts w:ascii="Arial" w:cs="Arial" w:eastAsia="Arial" w:hAnsi="Arial"/>
          <w:sz w:val="16"/>
          <w:szCs w:val="16"/>
          <w:color w:val="auto"/>
        </w:rPr>
        <w:t>Article 2435-</w:t>
      </w:r>
      <w:r>
        <w:rPr>
          <w:rFonts w:ascii="Arial" w:cs="Arial" w:eastAsia="Arial" w:hAnsi="Arial"/>
          <w:sz w:val="16"/>
          <w:szCs w:val="16"/>
          <w:i w:val="1"/>
          <w:iCs w:val="1"/>
          <w:color w:val="auto"/>
        </w:rPr>
        <w:t>bis</w:t>
      </w:r>
      <w:r>
        <w:rPr>
          <w:rFonts w:ascii="Arial" w:cs="Arial" w:eastAsia="Arial" w:hAnsi="Arial"/>
          <w:sz w:val="16"/>
          <w:szCs w:val="16"/>
          <w:color w:val="auto"/>
        </w:rPr>
        <w:t xml:space="preserve"> of the Italian Civil Code provides the following requirements:</w:t>
      </w:r>
    </w:p>
    <w:p>
      <w:pPr>
        <w:spacing w:after="0" w:line="197"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balance sheet total assets side: Eur 4,400,000;</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total revenues coming out from sales and services: Eur 8,800,000;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average number of employees during the accounting period: 50 units.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type w:val="continuous"/>
        </w:sectPr>
      </w:pPr>
    </w:p>
    <w:bookmarkStart w:id="167" w:name="page168"/>
    <w:bookmarkEnd w:id="167"/>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5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Bank of New York Mellon, as depositary, will register and deliver American Depositary Shares, also referred to as ADSs. Each ADS will represent one share (or a right to receive one share) deposited with The Bank of New York Mellon, as custodian, acting through an office located in the United Kingdom.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5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Italian law governs shareholder rights. The depositary will be the holder of the shares underlying ythe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98"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Directions on how to obtain copies of those documents are provided under the heading “Where You Can Find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5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The depositary may distribute additional ADSs representing any shares we distribute as a dividend or free distribution. The depositary will</w:t>
      </w:r>
      <w:r>
        <w:rPr>
          <w:rFonts w:ascii="Arial" w:cs="Arial" w:eastAsia="Arial" w:hAnsi="Arial"/>
          <w:sz w:val="18"/>
          <w:szCs w:val="18"/>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68" w:name="page169"/>
    <w:bookmarkEnd w:id="168"/>
    <w:p>
      <w:pPr>
        <w:ind w:firstLine="648"/>
        <w:spacing w:after="0" w:line="290" w:lineRule="auto"/>
        <w:rPr>
          <w:sz w:val="20"/>
          <w:szCs w:val="20"/>
          <w:color w:val="auto"/>
        </w:rPr>
      </w:pPr>
      <w:r>
        <w:rPr>
          <w:rFonts w:ascii="Arial" w:cs="Arial" w:eastAsia="Arial" w:hAnsi="Arial"/>
          <w:sz w:val="16"/>
          <w:szCs w:val="16"/>
          <w:i w:val="1"/>
          <w:iCs w:val="1"/>
          <w:color w:val="auto"/>
        </w:rPr>
        <w:t>Rights to purchase additional shares</w:t>
      </w:r>
      <w:r>
        <w:rPr>
          <w:rFonts w:ascii="Arial" w:cs="Arial" w:eastAsia="Arial" w:hAnsi="Arial"/>
          <w:sz w:val="16"/>
          <w:szCs w:val="16"/>
          <w:color w:val="auto"/>
        </w:rPr>
        <w:t>. If we offer holders of our securities any rights to subscribe for additional shares or any other rights,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Other Distributions</w:t>
      </w:r>
      <w:r>
        <w:rPr>
          <w:rFonts w:ascii="Arial" w:cs="Arial" w:eastAsia="Arial" w:hAnsi="Arial"/>
          <w:sz w:val="17"/>
          <w:szCs w:val="17"/>
          <w:color w:val="auto"/>
        </w:rPr>
        <w:t>. The depositary will send to ADS holders anything else we distribute on deposited securities by any means it thinks is legal,</w:t>
      </w:r>
      <w:r>
        <w:rPr>
          <w:rFonts w:ascii="Arial" w:cs="Arial" w:eastAsia="Arial" w:hAnsi="Arial"/>
          <w:sz w:val="17"/>
          <w:szCs w:val="17"/>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0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52"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Voting Rights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Italy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204"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Except by instructing the depositary as described above, you will not be able to exercise voting rights unless you surrender the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211"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176"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52" w:lineRule="exact"/>
        <w:rPr>
          <w:sz w:val="20"/>
          <w:szCs w:val="20"/>
          <w:color w:val="auto"/>
        </w:rPr>
      </w:pPr>
    </w:p>
    <w:p>
      <w:pPr>
        <w:ind w:left="1080"/>
        <w:spacing w:after="0"/>
        <w:tabs>
          <w:tab w:leader="none" w:pos="8680" w:val="left"/>
        </w:tabs>
        <w:rPr>
          <w:sz w:val="20"/>
          <w:szCs w:val="20"/>
          <w:color w:val="auto"/>
        </w:rPr>
      </w:pPr>
      <w:r>
        <w:rPr>
          <w:rFonts w:ascii="Arial" w:cs="Arial" w:eastAsia="Arial" w:hAnsi="Arial"/>
          <w:sz w:val="14"/>
          <w:szCs w:val="14"/>
          <w:b w:val="1"/>
          <w:bCs w:val="1"/>
          <w:i w:val="1"/>
          <w:iCs w:val="1"/>
          <w:color w:val="auto"/>
        </w:rPr>
        <w:t>Persons depositing or withdrawing shares or ADS holders must pay:</w:t>
      </w:r>
      <w:r>
        <w:rPr>
          <w:sz w:val="20"/>
          <w:szCs w:val="20"/>
          <w:color w:val="auto"/>
        </w:rPr>
        <w:tab/>
      </w:r>
      <w:r>
        <w:rPr>
          <w:rFonts w:ascii="Arial" w:cs="Arial" w:eastAsia="Arial" w:hAnsi="Arial"/>
          <w:sz w:val="13"/>
          <w:szCs w:val="13"/>
          <w:b w:val="1"/>
          <w:bCs w:val="1"/>
          <w:i w:val="1"/>
          <w:i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 fee equivalent to the fee that would be payable if securities distributed to you had been shares and the shares had been deposited for issuance of ADSs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 per calendar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 Cancellation of ADSs for the purpose of withdrawal, including if the deposit agreement terminates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securities distributed to holders of deposited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securities (including rights) that are distributed by the depositary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Cable (including SWIFT) and facsimile transmissions (when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expressly provided in the deposit agreement)Converting foreign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currency to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ectPr>
          <w:pgSz w:w="11900" w:h="16838" w:orient="portrait"/>
          <w:cols w:equalWidth="0" w:num="2">
            <w:col w:w="6040" w:space="380"/>
            <w:col w:w="4800"/>
          </w:cols>
          <w:pgMar w:left="320" w:top="715" w:right="359" w:bottom="1440" w:gutter="0" w:footer="0" w:header="0"/>
          <w:type w:val="continuous"/>
        </w:sectPr>
      </w:pPr>
    </w:p>
    <w:bookmarkStart w:id="170" w:name="page171"/>
    <w:bookmarkEnd w:id="170"/>
    <w:p>
      <w:pPr>
        <w:ind w:firstLine="648"/>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222"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5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 charges are paid. It may apply payments owed to you or sell deposited securities represented by the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25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1" w:name="page172"/>
    <w:bookmarkEnd w:id="171"/>
    <w:p>
      <w:pPr>
        <w:ind w:right="20" w:firstLine="648"/>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21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21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5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w:t>
      </w:r>
      <w:r>
        <w:rPr>
          <w:rFonts w:ascii="Arial" w:cs="Arial" w:eastAsia="Arial" w:hAnsi="Arial"/>
          <w:sz w:val="17"/>
          <w:szCs w:val="17"/>
          <w:i w:val="1"/>
          <w:iCs w:val="1"/>
          <w:color w:val="auto"/>
        </w:rPr>
        <w:t>the</w:t>
      </w:r>
      <w:r>
        <w:rPr>
          <w:rFonts w:ascii="Arial" w:cs="Arial" w:eastAsia="Arial" w:hAnsi="Arial"/>
          <w:sz w:val="17"/>
          <w:szCs w:val="17"/>
          <w:color w:val="auto"/>
        </w:rPr>
        <w:t xml:space="preserve"> ADSs, to agree to the amendment and to be bound by the ADRs and the deposit agreement as amended.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197" w:lineRule="exact"/>
        <w:rPr>
          <w:sz w:val="20"/>
          <w:szCs w:val="20"/>
          <w:color w:val="auto"/>
        </w:rPr>
      </w:pPr>
    </w:p>
    <w:p>
      <w:pPr>
        <w:ind w:left="660" w:hanging="328"/>
        <w:spacing w:after="0"/>
        <w:tabs>
          <w:tab w:leader="none" w:pos="6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60 days have passed since the depositary told us it wants to resign but a successor depositary has not been appointed and accepted its appointment;</w:t>
      </w:r>
    </w:p>
    <w:p>
      <w:pPr>
        <w:spacing w:after="0" w:line="286" w:lineRule="exact"/>
        <w:rPr>
          <w:rFonts w:ascii="Arial" w:cs="Arial" w:eastAsia="Arial" w:hAnsi="Arial"/>
          <w:sz w:val="15"/>
          <w:szCs w:val="15"/>
          <w:color w:val="auto"/>
        </w:rPr>
      </w:pPr>
    </w:p>
    <w:p>
      <w:pPr>
        <w:ind w:left="980" w:right="380" w:hanging="324"/>
        <w:spacing w:after="0" w:line="277" w:lineRule="auto"/>
        <w:tabs>
          <w:tab w:leader="none" w:pos="9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delist our shares from an exchange outside the United States on which they were listed and do not list the shares on another exchange outside the United States;</w:t>
      </w:r>
    </w:p>
    <w:p>
      <w:pPr>
        <w:spacing w:after="0" w:line="197" w:lineRule="exact"/>
        <w:rPr>
          <w:rFonts w:ascii="Arial" w:cs="Arial" w:eastAsia="Arial" w:hAnsi="Arial"/>
          <w:sz w:val="18"/>
          <w:szCs w:val="18"/>
          <w:color w:val="auto"/>
        </w:rPr>
      </w:pPr>
    </w:p>
    <w:p>
      <w:pPr>
        <w:ind w:left="980" w:right="160" w:hanging="324"/>
        <w:spacing w:after="0" w:line="277" w:lineRule="auto"/>
        <w:tabs>
          <w:tab w:leader="none" w:pos="9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there are no deposited securities underlying the ADSs or the underlying deposited securities have become apparently worthless;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72" w:name="page173"/>
    <w:bookmarkEnd w:id="172"/>
    <w:p>
      <w:pPr>
        <w:ind w:right="40" w:firstLine="648"/>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97" w:lineRule="exact"/>
        <w:rPr>
          <w:sz w:val="20"/>
          <w:szCs w:val="20"/>
          <w:color w:val="auto"/>
        </w:rPr>
      </w:pPr>
    </w:p>
    <w:p>
      <w:pPr>
        <w:ind w:left="660" w:right="60" w:hanging="328"/>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84"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14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29" w:lineRule="exact"/>
        <w:rPr>
          <w:rFonts w:ascii="Arial" w:cs="Arial" w:eastAsia="Arial" w:hAnsi="Arial"/>
          <w:sz w:val="18"/>
          <w:szCs w:val="18"/>
          <w:color w:val="auto"/>
        </w:rPr>
      </w:pPr>
    </w:p>
    <w:p>
      <w:pPr>
        <w:ind w:left="660" w:right="320" w:hanging="328"/>
        <w:spacing w:after="0" w:line="532"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 are not liable for the acts or omissions of any securities depository, clearing agency or settlement system; and</w:t>
      </w:r>
    </w:p>
    <w:p>
      <w:pPr>
        <w:ind w:left="660" w:hanging="328"/>
        <w:spacing w:after="0" w:line="311" w:lineRule="auto"/>
        <w:tabs>
          <w:tab w:leader="none" w:pos="6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7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Before the depositary will deliver or register a transfer of ADSs, make a distribution on ADSs, or permit withdrawal of shares, the depositary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w:t>
      </w:r>
    </w:p>
    <w:p>
      <w:pPr>
        <w:spacing w:after="0" w:line="238" w:lineRule="exact"/>
        <w:rPr>
          <w:sz w:val="20"/>
          <w:szCs w:val="20"/>
          <w:color w:val="auto"/>
        </w:rPr>
      </w:pPr>
    </w:p>
    <w:p>
      <w:pPr>
        <w:ind w:left="660" w:right="140" w:hanging="328"/>
        <w:spacing w:after="0" w:line="277"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84"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the ADSs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252" w:lineRule="exact"/>
        <w:rPr>
          <w:sz w:val="20"/>
          <w:szCs w:val="20"/>
          <w:color w:val="auto"/>
        </w:rPr>
      </w:pPr>
    </w:p>
    <w:p>
      <w:pPr>
        <w:ind w:left="660" w:right="440" w:hanging="328"/>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right of withdrawal may not be limited by any other provision of the deposit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21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21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You will not, by agreeing to the terms of the deposit agreement, be deemed to have waived our or the depositary’s compliance with U.S. federal securities laws or the rules and regulations promulgated thereunder.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18"/>
          <w:szCs w:val="18"/>
          <w:b w:val="1"/>
          <w:bCs w:val="1"/>
          <w:color w:val="auto"/>
        </w:rPr>
        <w:t>COMPARISON OF ITALIAN LAW AND DELAWARE LAW</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comparison table summarizing the most significant differences in shareholder rights between the applicable provisions of the Delaware General Corporation Law and the corporate laws of Italy, also taking into account those main differences existing between the Private Companies and Open Companies.</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It should be considered that this is only a general summary of certain provisions applicable to companies in Delaware and Italy. Certain Delaware and Italian companies may be permitted to exclude certain of the provisions summarized below in their charter documents.</w:t>
      </w:r>
    </w:p>
    <w:p>
      <w:pPr>
        <w:spacing w:after="0" w:line="165" w:lineRule="exact"/>
        <w:rPr>
          <w:sz w:val="20"/>
          <w:szCs w:val="20"/>
          <w:color w:val="auto"/>
        </w:rPr>
      </w:pPr>
    </w:p>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Mergers and similar arrangements</w:t>
      </w:r>
    </w:p>
    <w:p>
      <w:pPr>
        <w:sectPr>
          <w:pgSz w:w="11900" w:h="16838" w:orient="portrait"/>
          <w:cols w:equalWidth="0" w:num="1">
            <w:col w:w="11220"/>
          </w:cols>
          <w:pgMar w:left="320" w:top="715" w:right="359" w:bottom="1440" w:gutter="0" w:footer="0" w:header="0"/>
        </w:sectPr>
      </w:pP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Under Italian law, a merger requires the approval of more than half of the share capital at an extraordinary shareholders’ meeting of each company which is part to the merger. The merger may only be adopted after the expiry of a period of sixty (60) days from the filing of the merger decision and the related documents with the competent companies’ register. This time limit, in particular, is intended to allow the company’s creditors, subject to limited exceptions, to file an opposition to the merger, provided however that if such an opposition is deemed groundless and the company has given an adequate guarantee, the competent court may nevertheless decide that the merger shall take place notwithstanding the opposition.</w:t>
      </w:r>
    </w:p>
    <w:p>
      <w:pPr>
        <w:spacing w:after="0" w:line="19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Italian law also provides for simplified forms of merger (with less documentation needed) in cases where the merger is carried out by embedding wholly-owned subsidiaries and subsidiaries which are at least 90% owned. In both cases the decision to merge is delegated to the administrative body, provided that the company’s bylaws (as in our case) so provide. The delegation of powers to the administrative body does not, in any event, release the administrative body from the obligation to file and/or publish, as the case may be, the merger plan in order to make shareholders informed of the merger and to postpone, unless the shareholders waive their right thereof, 30 days from the filing/publication of the merger plan before passing the merger resolution. Shareholders of the “acquiring” company representing at least 5% of the share capital may in any event request the decision on the merger to be taken by the extraordinary shareholders’ meeting. In such a case the jurisdiction of the extraordinary shareholders’ meeting, as provided for the non-simplified procedure, shall apply.</w:t>
      </w:r>
    </w:p>
    <w:p>
      <w:pPr>
        <w:spacing w:after="0" w:line="194" w:lineRule="exact"/>
        <w:rPr>
          <w:sz w:val="20"/>
          <w:szCs w:val="20"/>
          <w:color w:val="auto"/>
        </w:rPr>
      </w:pPr>
    </w:p>
    <w:p>
      <w:pPr>
        <w:sectPr>
          <w:pgSz w:w="11900" w:h="16838" w:orient="portrait"/>
          <w:cols w:equalWidth="0" w:num="2">
            <w:col w:w="5460" w:space="280"/>
            <w:col w:w="5480"/>
          </w:cols>
          <w:pgMar w:left="320" w:top="715"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type w:val="continuous"/>
        </w:sectPr>
      </w:pPr>
    </w:p>
    <w:bookmarkStart w:id="176" w:name="page177"/>
    <w:bookmarkEnd w:id="176"/>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Shareholders’ suits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Shareholders may bring to the attention of the board of statutory auditors, facts or acts which such shareholder deems wrongful. If such shareholders represent 5% of our share capital, or 2% should our company be classified as an Open Company, our board of statutory auditors must investigate without delay and report its findings and recommendations at our shareholders’ meeting.</w:t>
      </w:r>
    </w:p>
    <w:p>
      <w:pPr>
        <w:spacing w:after="0" w:line="21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there is a well-founded suspicion that the directors, in breach of their duties, have committed serious irregularities in the management that may cause damage to the company, the shareholders representing, in Private Companies, one-tenth of the share capital or, in Open Companies, one-twentieth can report the facts to the court. The court, having heard the directors and the statutory auditors, may order an audit of the company. The court does not order the audit and suspends the legal proceedings for a fixed period in the event the shareholders’ meeting replaces the directors and the auditors with other subjects having adequate prerequisites, who take action without delay to ascertain whether the violations exist and, if so, to eliminate them, reporting to the court on the findings and the activities carried out. If the reported violations exist or if the above investigations are insufficient to eliminate them, the court may order the appropriate provisional measures and call the shareholders’ meeting for the relevant resolutions. In the most serious cases, the court can revoke the directors and also the auditors, and appoint a receiver, determining his powers and duration of office.</w:t>
      </w:r>
    </w:p>
    <w:p>
      <w:pPr>
        <w:spacing w:after="0" w:line="200" w:lineRule="exact"/>
        <w:rPr>
          <w:sz w:val="20"/>
          <w:szCs w:val="20"/>
          <w:color w:val="auto"/>
        </w:rPr>
      </w:pPr>
    </w:p>
    <w:p>
      <w:pPr>
        <w:spacing w:after="0" w:line="21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Liability claim against directors and general managers may be brought either by our shareholders’ meeting, by our board of statutory auditors (following a resolution passed with the favorable vote of two thirds of its members) or directly by shareholders representing a certain percentage of the corporate capital.</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With reference to the shareholders’ meeting, the resolution concerning the liability of the directors may be taken by the ordinary shareholders’ meeting either at a meeting convened for that purpose or at the meeting called to approve the financial statements. Unless otherwise provided for in the bylaws, the shareholders’ meeting shall pass the resolution by the majority normally prescribed for it. The liability claim is time-barred in five years from the date of termination of the director’s office and can be waived or settled upon resolution of the shareholders’ meeting, unless a minority of shareholders, in Private Companies such as ours, representing at least one-fifth of the share capital and, in Open Companies, one-twentieth of the share capital, vote against. The legal costs of such action in the event that the claim of such shareholders is successful and the court does not award such costs against the relevant directors, statutory auditors or general managers will be reimburse by us.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anticipated also shareholders representing a certain percentage of the share capital may bring claims against directors. Such percentages differ depending on whether the company is a Private Company or an Open Company. In case of a Private Company like our case, the percentage required is equal to at least one-fifth of our share capital, while for an Open Company the percentage amounts to one-fortieth of the share capital.</w:t>
      </w:r>
    </w:p>
    <w:p>
      <w:pPr>
        <w:spacing w:after="0" w:line="191" w:lineRule="exact"/>
        <w:rPr>
          <w:sz w:val="20"/>
          <w:szCs w:val="20"/>
          <w:color w:val="auto"/>
        </w:rPr>
      </w:pPr>
    </w:p>
    <w:p>
      <w:pPr>
        <w:sectPr>
          <w:pgSz w:w="11900" w:h="16838" w:orient="portrait"/>
          <w:cols w:equalWidth="0" w:num="2">
            <w:col w:w="5480" w:space="26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77" w:name="page178"/>
    <w:bookmarkEnd w:id="177"/>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Dissenters’ rights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shareholder of a Delaware corporation has the right to dissent from any plan of merger or consolidation to which the corporation is a party, except that, unless the certificate of incorporation provides otherwise, a shareholder shall not have the right to dissent from any plan of merger or consolidation, with respect to shares of a class or series that are listed on a national securities exchange or held of record, by not less than 2,000 holders on the record date fixed to determine the shareholders entitled to vote upon the plan of merger or consolidation. A dissenting shareholder has a right to appraisal of its shares.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Italian law, shareholders’ resolutions which are not adopted in conformity with applicable law or our bylaws may be challenged (with certain limitations and exceptions) within ninety days of such resolution (or, if such resolution is subject to registration or filing with the Italian Company Register, within ninety days of its registration or filing) by any absent, dissenting or abstaining shareholders representing, individually or in the aggregate, at least 5% of our share capital, or should the our company be considered an Open Company, at least one per thousand of the share capital (or by our board of directors or our board of statutory auditors). Shareholders who do not meet the threshold or are not otherwise entitled to vote at our meetings may only claim damages arising from the resolution. Alongside the challenge to the resolution, an urgent application may also be filed to suspend the implementation of the claimed resolution, in order to anticipate the effects of a possible winning award. Dissenting or absent shareholders may withdraw from the company as a result of shareholders’ resolutions approving, among other things, material modifications to our corporate purpose, the rights attached to our ordinary shares (e.g., voting rights and/or economic rights related to ordinary shares), our conversion from a share corporation into a different legal entity or a transfer of our registered office outside of Italy. Under any such circumstances, our other shareholders would have pre-emptive rights to purchase the shares of the withdrawing shareholders. Should no shareholder exercise its pre-emptive right, the shares must be offered to third parties. If no third-party desires to purchase the shares, we will purchase them with our available reserves. In the event that there are no reserves available, we must reduce our capital accordingly. According to Italian law, the liquidation value of any such shares must be on terms determined by our board of directors, after consultation with our board of statutory auditors and our external auditor, and after careful consideration of our net asset value, our prospective earnings and the market value of our ordinary shares, if any. Under Italian law, we may include provisions in our bylaws governing the criteria for determining the liquidation value of shares in the event of withdrawal. We have not done so as of the date of this registration statement.</w:t>
      </w:r>
    </w:p>
    <w:p>
      <w:pPr>
        <w:spacing w:after="0" w:line="200" w:lineRule="exact"/>
        <w:rPr>
          <w:sz w:val="20"/>
          <w:szCs w:val="20"/>
          <w:color w:val="auto"/>
        </w:rPr>
      </w:pPr>
    </w:p>
    <w:p>
      <w:pPr>
        <w:sectPr>
          <w:pgSz w:w="11900" w:h="16838" w:orient="portrait"/>
          <w:cols w:equalWidth="0" w:num="2">
            <w:col w:w="5500" w:space="240"/>
            <w:col w:w="5500"/>
          </w:cols>
          <w:pgMar w:left="320" w:top="711" w:right="339" w:bottom="1440" w:gutter="0" w:footer="0" w:header="0"/>
          <w:type w:val="continuous"/>
        </w:sectPr>
      </w:pP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78" w:name="page179"/>
    <w:bookmarkEnd w:id="178"/>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Shareholder vote on board and management compensation</w:t>
      </w:r>
    </w:p>
    <w:p>
      <w:pPr>
        <w:sectPr>
          <w:pgSz w:w="11900" w:h="16838" w:orient="portrait"/>
          <w:cols w:equalWidth="0" w:num="1">
            <w:col w:w="11160"/>
          </w:cols>
          <w:pgMar w:left="320" w:top="711" w:right="419" w:bottom="264" w:gutter="0" w:footer="0" w:header="0"/>
        </w:sectPr>
      </w:pP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both"/>
        <w:ind w:right="60"/>
        <w:spacing w:after="0" w:line="293" w:lineRule="auto"/>
        <w:rPr>
          <w:sz w:val="20"/>
          <w:szCs w:val="20"/>
          <w:color w:val="auto"/>
        </w:rPr>
      </w:pPr>
      <w:r>
        <w:rPr>
          <w:rFonts w:ascii="Arial" w:cs="Arial" w:eastAsia="Arial" w:hAnsi="Arial"/>
          <w:sz w:val="16"/>
          <w:szCs w:val="16"/>
          <w:color w:val="auto"/>
        </w:rPr>
        <w:t>Under Italian Law, the compensation of directors is established at the time of appointment or by the shareholders’ meeting. The compensation of the chief executive officers shall be established by the board of directors, with the opinion of the board of statutory auditors. If the bylaws so provide, the shareholders’ meeting may determine a total amount for the compensation of the directors, including that of the chief executive officers.</w:t>
      </w:r>
    </w:p>
    <w:p>
      <w:pPr>
        <w:spacing w:after="0" w:line="160" w:lineRule="exact"/>
        <w:rPr>
          <w:sz w:val="20"/>
          <w:szCs w:val="20"/>
          <w:color w:val="auto"/>
        </w:rPr>
      </w:pPr>
    </w:p>
    <w:p>
      <w:pPr>
        <w:sectPr>
          <w:pgSz w:w="11900" w:h="16838" w:orient="portrait"/>
          <w:cols w:equalWidth="0" w:num="2">
            <w:col w:w="5260" w:space="480"/>
            <w:col w:w="5420"/>
          </w:cols>
          <w:pgMar w:left="320" w:top="711" w:right="419" w:bottom="264" w:gutter="0" w:footer="0" w:header="0"/>
          <w:type w:val="continuous"/>
        </w:sectPr>
      </w:pPr>
    </w:p>
    <w:p>
      <w:pPr>
        <w:jc w:val="center"/>
        <w:ind w:right="-99"/>
        <w:spacing w:after="0"/>
        <w:rPr>
          <w:sz w:val="20"/>
          <w:szCs w:val="20"/>
          <w:color w:val="auto"/>
        </w:rPr>
      </w:pPr>
      <w:r>
        <w:rPr>
          <w:rFonts w:ascii="Arial" w:cs="Arial" w:eastAsia="Arial" w:hAnsi="Arial"/>
          <w:sz w:val="13"/>
          <w:szCs w:val="13"/>
          <w:i w:val="1"/>
          <w:iCs w:val="1"/>
          <w:color w:val="auto"/>
        </w:rPr>
        <w:t>Annual vote on board renewal</w:t>
      </w:r>
    </w:p>
    <w:p>
      <w:pPr>
        <w:sectPr>
          <w:pgSz w:w="11900" w:h="16838" w:orient="portrait"/>
          <w:cols w:equalWidth="0" w:num="1">
            <w:col w:w="11160"/>
          </w:cols>
          <w:pgMar w:left="320" w:top="711" w:right="419" w:bottom="264" w:gutter="0" w:footer="0" w:header="0"/>
          <w:type w:val="continuous"/>
        </w:sect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otherwise specified in the certificate of incorporation or bylaws of the corporation, directors shall be elected by a plurality of votes of the shareholders on a date and at a time designated by or in the manner provided in the bylaws. Re-election is possible.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board of directors is elected by the ordinary shareholders’ meeting of the Company, for the period established at the time of election but in no case for longer than three fiscal years. A director, who may be, but is not required to be, a shareholder of the Company, may be reappointed for successive terms.</w:t>
      </w:r>
    </w:p>
    <w:p>
      <w:pPr>
        <w:spacing w:after="0" w:line="183" w:lineRule="exact"/>
        <w:rPr>
          <w:sz w:val="20"/>
          <w:szCs w:val="20"/>
          <w:color w:val="auto"/>
        </w:rPr>
      </w:pPr>
    </w:p>
    <w:p>
      <w:pPr>
        <w:sectPr>
          <w:pgSz w:w="11900" w:h="16838" w:orient="portrait"/>
          <w:cols w:equalWidth="0" w:num="2">
            <w:col w:w="5300" w:space="440"/>
            <w:col w:w="5420"/>
          </w:cols>
          <w:pgMar w:left="320" w:top="711" w:right="419" w:bottom="264" w:gutter="0" w:footer="0" w:header="0"/>
          <w:type w:val="continuous"/>
        </w:sectPr>
      </w:pPr>
    </w:p>
    <w:p>
      <w:pPr>
        <w:jc w:val="center"/>
        <w:ind w:right="-79"/>
        <w:spacing w:after="0"/>
        <w:rPr>
          <w:sz w:val="20"/>
          <w:szCs w:val="20"/>
          <w:color w:val="auto"/>
        </w:rPr>
      </w:pPr>
      <w:r>
        <w:rPr>
          <w:rFonts w:ascii="Arial" w:cs="Arial" w:eastAsia="Arial" w:hAnsi="Arial"/>
          <w:sz w:val="13"/>
          <w:szCs w:val="13"/>
          <w:i w:val="1"/>
          <w:iCs w:val="1"/>
          <w:color w:val="auto"/>
        </w:rPr>
        <w:t>Indemnification of directors and executive management and limitation of liability</w:t>
      </w:r>
    </w:p>
    <w:p>
      <w:pPr>
        <w:sectPr>
          <w:pgSz w:w="11900" w:h="16838" w:orient="portrait"/>
          <w:cols w:equalWidth="0" w:num="1">
            <w:col w:w="11160"/>
          </w:cols>
          <w:pgMar w:left="320" w:top="711" w:right="419" w:bottom="264" w:gutter="0" w:footer="0" w:header="0"/>
          <w:type w:val="continuous"/>
        </w:sectPr>
      </w:pPr>
    </w:p>
    <w:p>
      <w:pPr>
        <w:spacing w:after="0" w:line="2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officers, employees or agents of the corporation for monetary damages for breach of a fiduciary duty as a director, except no provision in the certificate of incorporation may eliminate or limit the liability of a director for:</w:t>
      </w:r>
    </w:p>
    <w:p>
      <w:pPr>
        <w:spacing w:after="0" w:line="219" w:lineRule="exact"/>
        <w:rPr>
          <w:sz w:val="20"/>
          <w:szCs w:val="20"/>
          <w:color w:val="auto"/>
        </w:rPr>
      </w:pPr>
    </w:p>
    <w:p>
      <w:pPr>
        <w:ind w:left="400" w:right="420" w:hanging="248"/>
        <w:spacing w:after="0" w:line="277" w:lineRule="auto"/>
        <w:tabs>
          <w:tab w:leader="none" w:pos="40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400" w:right="520" w:hanging="248"/>
        <w:spacing w:after="0" w:line="277" w:lineRule="auto"/>
        <w:tabs>
          <w:tab w:leader="none" w:pos="40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400" w:hanging="248"/>
        <w:spacing w:after="0" w:line="277" w:lineRule="auto"/>
        <w:tabs>
          <w:tab w:leader="none" w:pos="40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share purchase or redemption; or</w:t>
      </w:r>
    </w:p>
    <w:p>
      <w:pPr>
        <w:spacing w:after="0" w:line="170" w:lineRule="exact"/>
        <w:rPr>
          <w:rFonts w:ascii="Arial" w:cs="Arial" w:eastAsia="Arial" w:hAnsi="Arial"/>
          <w:sz w:val="18"/>
          <w:szCs w:val="18"/>
          <w:color w:val="auto"/>
        </w:rPr>
      </w:pPr>
    </w:p>
    <w:p>
      <w:pPr>
        <w:ind w:left="400" w:right="80" w:hanging="248"/>
        <w:spacing w:after="0" w:line="277" w:lineRule="auto"/>
        <w:tabs>
          <w:tab w:leader="none" w:pos="40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211" w:lineRule="exact"/>
        <w:rPr>
          <w:sz w:val="20"/>
          <w:szCs w:val="20"/>
          <w:color w:val="auto"/>
        </w:rPr>
      </w:pPr>
    </w:p>
    <w:p>
      <w:pPr>
        <w:ind w:left="400" w:right="760" w:hanging="248"/>
        <w:spacing w:after="0" w:line="277" w:lineRule="auto"/>
        <w:tabs>
          <w:tab w:leader="none" w:pos="4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170" w:lineRule="exact"/>
        <w:rPr>
          <w:rFonts w:ascii="Arial" w:cs="Arial" w:eastAsia="Arial" w:hAnsi="Arial"/>
          <w:sz w:val="18"/>
          <w:szCs w:val="18"/>
          <w:color w:val="auto"/>
        </w:rPr>
      </w:pPr>
    </w:p>
    <w:p>
      <w:pPr>
        <w:ind w:left="400" w:right="480" w:hanging="248"/>
        <w:spacing w:after="0" w:line="277" w:lineRule="auto"/>
        <w:tabs>
          <w:tab w:leader="none" w:pos="4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170" w:lineRule="exact"/>
        <w:rPr>
          <w:rFonts w:ascii="Arial" w:cs="Arial" w:eastAsia="Arial" w:hAnsi="Arial"/>
          <w:sz w:val="18"/>
          <w:szCs w:val="18"/>
          <w:color w:val="auto"/>
        </w:rPr>
      </w:pPr>
    </w:p>
    <w:p>
      <w:pPr>
        <w:ind w:left="400" w:right="480" w:hanging="248"/>
        <w:spacing w:after="0" w:line="308" w:lineRule="auto"/>
        <w:tabs>
          <w:tab w:leader="none" w:pos="40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146" w:lineRule="exact"/>
        <w:rPr>
          <w:rFonts w:ascii="Arial" w:cs="Arial" w:eastAsia="Arial" w:hAnsi="Arial"/>
          <w:sz w:val="17"/>
          <w:szCs w:val="17"/>
          <w:color w:val="auto"/>
        </w:rPr>
      </w:pPr>
    </w:p>
    <w:p>
      <w:pPr>
        <w:ind w:left="400" w:hanging="248"/>
        <w:spacing w:after="0"/>
        <w:tabs>
          <w:tab w:leader="none" w:pos="4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Italian law requires directors and members of any committee designated by the board of directors to perform their duties with that degree of diligence that is required by the nature of their office and pursuant to their specific level of competence. The judgement on the director’s diligence in carrying out his or her mandate should never cover the management choices or the manner and circumstances of such choices, even if the same entail significant economic risks, but should cover only the diligence shown by the director in appreciating in advance the risk margins connected with the transaction to be undertaken, and therefore, the possible omission of those precautions, assessments and information normally required for a decision of that type, implemented in those circumstances and with those methods. Directors are liable to the company’s creditors when their improper management conduct impairs the company’s assets and prevents creditors from meeting their claims. If we cannot repay our creditors, and a court determines that our directors did not adequately perform their duties relating to the preservation of our assets, the court may find our directors liable to our creditors. Liability, as mentioned above, does not arise when the damage to the assets is the result of correctly adopted management decisions.</w:t>
      </w:r>
    </w:p>
    <w:p>
      <w:pPr>
        <w:spacing w:after="0" w:line="5192" w:lineRule="exact"/>
        <w:rPr>
          <w:sz w:val="20"/>
          <w:szCs w:val="20"/>
          <w:color w:val="auto"/>
        </w:rPr>
      </w:pPr>
    </w:p>
    <w:p>
      <w:pPr>
        <w:sectPr>
          <w:pgSz w:w="11900" w:h="16838" w:orient="portrait"/>
          <w:cols w:equalWidth="0" w:num="2">
            <w:col w:w="5480" w:space="260"/>
            <w:col w:w="5420"/>
          </w:cols>
          <w:pgMar w:left="320" w:top="711" w:right="419" w:bottom="264"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Moreover, a Delaware corporation may not indemnify a director or officer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any proceeding in which the director or officer has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adjudged to be liable to the corporation unless and only to the extent that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court determines that, despite the adjudication of liability but in view of all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circumstances of the case, the director or officer is fairly and reasonably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entitled to indemnity for those expenses which the court deems proper.</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11" w:right="419" w:bottom="264" w:gutter="0" w:footer="0" w:header="0"/>
          <w:type w:val="continuous"/>
        </w:sectPr>
      </w:pPr>
    </w:p>
    <w:bookmarkStart w:id="179" w:name="page180"/>
    <w:bookmarkEnd w:id="179"/>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Directors’ fiduciary duties</w:t>
      </w:r>
    </w:p>
    <w:p>
      <w:pPr>
        <w:sectPr>
          <w:pgSz w:w="11900" w:h="16838" w:orient="portrait"/>
          <w:cols w:equalWidth="0" w:num="1">
            <w:col w:w="11160"/>
          </w:cols>
          <w:pgMar w:left="320" w:top="711" w:right="41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 the duty of care and the duty of loyalty.</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Under Italian law, directors must perform the duties imposed on them by law and company’s bylaws with the degree of diligence that is required by the nature of their office and pursuant to their specific level of competence.</w:t>
      </w:r>
    </w:p>
    <w:p>
      <w:pPr>
        <w:spacing w:after="0" w:line="4549" w:lineRule="exact"/>
        <w:rPr>
          <w:sz w:val="20"/>
          <w:szCs w:val="20"/>
          <w:color w:val="auto"/>
        </w:rPr>
      </w:pPr>
    </w:p>
    <w:p>
      <w:pPr>
        <w:sectPr>
          <w:pgSz w:w="11900" w:h="16838" w:orient="portrait"/>
          <w:cols w:equalWidth="0" w:num="2">
            <w:col w:w="5520" w:space="220"/>
            <w:col w:w="5420"/>
          </w:cols>
          <w:pgMar w:left="320" w:top="711" w:right="4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11" w:right="419" w:bottom="1440" w:gutter="0" w:footer="0" w:header="0"/>
          <w:type w:val="continuous"/>
        </w:sectPr>
      </w:pPr>
    </w:p>
    <w:bookmarkStart w:id="180" w:name="page181"/>
    <w:bookmarkEnd w:id="180"/>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Shareholder action by written consent</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Under Italian law, shareholders may not act without a meeting.</w:t>
      </w:r>
    </w:p>
    <w:p>
      <w:pPr>
        <w:spacing w:after="0" w:line="459" w:lineRule="exact"/>
        <w:rPr>
          <w:sz w:val="20"/>
          <w:szCs w:val="20"/>
          <w:color w:val="auto"/>
        </w:rPr>
      </w:pPr>
    </w:p>
    <w:p>
      <w:pPr>
        <w:sectPr>
          <w:pgSz w:w="11900" w:h="16838" w:orient="portrait"/>
          <w:cols w:equalWidth="0" w:num="2">
            <w:col w:w="5260" w:space="4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Special/extraordinary meetings of shareholders</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Delaware law, special meetings of shareholders may be called by the board of directors or by such person or persons as may be authorized by the certificate of incorporation or the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Italian law, a shareholders’ meeting, both ordinary and extraordinary, may be called by our board of directors and must be called if requested by holders of at least 10% of the issued shares, or should our Company be considered an Open Company, at least 5% of the share capital, or, in both cases, the lower threshold set out in in the bylaws. Shareholders are not entitled to request that a meeting of shareholders be convened to vote on issues which as a matter of law shall be resolved upon the basis of a proposal, plan or report by our board of directors. If a request by the shareholders for an extraordinary meeting, or even an ordinary meeting, is refused by the board of directors, and such refusal is unjustified, the meeting may be called by a competent court.</w:t>
      </w:r>
    </w:p>
    <w:p>
      <w:pPr>
        <w:spacing w:after="0" w:line="167" w:lineRule="exact"/>
        <w:rPr>
          <w:sz w:val="20"/>
          <w:szCs w:val="20"/>
          <w:color w:val="auto"/>
        </w:rPr>
      </w:pPr>
    </w:p>
    <w:p>
      <w:pPr>
        <w:sectPr>
          <w:pgSz w:w="11900" w:h="16838" w:orient="portrait"/>
          <w:cols w:equalWidth="0" w:num="2">
            <w:col w:w="5460" w:space="2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2"/>
          <w:szCs w:val="12"/>
          <w:i w:val="1"/>
          <w:iCs w:val="1"/>
          <w:color w:val="auto"/>
        </w:rPr>
        <w:t>Shareholder proposals</w:t>
      </w:r>
    </w:p>
    <w:p>
      <w:pPr>
        <w:sectPr>
          <w:pgSz w:w="11900" w:h="16838" w:orient="portrait"/>
          <w:cols w:equalWidth="0" w:num="1">
            <w:col w:w="11220"/>
          </w:cols>
          <w:pgMar w:left="320" w:top="711" w:right="359" w:bottom="1440" w:gutter="0" w:footer="0" w:header="0"/>
          <w:type w:val="continuous"/>
        </w:sectPr>
      </w:pP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Registered holders of the Company’s ordinary shares are entitled to attend and vote at ordinary and extraordinary shareholders’ meetings.</w:t>
      </w:r>
    </w:p>
    <w:p>
      <w:pPr>
        <w:spacing w:after="0" w:line="17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When shareholders who represent at least 10% of the share capital of an Italian corporation, or should our Company be considered an Open Company, at least 5% of the share capital, or, in both cases, the lower threshold set out in in the bylaws, request the board of directors to call a meeting of the company’s shareholders, they must set out in their request the proposals to be discussed.</w:t>
      </w:r>
    </w:p>
    <w:p>
      <w:pPr>
        <w:spacing w:after="0" w:line="174" w:lineRule="exact"/>
        <w:rPr>
          <w:sz w:val="20"/>
          <w:szCs w:val="20"/>
          <w:color w:val="auto"/>
        </w:rPr>
      </w:pPr>
    </w:p>
    <w:p>
      <w:pPr>
        <w:sectPr>
          <w:pgSz w:w="11900" w:h="16838" w:orient="portrait"/>
          <w:cols w:equalWidth="0" w:num="2">
            <w:col w:w="5360" w:space="3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Cumulative voting</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Under Italian law, shareholders are not entitled to elect directors through cumulative voting. The directors of a corporation are elected by a majority of the votes cast by the shareholders entitled to vote in person or by proxy at an ordinary meeting of shareholders at which the relevant quorum is met.</w:t>
      </w:r>
    </w:p>
    <w:p>
      <w:pPr>
        <w:spacing w:after="0" w:line="153" w:lineRule="exact"/>
        <w:rPr>
          <w:sz w:val="20"/>
          <w:szCs w:val="20"/>
          <w:color w:val="auto"/>
        </w:rPr>
      </w:pPr>
    </w:p>
    <w:p>
      <w:pPr>
        <w:sectPr>
          <w:pgSz w:w="11900" w:h="16838" w:orient="portrait"/>
          <w:cols w:equalWidth="0" w:num="2">
            <w:col w:w="5400" w:space="34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Board action by written consent</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Delaware law, any action required or permitted to be taken at any meeting of the board of directors may be taken without a meeting if all members of the board consent to the action in writing or by electronic transmission, and the writing or electronic transmission is filed with the minutes of proceedings of the board,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 Italian law, directors of a corporation may not act without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280"/>
            <w:col w:w="5740"/>
          </w:cols>
          <w:pgMar w:left="320" w:top="711" w:right="359" w:bottom="1440" w:gutter="0" w:footer="0" w:header="0"/>
          <w:type w:val="continuous"/>
        </w:sectPr>
      </w:pPr>
    </w:p>
    <w:bookmarkStart w:id="181" w:name="page182"/>
    <w:bookmarkEnd w:id="181"/>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Removal of directors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there is cumulative voting or there is a classified board, generally a director or the entire board of directors may be removed, with or without cause, by the holders of a majority of the shares then entitled to vote at an election of directors.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Italian law, a director may be removed from office at any time by the vote of shareholders at an ordinary shareholders’ meeting. Whilst the removal is immediately effective within the company, it is effective vis-à-vis third parties only upon entry of the relevant resolution in the companies register.</w:t>
      </w:r>
    </w:p>
    <w:p>
      <w:pPr>
        <w:spacing w:after="0" w:line="21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resolution of the shareholders’ meeting approved in favor of a liability suit against the director and the occurrence of causes of ineligibility also constitute justified causes for removal.</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the removal of a director was without just cause, such director may have a claim for damages against us. These damages may include, but are not limited to, compensation that would otherwise have been paid to the director for the remainder of his or her term and damage to his or her reputation.</w:t>
      </w:r>
    </w:p>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Directors may resign at any time by written notice to the board of directors and to the chairman of the board of statutory auditors. The board of directors, subject to the approval of the board of statutory auditors, must appoint substitute directors to fill any vacancies caused by removal or resignation, who will serve until the next ordinary shareholders’ meeting. If, at any time, more than half of the members of our board of directors appointed by the shareholders’ meeting of the Company resign, such resignation is ineffective until the majority of the new board of directors has been appointed. In such a case, the remaining member of the board of directors (or the board of statutory auditors if all the members of the board of directors have resigned or ceased to be directors) must promptly call an ordinary shareholders’ meeting to appoint new directors.</w:t>
      </w:r>
    </w:p>
    <w:p>
      <w:pPr>
        <w:spacing w:after="0" w:line="163" w:lineRule="exact"/>
        <w:rPr>
          <w:sz w:val="20"/>
          <w:szCs w:val="20"/>
          <w:color w:val="auto"/>
        </w:rPr>
      </w:pPr>
    </w:p>
    <w:p>
      <w:pPr>
        <w:sectPr>
          <w:pgSz w:w="11900" w:h="16838" w:orient="portrait"/>
          <w:cols w:equalWidth="0" w:num="2">
            <w:col w:w="5360" w:space="38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3"/>
          <w:szCs w:val="13"/>
          <w:i w:val="1"/>
          <w:iCs w:val="1"/>
          <w:color w:val="auto"/>
        </w:rPr>
        <w:t>Transactions with interested shareholders or directors</w:t>
      </w:r>
    </w:p>
    <w:p>
      <w:pPr>
        <w:sectPr>
          <w:pgSz w:w="11900" w:h="16838" w:orient="portrait"/>
          <w:cols w:equalWidth="0" w:num="1">
            <w:col w:w="11240"/>
          </w:cols>
          <w:pgMar w:left="320" w:top="711" w:right="339" w:bottom="1440" w:gutter="0" w:footer="0" w:header="0"/>
          <w:type w:val="continuous"/>
        </w:sectPr>
      </w:pPr>
    </w:p>
    <w:p>
      <w:pPr>
        <w:spacing w:after="0" w:line="2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shares within the past three years.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Italian law provides that the resolution of the shareholders’ meeting approved with the decisive vote of our shareholders who have, on their own behalf or on behalf of third parties, an interest in conflict with that of the company may be challenged in case it could damage it.</w:t>
      </w:r>
    </w:p>
    <w:p>
      <w:pPr>
        <w:spacing w:after="0" w:line="19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Furthermore, under Italian law, a director having any interest in a proposed transaction must disclose his or her interest to the board of directors and to the board of statutory auditors, even if such interest does not conflict with our interest in the transaction. The interested director is not required to abstain from voting on the resolution approving the transaction, but the resolution must explicitly state the reasons for the approved transaction, the terms thereto and the benefit of the transaction to us. If these provisions are not complied with, or if the transaction would not have been approved without the vote of the interested director, the resolution may be challenged within ninety days from the date of the resolution by any director or by our board of statutory auditors on grounds that the approved transaction would be prejudicial to us. An authorized representative of our company having any interest in a proposed transaction that he or she has authority to approve must solicit prior board approval before consenting to such transaction. The interested director may be held liable for damages to us resulting from a resolution adopted in breach of the above rules. Finally, a director may be held liable for illicitly profiting from insider information or a corporate opportunity.</w:t>
      </w:r>
    </w:p>
    <w:p>
      <w:pPr>
        <w:spacing w:after="0" w:line="198" w:lineRule="exact"/>
        <w:rPr>
          <w:sz w:val="20"/>
          <w:szCs w:val="20"/>
          <w:color w:val="auto"/>
        </w:rPr>
      </w:pPr>
    </w:p>
    <w:p>
      <w:pPr>
        <w:sectPr>
          <w:pgSz w:w="11900" w:h="16838" w:orient="portrait"/>
          <w:cols w:equalWidth="0" w:num="2">
            <w:col w:w="5420" w:space="32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2" w:name="page183"/>
    <w:bookmarkEnd w:id="182"/>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Dissolution; winding up</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Italian law, and subject to the satisfaction of the claims of all creditors, upon liquidation our shareholders are entitled to a distribution that is equal to an amount resulting from the division of the positive liquidation balance by the number of shares or shareholders (to the extent available out of our net assets). Asset distribution to preferred shareholders and holders of “participating certificates” upon corporate dissolution is typically limited to established contractual preferences. Once the rights of preferred shareholders and holders of participating certificates have been fully satisfied, holders of ordinary shares are entitled to any remaining assets.</w:t>
      </w:r>
    </w:p>
    <w:p>
      <w:pPr>
        <w:spacing w:after="0" w:line="162" w:lineRule="exact"/>
        <w:rPr>
          <w:sz w:val="20"/>
          <w:szCs w:val="20"/>
          <w:color w:val="auto"/>
        </w:rPr>
      </w:pPr>
    </w:p>
    <w:p>
      <w:pPr>
        <w:sectPr>
          <w:pgSz w:w="11900" w:h="16838" w:orient="portrait"/>
          <w:cols w:equalWidth="0" w:num="2">
            <w:col w:w="5420" w:space="32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3"/>
          <w:szCs w:val="13"/>
          <w:i w:val="1"/>
          <w:iCs w:val="1"/>
          <w:color w:val="auto"/>
        </w:rPr>
        <w:t>Variation of rights of shares</w:t>
      </w:r>
    </w:p>
    <w:p>
      <w:pPr>
        <w:sectPr>
          <w:pgSz w:w="11900" w:h="16838" w:orient="portrait"/>
          <w:cols w:equalWidth="0" w:num="1">
            <w:col w:w="11240"/>
          </w:cols>
          <w:pgMar w:left="320" w:top="711" w:right="33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Italian law allows the Company to issue preference shares with limited voting rights, to issue other classes of equity securities with different economic and voting rights, shares with economic rights related to the results of the corporate activity in a specific sector, to issue “participation instruments” (</w:t>
      </w:r>
      <w:r>
        <w:rPr>
          <w:rFonts w:ascii="Arial" w:cs="Arial" w:eastAsia="Arial" w:hAnsi="Arial"/>
          <w:sz w:val="18"/>
          <w:szCs w:val="18"/>
          <w:i w:val="1"/>
          <w:iCs w:val="1"/>
          <w:color w:val="auto"/>
        </w:rPr>
        <w:t>strumenti finanziari partecipativi</w:t>
      </w:r>
      <w:r>
        <w:rPr>
          <w:rFonts w:ascii="Arial" w:cs="Arial" w:eastAsia="Arial" w:hAnsi="Arial"/>
          <w:sz w:val="18"/>
          <w:szCs w:val="18"/>
          <w:color w:val="auto"/>
        </w:rPr>
        <w:t>) with limited economic and voting rights against the contribution, by shareholders or third parties, of work or services, as well as “participation instruments” in favor of employees.</w:t>
      </w:r>
    </w:p>
    <w:p>
      <w:pPr>
        <w:spacing w:after="0" w:line="200" w:lineRule="exact"/>
        <w:rPr>
          <w:sz w:val="20"/>
          <w:szCs w:val="20"/>
          <w:color w:val="auto"/>
        </w:rPr>
      </w:pPr>
    </w:p>
    <w:p>
      <w:pPr>
        <w:sectPr>
          <w:pgSz w:w="11900" w:h="16838" w:orient="portrait"/>
          <w:cols w:equalWidth="0" w:num="2">
            <w:col w:w="5220" w:space="520"/>
            <w:col w:w="5500"/>
          </w:cols>
          <w:pgMar w:left="320" w:top="711" w:right="339" w:bottom="1440" w:gutter="0" w:footer="0" w:header="0"/>
          <w:type w:val="continuous"/>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3" w:name="page184"/>
    <w:bookmarkEnd w:id="183"/>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Amendment of governing documents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Italian law, the charter documents consist of articles of association and bylaws. An amendment to these documents requires the approval of the extraordinary shareholders’ meeting.</w:t>
      </w:r>
    </w:p>
    <w:p>
      <w:pPr>
        <w:spacing w:after="0" w:line="2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this perspective, according to Italian law, resolutions at an extraordinary shareholders’ meeting are adopted, on first call, by more than half of the share capital, on second call, by a majority of at least two-thirds of the holders of shares present or represented at such meeting, provided that a quorum of more than one-third of the issued shares is attending. In addition, certain matters (such as a change in business purpose or corporate form of the company, demergers, mergers, the transfer of its registered office outside Italy, its liquidation prior to the term set forth in its bylaws, the extension of the term, the revocation of liquidation and the issuance of special categories of shares) are approved by the extraordinary shareholders’ meeting pursuant to the quora indicated above.</w:t>
      </w:r>
    </w:p>
    <w:p>
      <w:pPr>
        <w:spacing w:after="0" w:line="19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Should our Company be considered an Open Company, according to Italian law, such resolutions are adopted, on first call, by a majority of at least two-thirds of the holders of shares present or represented at such meeting, provided that a quorum of at least half of the share capital is attending; on second call, by a majority of at least two-thirds of the holders of shares present or represented at such meeting, provided that a quorum of more than one-third of the share capital is attending; on third and subsequent calls, by a majority of at least two-thirds of the holders of shares present or represented at such meeting, provided that a quorum of at least one-fifth of the share capital is attending.</w:t>
      </w:r>
    </w:p>
    <w:p>
      <w:pPr>
        <w:spacing w:after="0" w:line="21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Under Italian law, a shareholder who has not participated in a resolution amending the bylaws that involves a change in the rights attached to the shares has the right to withdraw from the company.</w:t>
      </w:r>
    </w:p>
    <w:p>
      <w:pPr>
        <w:spacing w:after="0" w:line="192" w:lineRule="exact"/>
        <w:rPr>
          <w:sz w:val="20"/>
          <w:szCs w:val="20"/>
          <w:color w:val="auto"/>
        </w:rPr>
      </w:pPr>
    </w:p>
    <w:p>
      <w:pPr>
        <w:sectPr>
          <w:pgSz w:w="11900" w:h="16838" w:orient="portrait"/>
          <w:cols w:equalWidth="0" w:num="2">
            <w:col w:w="5380" w:space="36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4" w:name="page185"/>
    <w:bookmarkEnd w:id="184"/>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Inspection of Books and Records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Italian law, our shareholders may review the report of the board of directors on the management of our company and the report of our statutory auditors and accounting firm on our financial statements during the fifteen days prior to the ordinary shareholders’ meeting to approve those financial statements. The report remains on file at our offices and may be reviewed after the annual shareholders’ meeting. The report is also filed with the Companies’ Register of Milan and made publicly available. Moreover, any shareholder is entitled to examine the ledger of the minutes of the shareholders’ meeting, at any time.</w:t>
      </w:r>
    </w:p>
    <w:p>
      <w:pPr>
        <w:spacing w:after="0" w:line="20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Furthermore, since our Company is not a Private Company, the ownership of the participations to our corporate capital may vary on a daily basis and related transactions are electronically registered by intermediaries (banks and financial institutions) on specific accounting records. So, for each financial instruments account holder, the intermediary shall record in the register managed by the intermediary the financial instruments held, their transfer, the rights exercised and any restrictions, if any. After such registration, the account holder (basically the shareholder) shall legitimately have full and exclusive exercise of rights pertaining to the financial instruments registered on that account (such as voting, economic, administrative rights etc.). The entitlement to exercise such rights is then proven by the exhibition of certifications or communications to the issuer made by the intermediaries, pursuant to their own accounting records, in favor of the subject entitled to the right.</w:t>
      </w:r>
    </w:p>
    <w:p>
      <w:pPr>
        <w:spacing w:after="0" w:line="180" w:lineRule="exact"/>
        <w:rPr>
          <w:sz w:val="20"/>
          <w:szCs w:val="20"/>
          <w:color w:val="auto"/>
        </w:rPr>
      </w:pPr>
    </w:p>
    <w:p>
      <w:pPr>
        <w:sectPr>
          <w:pgSz w:w="11900" w:h="16838" w:orient="portrait"/>
          <w:cols w:equalWidth="0" w:num="2">
            <w:col w:w="5420" w:space="32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2"/>
          <w:szCs w:val="12"/>
          <w:i w:val="1"/>
          <w:iCs w:val="1"/>
          <w:color w:val="auto"/>
        </w:rPr>
        <w:t>Payment of dividends</w:t>
      </w:r>
    </w:p>
    <w:p>
      <w:pPr>
        <w:sectPr>
          <w:pgSz w:w="11900" w:h="16838" w:orient="portrait"/>
          <w:cols w:equalWidth="0" w:num="1">
            <w:col w:w="11240"/>
          </w:cols>
          <w:pgMar w:left="320" w:top="711" w:right="339" w:bottom="1440" w:gutter="0" w:footer="0" w:header="0"/>
          <w:type w:val="continuous"/>
        </w:sectPr>
      </w:pP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214" w:lineRule="exact"/>
        <w:rPr>
          <w:sz w:val="20"/>
          <w:szCs w:val="20"/>
          <w:color w:val="auto"/>
        </w:rPr>
      </w:pPr>
    </w:p>
    <w:p>
      <w:pPr>
        <w:ind w:left="400" w:hanging="248"/>
        <w:spacing w:after="0"/>
        <w:tabs>
          <w:tab w:leader="none" w:pos="4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400" w:hanging="248"/>
        <w:spacing w:after="0" w:line="342" w:lineRule="auto"/>
        <w:tabs>
          <w:tab w:leader="none" w:pos="40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260"/>
        <w:spacing w:after="0" w:line="267" w:lineRule="auto"/>
        <w:rPr>
          <w:sz w:val="20"/>
          <w:szCs w:val="20"/>
          <w:color w:val="auto"/>
        </w:rPr>
      </w:pPr>
      <w:r>
        <w:rPr>
          <w:rFonts w:ascii="Arial" w:cs="Arial" w:eastAsia="Arial" w:hAnsi="Arial"/>
          <w:sz w:val="17"/>
          <w:szCs w:val="17"/>
          <w:color w:val="auto"/>
        </w:rPr>
        <w:t>Under Italian law, our payment of any annual dividend must be proposed by our board of directors to the shareholders and is subject to the approval of our shareholders at the annual ordinary shareholders’ meeting. Before dividends may be paid out of our profits in any year, we must allocate an amount equal to 5% of the net profit to our legal reserve until such reserve is at least equal to 20% of our corporate capital. If our capital is reduced as a result of accumulated losses, we may not pay dividends until the capital is reconstituted or reduced by the amount of such losses. We may distribute reserves derived from available earnings retained from prior years, provided that after such payment we will have a legal reserve at least equal to the legally required minimum of 20% of the capital. We may not approve or pay dividends until this minimum (i.e., 20% of the capital) is met. If the minimum is met, the board of directors could propose the issuance of a dividend and the shareholders’ resolution might approve that issuance. The shareholders’ resolution will specify the manner and the date of dividend payment. Any dividends which shareholders do not collect within five years of the date on which they become payable will be forfeited by those shareholders and the money will return to us. The board of directors may not approve interim dividends at times between our annual ordinary shareholders’ meetings.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40" w:space="40"/>
            <w:col w:w="5760"/>
          </w:cols>
          <w:pgMar w:left="320" w:top="711" w:right="339" w:bottom="1440" w:gutter="0" w:footer="0" w:header="0"/>
          <w:type w:val="continuous"/>
        </w:sectPr>
      </w:pPr>
    </w:p>
    <w:bookmarkStart w:id="185" w:name="page186"/>
    <w:bookmarkEnd w:id="185"/>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Return of Capital</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Delaware law provides that corporations may return capital by dividend, redemption or repurchase subject to certain solvency tests. Shareholder approval is not required for these transactions so long as the corporation meets the solvency tests.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Italian law, we are permitted to purchase our outstanding shares, subject to certain conditions and limitations. We may only purchase the shares out of profits available for dividends or out of distributable reserves, in each case as appearing on the latest shareholders-approved financial statements. Further, we may only repurchase fully paid-in shares. Such purchases and the conditions thereto must be authorized by shareholder vote at an ordinary shareholders’ meeting and the authorization may be issued for a period not to exceed eighteen (18) months. The aggregate purchase price of such shares may not exceed the earnings reserve specifically approved by shareholders. Shares held in violation of the above conditions and limitations must be sold within one year of the date of purchase; in lack, they must be cancelled and the corporate capital must be reduced accordingly. Similar limitations apply with respect to purchases of the Company’s shares by its subsidiaries.</w:t>
      </w:r>
    </w:p>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 corresponding reserve equal to the purchase price of such shares must be created in the balance sheet, and such reserve is not available for distribution, unless such shares are sold or cancelled. Shares purchased and held by us may be resold only pursuant to a resolution of our shareholders adopted at an ordinary shareholders’ meeting. The voting rights attaching to the shares held by us or our subsidiaries cannot be exercised, but the shares can be counted for quorum purposes in shareholders’ meetings. Dividends and other rights, including pre-emptive rights, attaching to such shares, will accrue to the benefit of other shareholders.</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foregoing limitations do not apply in case we purchase our shares: (i) by giving execution to shareholders’ meeting resolution authorizing capital reduction through repurchase or cancellation; (ii) for free, to the extent they are fully paid-in; (iii) as a consequence of universal succession, merger or demerger; (iv) on occasion of foreclosures authorized to satisfy a credit of our company, to the extent they are fully paid-in.</w:t>
      </w:r>
    </w:p>
    <w:p>
      <w:pPr>
        <w:spacing w:after="0" w:line="191"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quora required for the constitution and for the resolutions of the shareholders’ meetings.</w:t>
      </w:r>
    </w:p>
    <w:p>
      <w:pPr>
        <w:spacing w:after="0" w:line="200" w:lineRule="exact"/>
        <w:rPr>
          <w:sz w:val="20"/>
          <w:szCs w:val="20"/>
          <w:color w:val="auto"/>
        </w:rPr>
      </w:pPr>
    </w:p>
    <w:p>
      <w:pPr>
        <w:sectPr>
          <w:pgSz w:w="11900" w:h="16838" w:orient="portrait"/>
          <w:cols w:equalWidth="0" w:num="2">
            <w:col w:w="5220" w:space="520"/>
            <w:col w:w="5480"/>
          </w:cols>
          <w:pgMar w:left="320" w:top="711" w:right="359"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6" w:name="page187"/>
    <w:bookmarkEnd w:id="186"/>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Creation and issuance of new shares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 approval is required to authorize capital stock in excess of that provided in the charter. The corporation must file a certificate of amendment to its certificate of incorporation before the creation of additional authorized shares may become effective.</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without shareholder consent, authorize capital stock to be issued for consideration consisting of cash, any tangible or intangible property or any benefit to the corporation, or any combination thereof.</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Italian law, the issuance of any shares, ordinary or otherwise, requires an amendment to our bylaws to increase our capital, which must be recommended to our shareholders by our board of directors and approved by a vote of our shareholders at an extraordinary meeting of the shareholders. Shares so issued can be placed by the board of directors through delegation of powers resolved upon by the extraordinary shareholders’ meeting. Once our shareholders have authorized the issuance of securities and the same have been subscribed, those securities must be paid for before the newly issued shares may be purchased. The board would also need to recommend, and the shareholders would need to approve by vote at the extraordinary meeting, specific terms of the securities.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would need to meet again to re-delegate this authority. With respect to shareholders’ resolutions approving capital increases, Italian law provides that in the absence of meeting minutes or in the event of the impossibility or illegality of the resolution, any interested person may challenge such resolution for a period of 180 days following the filing of the shareholders’ resolution with the Register of Companies. If a shareholders’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shareholders’ resolution has been, also partially, executed. Finally, once our shareholders authorize a capital increase, all those authorized shares that have been subscribed must be paid-up entirely before a new capital increase may be executed.</w:t>
      </w:r>
    </w:p>
    <w:p>
      <w:pPr>
        <w:spacing w:after="0" w:line="200" w:lineRule="exact"/>
        <w:rPr>
          <w:sz w:val="20"/>
          <w:szCs w:val="20"/>
          <w:color w:val="auto"/>
        </w:rPr>
      </w:pPr>
    </w:p>
    <w:p>
      <w:pPr>
        <w:spacing w:after="0" w:line="2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By means of shareholders’ extraordinary resolution, we can also increase our corporate capital by allocating to capital the reserves and other funds registered in our financial statements. In this case, the newly issued shares must have the same characteristics as those previously issued, and they must be placed to the shareholders proportionally to their shareholdings in the company.</w:t>
      </w:r>
    </w:p>
    <w:p>
      <w:pPr>
        <w:spacing w:after="0" w:line="200" w:lineRule="exact"/>
        <w:rPr>
          <w:sz w:val="20"/>
          <w:szCs w:val="20"/>
          <w:color w:val="auto"/>
        </w:rPr>
      </w:pPr>
    </w:p>
    <w:p>
      <w:pPr>
        <w:sectPr>
          <w:pgSz w:w="11900" w:h="16838" w:orient="portrait"/>
          <w:cols w:equalWidth="0" w:num="2">
            <w:col w:w="5420" w:space="320"/>
            <w:col w:w="5480"/>
          </w:cols>
          <w:pgMar w:left="320" w:top="711" w:right="359" w:bottom="1440" w:gutter="0" w:footer="0" w:header="0"/>
          <w:type w:val="continuous"/>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7" w:name="page188"/>
    <w:bookmarkEnd w:id="187"/>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Option Rights</w:t>
      </w:r>
    </w:p>
    <w:p>
      <w:pPr>
        <w:sectPr>
          <w:pgSz w:w="11900" w:h="16838" w:orient="portrait"/>
          <w:cols w:equalWidth="0" w:num="1">
            <w:col w:w="11200"/>
          </w:cols>
          <w:pgMar w:left="320" w:top="711" w:right="379" w:bottom="1440" w:gutter="0" w:footer="0" w:header="0"/>
        </w:sectPr>
      </w:pP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Delaware law, shareholders do not possess option rights with respect to the issuance of additional securities by the corporation,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Italian law, shareholders and holders of convertible debentures are entitled to subscribe for issuance of ordinary shares or convertible debentures in proportion to their holdings at the time of authorization of the capital increase for those issuances, except in the case of contributions in kind. Those who exercise such option right, provided they make such request simultaneously, have a pre-emption right on the purchase of shares and bonds convertible into shares that have not been subscribed. The option rights may be excluded or limited by a shareholders’ resolution at an extraordinary meeting of the shareholders, if such exclusion or limitation is in the interest of our company, or if the shares are to be paid by means of contributions in kind. Bylaws of Public Companies and of companies with stocks traded in multilateral trading systems may also exclude the option right within the limits of ten per cent of the pre-existing share capital, provided that the issue price corresponds to the market value of the shares and this is confirmed in a specific report issued by an auditor or an auditing company.</w:t>
      </w:r>
    </w:p>
    <w:p>
      <w:pPr>
        <w:spacing w:after="0" w:line="20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According to Italian law proposals to increase share capital with exclusion or limitation of option rights must be illustrated by the directors with a specific report which sets out the reasons for the exclusion or limitation of the option right, or, if the exclusion derives from a contribution in kind, the reasons for such contribution in kind, and in any case the criteria adopted for determining the issue price. The report must be communicated by the directors to the board of statutory auditors and to the person appointed to audit the accounts at least thirty days prior to the date set for the shareholders’ meeting. Within fifteen days, the board of statutory auditors must express its opinion on the fairness of the issue price of the shares. The opinion of the board of statutory auditors and, only in the case of contribution in kind, the sworn report of the expert appointed by the Court or the documentation provided by Italian law, must remain deposited at the company’s registered office during the fifteen days prior to the shareholders’ meeting and until the latter has passed a resolution. Such terms may be waived by unanimous consent of the shareholders. The resolution shall determine the issue price of the shares on the basis of the value of shareholders’ equity, taking into account, in the case of shares listed on regulated markets, also the trend in prices over the last six months. The foregoing procedure shall apply also in case of capital increase delegated to the board of directors.</w:t>
      </w:r>
    </w:p>
    <w:p>
      <w:pPr>
        <w:spacing w:after="0" w:line="200" w:lineRule="exact"/>
        <w:rPr>
          <w:sz w:val="20"/>
          <w:szCs w:val="20"/>
          <w:color w:val="auto"/>
        </w:rPr>
      </w:pPr>
    </w:p>
    <w:p>
      <w:pPr>
        <w:sectPr>
          <w:pgSz w:w="11900" w:h="16838" w:orient="portrait"/>
          <w:cols w:equalWidth="0" w:num="2">
            <w:col w:w="5440" w:space="300"/>
            <w:col w:w="5460"/>
          </w:cols>
          <w:pgMar w:left="320" w:top="711" w:right="379" w:bottom="1440" w:gutter="0" w:footer="0" w:header="0"/>
          <w:type w:val="continuous"/>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type w:val="continuous"/>
        </w:sectPr>
      </w:pPr>
    </w:p>
    <w:bookmarkStart w:id="188" w:name="page189"/>
    <w:bookmarkEnd w:id="188"/>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Debt-equity ratio</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there are no restrictions on the amount of debt securities that a corporation may issue.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260" w:right="80"/>
        <w:spacing w:after="0" w:line="287" w:lineRule="auto"/>
        <w:rPr>
          <w:sz w:val="20"/>
          <w:szCs w:val="20"/>
          <w:color w:val="auto"/>
        </w:rPr>
      </w:pPr>
      <w:r>
        <w:rPr>
          <w:rFonts w:ascii="Arial" w:cs="Arial" w:eastAsia="Arial" w:hAnsi="Arial"/>
          <w:sz w:val="16"/>
          <w:szCs w:val="16"/>
          <w:color w:val="auto"/>
        </w:rPr>
        <w:t>Under Italian law, we may issue debt securities in an amount not to exceed twice the sum of our capital, our legal reserve and any other disposable reserves appearing on our latest Italian balance sheet approved by our shareholders. The board of statutory auditors must certify compliance with such limitation. This limitation may be exceeded if the debt securities issued in excess are intended for subscription by professional investors subject to prudential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w:t>
      </w:r>
    </w:p>
    <w:p>
      <w:pPr>
        <w:spacing w:after="0" w:line="195" w:lineRule="exact"/>
        <w:rPr>
          <w:sz w:val="20"/>
          <w:szCs w:val="20"/>
          <w:color w:val="auto"/>
        </w:rPr>
      </w:pPr>
    </w:p>
    <w:p>
      <w:pPr>
        <w:ind w:left="260"/>
        <w:spacing w:after="0" w:line="284" w:lineRule="auto"/>
        <w:rPr>
          <w:sz w:val="20"/>
          <w:szCs w:val="20"/>
          <w:color w:val="auto"/>
        </w:rPr>
      </w:pPr>
      <w:r>
        <w:rPr>
          <w:rFonts w:ascii="Arial" w:cs="Arial" w:eastAsia="Arial" w:hAnsi="Arial"/>
          <w:sz w:val="16"/>
          <w:szCs w:val="16"/>
          <w:color w:val="auto"/>
        </w:rPr>
        <w:t>The legal reserve is a reserve to which we allocate 5% of our net income each year until it equals at least 20% of our corporate capital. One of the other reserves that we maintain on our balance sheet is a “share premium reserve,” which reflects the amount paid for our ordinary shares in excess of the amount of such ordinary shares allocated to our capital. We may not voluntarily reduce our capital or distribute our reserves (such as by declaring dividends) until our outstanding debt securities are repaid in full. In the event the aggregate of the capital and reserves, following such reduction of capital and/or distribution of reserves, is less than half of the outstanding amount of the debt securities. If our equity is reduced by losses or otherwise, such that the amount of the outstanding debt securities is more than twice the amount of our equity, we cannot distribute profits to our shareholders until the ratio between the amount of our debt securities and our capital and reserves is restored. Some legal scholars are of the opinion that the ratio must be restored by a recapitalization of our company. If our equity is reduced, we could recapitalize by means of issuing new shares by or having our current shareholders contribute additional capital to our company, although there can be no assurance that we would be able to find purchasers for new shares or that any of our current shareholders would be willing to contribute additional capital. These provisions regarding the ratio of debt securities to capital and reserves do not apply to the issuance of debt securities to professional investors (as defined by Italian law). However, professional investors who transfer such debt securities issued by us to third parties not qualified as professional investors would remain liable to our third-party investors for the payment of such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900" w:space="580"/>
            <w:col w:w="5760"/>
          </w:cols>
          <w:pgMar w:left="320" w:top="711" w:right="339" w:bottom="1440" w:gutter="0" w:footer="0" w:header="0"/>
          <w:type w:val="continuous"/>
        </w:sectPr>
      </w:pPr>
    </w:p>
    <w:bookmarkStart w:id="189" w:name="page190"/>
    <w:bookmarkEnd w:id="189"/>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Reduction of equity by losses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shareholder equity in a corporation is reduced by losses and may become negative.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Italian law requires us to reduce our shareholders’ equity in certain situations. Our shareholders’ equity has three main components: capital, legal reserves and other shareholders’ equity (such as any premium paid for the shares over the par value and any retained earnings). We first apply our losses from operations against our shareholders’ equity other than legal reserves and capital. If additional losses remain and, after the legal reserves, our corporate capital is reduced by more than one-third as a result of losses, our board of directors must call a shareholders’ meeting as soon as possible. The shareholders, having received an updated report on the company financial situation with the board of statutory auditors’ opinion, should take appropriate measures, which may include, </w:t>
      </w:r>
      <w:r>
        <w:rPr>
          <w:rFonts w:ascii="Arial" w:cs="Arial" w:eastAsia="Arial" w:hAnsi="Arial"/>
          <w:sz w:val="16"/>
          <w:szCs w:val="16"/>
          <w:i w:val="1"/>
          <w:iCs w:val="1"/>
          <w:color w:val="auto"/>
        </w:rPr>
        <w:t>inter alia</w:t>
      </w:r>
      <w:r>
        <w:rPr>
          <w:rFonts w:ascii="Arial" w:cs="Arial" w:eastAsia="Arial" w:hAnsi="Arial"/>
          <w:sz w:val="16"/>
          <w:szCs w:val="16"/>
          <w:color w:val="auto"/>
        </w:rPr>
        <w:t>, reducing the legal reserves and capital by the amount of the remaining losses, or carrying the losses forward up to one year. If the shareholders vote to carry the losses forward up to one year, and the losses are still more than one-third of the amount of the capital at the end of that year, then we must reduce our capital by the amount of the losses suffered. However, as an S.p.A., we must maintain capital of at least €50,000. If the amount of the losses would reduce our corporate capital to less than €50,000, then:</w:t>
      </w:r>
    </w:p>
    <w:p>
      <w:pPr>
        <w:spacing w:after="0" w:line="198" w:lineRule="exact"/>
        <w:rPr>
          <w:sz w:val="20"/>
          <w:szCs w:val="20"/>
          <w:color w:val="auto"/>
        </w:rPr>
      </w:pPr>
    </w:p>
    <w:p>
      <w:pPr>
        <w:ind w:left="400" w:right="60" w:hanging="242"/>
        <w:spacing w:after="0" w:line="296" w:lineRule="auto"/>
        <w:tabs>
          <w:tab w:leader="none" w:pos="40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we would need to increase our capital, which we could do by issuing new shares or having our shareholders contribute additional capital to our company, although there can be no assurance that we would be able to find purchasers for new shares or that any of our current shareholders would be willing to contribute additional capital;</w:t>
      </w:r>
    </w:p>
    <w:p>
      <w:pPr>
        <w:spacing w:after="0" w:line="188" w:lineRule="exact"/>
        <w:rPr>
          <w:rFonts w:ascii="Arial" w:cs="Arial" w:eastAsia="Arial" w:hAnsi="Arial"/>
          <w:sz w:val="16"/>
          <w:szCs w:val="16"/>
          <w:color w:val="auto"/>
        </w:rPr>
      </w:pPr>
    </w:p>
    <w:p>
      <w:pPr>
        <w:ind w:left="400" w:right="140" w:hanging="242"/>
        <w:spacing w:after="0" w:line="296" w:lineRule="auto"/>
        <w:tabs>
          <w:tab w:leader="none" w:pos="40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our shareholders would need to convert our company to an “S.r.l.”, a private limited liability company, which has a lower capital requirement of €10,000. Such arrangement would, however, prevent the Company to remain listed on Nasdaq since the S.r.l. form is not consistent with being listed pursuant to Italian law; or</w:t>
      </w:r>
    </w:p>
    <w:p>
      <w:pPr>
        <w:spacing w:after="0" w:line="188" w:lineRule="exact"/>
        <w:rPr>
          <w:rFonts w:ascii="Arial" w:cs="Arial" w:eastAsia="Arial" w:hAnsi="Arial"/>
          <w:sz w:val="16"/>
          <w:szCs w:val="16"/>
          <w:color w:val="auto"/>
        </w:rPr>
      </w:pPr>
    </w:p>
    <w:p>
      <w:pPr>
        <w:ind w:left="400" w:right="300" w:hanging="242"/>
        <w:spacing w:after="0" w:line="257" w:lineRule="auto"/>
        <w:tabs>
          <w:tab w:leader="none" w:pos="40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neither of these options are pursued, our shareholders or, if the directors do not convene a shareholders’ meeting, a court of competent jurisdiction, at the instance of individuals shareholders, could appoint a liquidator, who need not be an Italian citizen, to liquidate our company.</w:t>
      </w:r>
    </w:p>
    <w:p>
      <w:pPr>
        <w:spacing w:after="0" w:line="200" w:lineRule="exact"/>
        <w:rPr>
          <w:sz w:val="20"/>
          <w:szCs w:val="20"/>
          <w:color w:val="auto"/>
        </w:rPr>
      </w:pPr>
    </w:p>
    <w:p>
      <w:pPr>
        <w:sectPr>
          <w:pgSz w:w="11900" w:h="16838" w:orient="portrait"/>
          <w:cols w:equalWidth="0" w:num="2">
            <w:col w:w="5100" w:space="640"/>
            <w:col w:w="5480"/>
          </w:cols>
          <w:pgMar w:left="320" w:top="711" w:right="359"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CONTROLS</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 exchange control consent is required in Italy for the transfer of dividends or other distributions with respect to shares of an Italian company or proceeds from the sale thereof to persons outside of Italy.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5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Italian, or other taxing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 Tax Considerations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Under Italian law, financial instruments issued by an Italian company are subject to the same tax regime as are shares, provided that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remuneration is entirely represented by participation in the economic results of the issuer. Pursuant to Article 10(3) of the Income Tax Convention, the tax regime of dividends applies to income from corporate rights of an Italian company, which is subject to the same taxation treatment as income from shares under the laws of Italy.</w:t>
      </w:r>
    </w:p>
    <w:p>
      <w:pPr>
        <w:spacing w:after="0" w:line="21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b w:val="1"/>
          <w:bCs w:val="1"/>
          <w:i w:val="1"/>
          <w:iCs w:val="1"/>
          <w:color w:val="auto"/>
        </w:rPr>
        <w:t>Income Tax Withholding on Dividends</w:t>
      </w:r>
      <w:r>
        <w:rPr>
          <w:rFonts w:ascii="Arial" w:cs="Arial" w:eastAsia="Arial" w:hAnsi="Arial"/>
          <w:sz w:val="17"/>
          <w:szCs w:val="17"/>
          <w:color w:val="auto"/>
        </w:rPr>
        <w:t>. We do not anticipate making any distributions on our ordinary shares in the foreseeable future. However,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we were to make distributions on our ordinary shares, we would generally be required under Italian law, except as otherwise discussed below, to apply a definitive withholding tax on payments made to holders of our ordinary shares who are not residents of Italy for tax purposes.</w:t>
      </w:r>
    </w:p>
    <w:p>
      <w:pPr>
        <w:spacing w:after="0" w:line="19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Notably, dividends paid to beneficial owners who are not Italian residents and do not have a permanent establishment in Italy are generally subject to a 26 percent substitute tax rate. Therefore, the amount of the dividends that the holders of ADRs or holders of equity shares not residing in Italy will initially receive will be net of such Italian substitute tax.</w:t>
      </w:r>
    </w:p>
    <w:p>
      <w:pPr>
        <w:spacing w:after="0" w:line="21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All non-Italian resident owners of equity shares or ADRs may benefit from reduced withholding tax settled in the relevant anti-double tax treaty undersigned between Italy and the country of residence for tax purposes of the owners of equity shares or ADRs. The reduced withholding tax rate under the relevant anti-double tax treaty will be applicable provided that the non-resident owners of the equity shares or ADRs are able to produce the documentation attesting the requirements to be eligible for the application of the relevant anti-double tax treaty.</w:t>
      </w:r>
    </w:p>
    <w:p>
      <w:pPr>
        <w:spacing w:after="0" w:line="19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Italian law, US owners can claim, in accordance with Presidential Decree No. 600 of October 16, 1973, Article 27(3), a refund of up to eleven-twenty-sixths (</w:t>
      </w:r>
      <w:r>
        <w:rPr>
          <w:rFonts w:ascii="Arial" w:cs="Arial" w:eastAsia="Arial" w:hAnsi="Arial"/>
          <w:sz w:val="16"/>
          <w:szCs w:val="16"/>
          <w:i w:val="1"/>
          <w:iCs w:val="1"/>
          <w:color w:val="auto"/>
        </w:rPr>
        <w:t>i.e.</w:t>
      </w:r>
      <w:r>
        <w:rPr>
          <w:rFonts w:ascii="Arial" w:cs="Arial" w:eastAsia="Arial" w:hAnsi="Arial"/>
          <w:sz w:val="16"/>
          <w:szCs w:val="16"/>
          <w:color w:val="auto"/>
        </w:rPr>
        <w:t xml:space="preserve"> 11/26) of the Italian withholding tax withheld on dividends upon presenting evidence to the Italian tax authorities that income taxes have been fully paid on the dividends in the country of residence of the US owners in an amount at least equal to the total refund claimed. US holders should consult an independent tax advisor concerning the availability of this refund, which has traditionally become payable only after extensive delays.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double tax treaty in force between Italy and the United States of America (“US/Italy Income Tax Treaty”), if the payee is the beneficial owner of the payment, dividends paid to US owners will be subject to Italian withholding tax at a reduced rate of: 1) 5%, if the beneficiary is a company owning at least 25% of the payer’s voting shares (for at least 12 months preceding the dividend distribution); 2) 15% in any other case. The aforementioned regime (both 1 and 2) is applicable only if the payee does not carry out an entrepreneurial activity in Italy through a permanent establishment or performs independent personal services through a fixed place situated therein.</w:t>
      </w:r>
    </w:p>
    <w:p>
      <w:pPr>
        <w:spacing w:after="0" w:line="21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Companies or entities subject to corporation tax and resident in States that are European Union Member States or participants in the EEA (included in the list provided for by Italian Ministerial Decree, September 4, 1996, amended and supplemented by Ministerial Decree March 23, 2017) may be entitled to a reduced tax rate of 1.2% on dividends distributed. The pensions funds established in an EU Member State or EEA country may be entitled to a reduced tax rate of 11% or, under certain conditions, to exemption from Italian taxation on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on Capital Gains</w:t>
      </w:r>
      <w:r>
        <w:rPr>
          <w:rFonts w:ascii="Arial" w:cs="Arial" w:eastAsia="Arial" w:hAnsi="Arial"/>
          <w:sz w:val="18"/>
          <w:szCs w:val="18"/>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general rule, gains from shares in Italian companies, under custody in Italy, could give rise to a taxable income for the non-resident transferor.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91" w:name="page192"/>
    <w:bookmarkEnd w:id="191"/>
    <w:p>
      <w:pPr>
        <w:ind w:right="180" w:firstLine="648"/>
        <w:spacing w:after="0" w:line="263" w:lineRule="auto"/>
        <w:rPr>
          <w:sz w:val="20"/>
          <w:szCs w:val="20"/>
          <w:color w:val="auto"/>
        </w:rPr>
      </w:pPr>
      <w:r>
        <w:rPr>
          <w:rFonts w:ascii="Arial" w:cs="Arial" w:eastAsia="Arial" w:hAnsi="Arial"/>
          <w:sz w:val="18"/>
          <w:szCs w:val="18"/>
          <w:i w:val="1"/>
          <w:iCs w:val="1"/>
          <w:color w:val="auto"/>
        </w:rPr>
        <w:t xml:space="preserve">Capital Gains exempt from taxation in Italy </w:t>
      </w:r>
      <w:r>
        <w:rPr>
          <w:rFonts w:ascii="Arial" w:cs="Arial" w:eastAsia="Arial" w:hAnsi="Arial"/>
          <w:sz w:val="18"/>
          <w:szCs w:val="18"/>
          <w:color w:val="auto"/>
        </w:rPr>
        <w:t>- “Non-qualified shareholdings” are those which are below 2% of the voting rights and 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of an exchange-listed company. Gains from the disposal of non-qualified share investments in Italian listed companies by non-Italian residents are not subject to Italian income tax under domestic rule.</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i w:val="1"/>
          <w:iCs w:val="1"/>
          <w:color w:val="auto"/>
        </w:rPr>
        <w:t xml:space="preserve">Capital Gains subject to tax in Italy </w:t>
      </w:r>
      <w:r>
        <w:rPr>
          <w:rFonts w:ascii="Arial" w:cs="Arial" w:eastAsia="Arial" w:hAnsi="Arial"/>
          <w:sz w:val="18"/>
          <w:szCs w:val="18"/>
          <w:color w:val="auto"/>
        </w:rPr>
        <w:t>- “Qualified shareholdings” in a listed company are those representing more than the 2% of the voting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than the 5% of the capital of an exchange-listed company. Capital gains from the disposal of a qualified shareholding in a listed company are subject to a withholding tax of 26% under the domestic rule.</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“qualified shareholding” thresholds must be verified over a 12-month monitoring period, starting from the day on which the investor has held at least a qualifying stake, either actual or potential (this rule aimed at preventing that a buy/sale kind of trading resulting in an overall disposition of over 2% in 12 months may result in a qualifying gain having to be declared even when the investor has never owned an actual or potential qualifying stake). As a consequence, all trades cumulatively carried out in a 12-month period should be considered. More in details: (i) until the investor holds a qualifying shareholding at any point in time, trades are not relevant for capital gain purposes, even if the overall amount disposed in a 12-month period exceeds the relevant thresholds; and (ii) starting from the day when the taxpayer holds a qualifying shareholding, all the trades carried out in any consecutive 12 months give rise to qualified capital gains if the overall amount disposed of exceeds one of the relevant thresholds.</w:t>
      </w:r>
    </w:p>
    <w:p>
      <w:pPr>
        <w:spacing w:after="0" w:line="20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However please be informed that in accordance with rules stated in the anti-double tax treaty, in force between Italy and the country of residence for tax purposes of the transferor, is possible to claim the benefit of exemption of the 26% taxation on capital gains. In principle, and more in details, the art. 13 of the OECD model convention basically states that the capital gain is only taxed in the transferor’s country of tax residence. The Italy – U.S.A. anti-double treaty tax convention states a taxation criterion in line with the above. In the light of the above and upon conditions that all the requirements relevant for the application of the Italy – U.S.A. anti-double treaty tax convention are met, an US investor may benefit from the fully exemption of taxation in Italy.</w:t>
      </w:r>
    </w:p>
    <w:p>
      <w:pPr>
        <w:spacing w:after="0" w:line="21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Furthermore, save for any applicable anti-avoidance provision, pursuant to the Income Tax Convention, a US owner will not be subject to Italian capital gain tax or to Italian individual or corporate income tax unless such US owner has a permanent establishment or fixed base in Italy to which the owner’s ordinary shares is effectively connected. To this end, US owners selling ordinary shares and claiming benefits under the Income Tax Convention may be required to produce appropriate documentation establishing that the above-mentioned conditions have been met.</w:t>
      </w:r>
    </w:p>
    <w:p>
      <w:pPr>
        <w:spacing w:after="0" w:line="198"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16"/>
          <w:szCs w:val="16"/>
          <w:i w:val="1"/>
          <w:iCs w:val="1"/>
          <w:color w:val="auto"/>
        </w:rPr>
        <w:t>Estate and Gift Tax</w:t>
      </w:r>
      <w:r>
        <w:rPr>
          <w:rFonts w:ascii="Arial" w:cs="Arial" w:eastAsia="Arial" w:hAnsi="Arial"/>
          <w:sz w:val="16"/>
          <w:szCs w:val="16"/>
          <w:color w:val="auto"/>
        </w:rPr>
        <w:t>. Inheritance and gift taxes, which were abolished in 2001, have been re-introduced in the Italian system by Law Decree No.</w:t>
      </w:r>
      <w:r>
        <w:rPr>
          <w:rFonts w:ascii="Arial" w:cs="Arial" w:eastAsia="Arial" w:hAnsi="Arial"/>
          <w:sz w:val="16"/>
          <w:szCs w:val="16"/>
          <w:i w:val="1"/>
          <w:iCs w:val="1"/>
          <w:color w:val="auto"/>
        </w:rPr>
        <w:t xml:space="preserve"> </w:t>
      </w:r>
      <w:r>
        <w:rPr>
          <w:rFonts w:ascii="Arial" w:cs="Arial" w:eastAsia="Arial" w:hAnsi="Arial"/>
          <w:sz w:val="16"/>
          <w:szCs w:val="16"/>
          <w:color w:val="auto"/>
        </w:rPr>
        <w:t>262 of October 3, 2006 (converted into law, with amendments, by Law Decree No. 286 of November 24, 2006), as amended. Such taxes will apply to the overall net value of the relevant assets, at the following rates, depending on the relationship between the testate (or donor) and the beneficiary (or donee):</w:t>
      </w:r>
    </w:p>
    <w:p>
      <w:pPr>
        <w:spacing w:after="0" w:line="2" w:lineRule="exact"/>
        <w:rPr>
          <w:sz w:val="20"/>
          <w:szCs w:val="20"/>
          <w:color w:val="auto"/>
        </w:rPr>
      </w:pPr>
    </w:p>
    <w:p>
      <w:pPr>
        <w:jc w:val="both"/>
        <w:ind w:right="200" w:firstLine="8"/>
        <w:spacing w:after="0" w:line="292" w:lineRule="auto"/>
        <w:tabs>
          <w:tab w:leader="none" w:pos="24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4%, if the beneficiary (or donee) is the spouse or a direct ascendant or descendant (such rate only applying on the net asset value exceeding, for each person, €1 million); (b) 6%, if the beneficiary (or donee) is a brother or sister (such rate only applying on the net asset value exceeding, for each person, €100,000); (c) 6% if the beneficiary (or donee) is another relative within the fourth degree or a direct relative-in-law as well as an indirect relative-in-law within the third degree; and (d) 8% if the beneficiary is a person other than those mentioned under (a), (b) and (c), above. If the beneficiary has a serious disability recognized under applicable law, inheritance and gift taxes will apply to its portion of the net asset value exceeding €1.5 million.</w:t>
      </w:r>
    </w:p>
    <w:p>
      <w:pPr>
        <w:spacing w:after="0" w:line="18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i w:val="1"/>
          <w:iCs w:val="1"/>
          <w:color w:val="auto"/>
        </w:rPr>
        <w:t>Transfer tax</w:t>
      </w:r>
      <w:r>
        <w:rPr>
          <w:rFonts w:ascii="Arial" w:cs="Arial" w:eastAsia="Arial" w:hAnsi="Arial"/>
          <w:sz w:val="17"/>
          <w:szCs w:val="17"/>
          <w:color w:val="auto"/>
        </w:rPr>
        <w:t>. In connection with the Italian stamp duty tax on the transfer of shares, according to article 37 of Law No. 248 of December 31, 2007,</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with amendments into Law No. 31 of February 28, 2008, the stamp duty has been abolished with regard to contracts having as their object the transfer of shares. In certain cases the relevant transfer acts would be subject to the registration tax at a flat amount equal to €200.</w:t>
      </w:r>
    </w:p>
    <w:p>
      <w:pPr>
        <w:spacing w:after="0" w:line="1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Communications Stamp Duty</w:t>
      </w:r>
      <w:r>
        <w:rPr>
          <w:rFonts w:ascii="Arial" w:cs="Arial" w:eastAsia="Arial" w:hAnsi="Arial"/>
          <w:sz w:val="16"/>
          <w:szCs w:val="16"/>
          <w:color w:val="auto"/>
        </w:rPr>
        <w:t>. A stamp duty has been introduced under article 19 of Law Decree No. 201 of December 6, 2011, converted into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 No. 214 of December 22, 2011, to be imposed on communications (issued by banks and financial intermediaries) to clients relating to securities, even where the deposit of such securities is not mandatory (although certain entities are excluded). The amount of the stamp duty is based on the market value of the securities or, in the absence of a market value, on the nominal amount or the amount payable on redemption. As a general comment, the stamp duty rate is 0.2% on a yearly </w:t>
      </w:r>
      <w:r>
        <w:rPr>
          <w:rFonts w:ascii="Arial" w:cs="Arial" w:eastAsia="Arial" w:hAnsi="Arial"/>
          <w:sz w:val="16"/>
          <w:szCs w:val="16"/>
          <w:i w:val="1"/>
          <w:iCs w:val="1"/>
          <w:color w:val="auto"/>
        </w:rPr>
        <w:t>pro-rata temporis</w:t>
      </w:r>
      <w:r>
        <w:rPr>
          <w:rFonts w:ascii="Arial" w:cs="Arial" w:eastAsia="Arial" w:hAnsi="Arial"/>
          <w:sz w:val="16"/>
          <w:szCs w:val="16"/>
          <w:color w:val="auto"/>
        </w:rPr>
        <w:t xml:space="preserve"> basis (from January 1 up to December 31). The minimum amount is fixed of € 34,20 up to a maximum amount of €14,000. The communication is deemed to be sent to clients at least once a year, even where there is no obligation to issue any such communication.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2" w:name="page193"/>
    <w:bookmarkEnd w:id="192"/>
    <w:p>
      <w:pPr>
        <w:ind w:firstLine="648"/>
        <w:spacing w:after="0" w:line="296" w:lineRule="auto"/>
        <w:rPr>
          <w:sz w:val="20"/>
          <w:szCs w:val="20"/>
          <w:color w:val="auto"/>
        </w:rPr>
      </w:pPr>
      <w:r>
        <w:rPr>
          <w:rFonts w:ascii="Arial" w:cs="Arial" w:eastAsia="Arial" w:hAnsi="Arial"/>
          <w:sz w:val="16"/>
          <w:szCs w:val="16"/>
          <w:i w:val="1"/>
          <w:iCs w:val="1"/>
          <w:color w:val="auto"/>
        </w:rPr>
        <w:t>Financial Transaction Tax</w:t>
      </w:r>
      <w:r>
        <w:rPr>
          <w:rFonts w:ascii="Arial" w:cs="Arial" w:eastAsia="Arial" w:hAnsi="Arial"/>
          <w:sz w:val="16"/>
          <w:szCs w:val="16"/>
          <w:color w:val="auto"/>
        </w:rPr>
        <w:t>. Law 228 of December 24, 2012, Article 1(491 – 500) introduced the Italian Financial Transaction Tax applicable (i)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transfer of shares and other participative financial instruments issued by companies resident in Italy (“Italian Equity”) and securities representing Italian Equity, regardless of the country where the issuer has its residence (together with Italian Equity are referred to as “Qualifying Equity”); (ii) on the basis of the “value of the transaction”; (iii) regardless of the place where the transaction is concluded and of the State where the parties have their residence; (iv) to transactions on “regulated markets and on multilateral trading facilities” with a reduced rate; (v) to over-the-counter transactions with a full rate.</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taxable event, triggering Italian Financial Transaction Tax, is the transfer of ownership of Qualifying Equity. Securities representing Italian Equity are in scope of the Italian Financial Transaction Tax, regardless of the State where the issuer has its residence. This provision is aimed at including in the scope of the Italian Financial Transaction Tax, American Depository Receipts (“ADRs”), Global Depository Receipts (“GDRs”) and any other certificate of deposit, where the underlying securities are Italian Equity.</w:t>
      </w:r>
    </w:p>
    <w:p>
      <w:pPr>
        <w:spacing w:after="0" w:line="214"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value of the transaction is determined on the basis of the net balance of the transactions settled daily, calculated for each taxpayer with reference to the number of securities traded under the transactions settled in the same day and relating to the same financial instrument.</w:t>
      </w:r>
    </w:p>
    <w:p>
      <w:pPr>
        <w:spacing w:after="0" w:line="15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calculation is made by the financial intermediary responsible for the payment of the tax, i.e., the one receiving the order to execute the transaction directly from the purchaser or final counterparty.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Italian Financial Transaction Tax is due by the person in whose favor the transfer of ownership of the Qualifying Equities occurs.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rate applicable is 0.20% while the reduced rate for transactions on “regulated markets and on multilateral trading facilities” is 0.10%.</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shall be paid by the 16th day of the month following the one in which the relevant triggering event occurs.</w:t>
      </w:r>
    </w:p>
    <w:p>
      <w:pPr>
        <w:spacing w:after="0" w:line="252"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The Italian Financial Transaction Tax does not apply to the transfer of ownership of Italian Equity where the issuing companies are listed in regulated markets and have a market capitalization below 500 million Euros. Such exclusion also applies to the transfer of ownership of securities representing Italian Equity.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5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ADSS, INCLUDING THE EFFECTS OF APPLICABLE STATE, LOCAL, FOREIGN OR OTHER TAX LAWS AND POSSIBLE CHANGES IN THE TAX LAWS.</w:t>
      </w:r>
    </w:p>
    <w:p>
      <w:pPr>
        <w:spacing w:after="0" w:line="21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Subject to the limitations described in the next paragraph, the following discussion summarizes the material U.S. federal income tax consequences to a “U.S. Holder” arising from the purchase, ownership and sale of the ADSs. For this purpose, a “U.S. Holder” is a holder of ADSs that is: (1) an individual citizen or resident of the United States, including an alien individual who is a lawful permanent resident of the United States or meets the substantial presence residency test under U.S. federal income tax laws; (2) a corporation (or entity treated as a corporation for U.S. federal income tax purposes) or a partnership (other than a partnership that is not treated as a U.S. person under any applicable U.S. Treasury regulations) created or organized under the laws of the United States or the District of Columbia or any political subdivision thereof; (3) an estate, the income of which is includable in gross income for U.S. federal income tax purposes regardless of source; (4) a trust if a court within the United States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3" w:name="page194"/>
    <w:bookmarkEnd w:id="193"/>
    <w:p>
      <w:pPr>
        <w:ind w:firstLine="648"/>
        <w:spacing w:after="0" w:line="290" w:lineRule="auto"/>
        <w:rPr>
          <w:sz w:val="20"/>
          <w:szCs w:val="20"/>
          <w:color w:val="auto"/>
        </w:rPr>
      </w:pPr>
      <w:r>
        <w:rPr>
          <w:rFonts w:ascii="Arial" w:cs="Arial" w:eastAsia="Arial" w:hAnsi="Arial"/>
          <w:sz w:val="16"/>
          <w:szCs w:val="16"/>
          <w:color w:val="auto"/>
        </w:rPr>
        <w:t>This summary is for general information purposes only and does not purport to be a comprehensive description of all of the U.S. federal income tax considerations that may be relevant to a decision to purchase the ADSs. This summary generally considers only U.S. Holders that will own the ADSs as capital assets.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U.S./Italy Income Tax Treaty, all as in effect as of the date hereof and all of which are subject to change, possibly on a retroactive basis, and all of which are open to differing interpretations. We will not seek a ruling from the IRS with regard to the U.S. federal income tax treatment of an investment in the ADSs by U.S. Holders and, therefore, can provide no assurances that the IRS will agree with the conclusions set forth below.</w:t>
      </w:r>
    </w:p>
    <w:p>
      <w:pPr>
        <w:spacing w:after="0" w:line="19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This discussion does not address all of the aspects of U.S. federal income taxation that may be relevant to a particular U.S. holder based on such holder’s particular circumstances and in particular does not discuss any estate, gift, generation-skipping, transfer, state, local, excise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w:t>
      </w:r>
    </w:p>
    <w:p>
      <w:pPr>
        <w:spacing w:after="0" w:line="1" w:lineRule="exact"/>
        <w:rPr>
          <w:sz w:val="20"/>
          <w:szCs w:val="20"/>
          <w:color w:val="auto"/>
        </w:rPr>
      </w:pPr>
    </w:p>
    <w:p>
      <w:pPr>
        <w:ind w:right="80" w:firstLine="8"/>
        <w:spacing w:after="0" w:line="269" w:lineRule="auto"/>
        <w:tabs>
          <w:tab w:leader="none" w:pos="25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 person who acquired our securities in connection with employment or other performance of services; (4) a U.S. Holder that is subject to the U.S. alternative minimum tax; (5) a U.S. Holder that holds our securities as a hedge or as part of a hedging, straddle, conversion or constructive sale transaction or other risk-reduction transaction for U.S. federal income tax purposes; (6) a tax-exempt entity; (7) real estate investment trusts or grantor trusts; (8) an expatriate or a former long-term resident of the United States; or (9) a U.S. Holder having a functional currency other than the U.S. dollar. This discussion does not address the U.S. federal income tax treatment of a U.S. Holder that owns, directly or constructively, at any time, securities representing 10% or more of the voting power or value of our shares. Additionally, the U.S. federal income tax treatment of partnerships (or other pass-through entities) or persons who hold securities through a partnership or other pass-through entity are not addressed.</w:t>
      </w:r>
    </w:p>
    <w:p>
      <w:pPr>
        <w:spacing w:after="0" w:line="20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Each prospective investor is advised to consult his or her own tax adviser for the specific tax consequences to that investor of purchasing, holding or disposing of our securities, including the effects of applicable state, local, foreign or other tax laws and possible changes in the tax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 Paid on Ordinary Shares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amount of any distribution paid on ordinary shares (including the amount of any Italy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capital gain. We do not expect to maintain calculations of our earnings and profits under U.S. federal income tax principles and, therefore, U.S. Holders should expect that the entire amount of any distribution generally will be reported as dividend income.</w:t>
      </w:r>
    </w:p>
    <w:p>
      <w:pPr>
        <w:spacing w:after="0" w:line="20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United States which includes an exchange of information program. The IRS has stated that the Italy/U.S. Tax Treaty satisfies this requirement and we believe we are eligible for the benefits of that treaty.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4" w:name="page195"/>
    <w:bookmarkEnd w:id="194"/>
    <w:p>
      <w:pPr>
        <w:ind w:right="80" w:firstLine="648"/>
        <w:spacing w:after="0" w:line="291" w:lineRule="auto"/>
        <w:rPr>
          <w:sz w:val="20"/>
          <w:szCs w:val="20"/>
          <w:color w:val="auto"/>
        </w:rPr>
      </w:pPr>
      <w:r>
        <w:rPr>
          <w:rFonts w:ascii="Arial" w:cs="Arial" w:eastAsia="Arial" w:hAnsi="Arial"/>
          <w:sz w:val="16"/>
          <w:szCs w:val="16"/>
          <w:color w:val="auto"/>
        </w:rPr>
        <w:t>In addition, our dividends will be qualified dividend income if our ordinary shares are readily tradable on Nasdaq or another established securities market in the United States. Dividends will not qualify for the preferential rates if we are treated, in the year the dividend is paid or in the prior year, as a PFIC, as described below under “Passive Foreign Investment Companies.” A U.S. Holder will not be entitled to the preferential rate: (1) if the U.S. Holder has not held our ordinary shares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spacing w:after="0" w:line="19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amount of a distribution with respect to our ordinary shares will be measured by the amount of the fair market value of any property distributed, and for U.S. federal income tax purposes, the amount of any Italian taxes withheld therefrom. Cash distributions paid by us in EUR will be included in the income of U.S. Holders at a U.S. dollar amount based upon the spot rate of exchange in effect on the date the dividend is includible in the income of the U.S. Holder, and U.S. Holders will have a tax basis in such EUR for U.S. federal income tax purposes equal to such U.S. dollar value. If the U.S. Holder subsequently converts the EUR into U.S. dollars or otherwise disposes of it, any subsequent gain or loss in respect of such EUR arising from exchange rate fluctuations will be U.S. source ordinary exchange gain or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Disposition of Ordinary Shares</w:t>
      </w:r>
    </w:p>
    <w:p>
      <w:pPr>
        <w:spacing w:after="0" w:line="25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in U.S. dollars and the amount realized on the disposition in U.S. dollar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Special U.S. federal income tax laws apply to U.S. taxpayers who own shares of a corporation that is a PFIC. We will be treated as a PFIC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for any taxable year that either:</w:t>
      </w:r>
    </w:p>
    <w:p>
      <w:pPr>
        <w:spacing w:after="0" w:line="238" w:lineRule="exact"/>
        <w:rPr>
          <w:sz w:val="20"/>
          <w:szCs w:val="20"/>
          <w:color w:val="auto"/>
        </w:rPr>
      </w:pPr>
    </w:p>
    <w:p>
      <w:pPr>
        <w:ind w:left="660" w:right="40" w:hanging="328"/>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75% or more of our gross income (including our pro rata share of gross income for any company, in which we are considered to own 25% or more of the shares by value), in a taxable year is passive; or</w:t>
      </w:r>
    </w:p>
    <w:p>
      <w:pPr>
        <w:spacing w:after="0" w:line="129"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At least 50% of our assets, averaged over the year and generally determined based upon fair market value (including our pro rata share of the assets of any company in which we are considered to own 25% or more of the shares by value) are held for the production of, or produce, passive income.</w:t>
      </w:r>
    </w:p>
    <w:p>
      <w:pPr>
        <w:spacing w:after="0" w:line="211" w:lineRule="exact"/>
        <w:rPr>
          <w:sz w:val="20"/>
          <w:szCs w:val="20"/>
          <w:color w:val="auto"/>
        </w:rPr>
      </w:pPr>
    </w:p>
    <w:p>
      <w:pPr>
        <w:ind w:right="660" w:firstLine="648"/>
        <w:spacing w:after="0" w:line="308" w:lineRule="auto"/>
        <w:rPr>
          <w:sz w:val="20"/>
          <w:szCs w:val="20"/>
          <w:color w:val="auto"/>
        </w:rPr>
      </w:pPr>
      <w:r>
        <w:rPr>
          <w:rFonts w:ascii="Arial" w:cs="Arial" w:eastAsia="Arial" w:hAnsi="Arial"/>
          <w:sz w:val="18"/>
          <w:szCs w:val="18"/>
          <w:color w:val="auto"/>
        </w:rPr>
        <w:t>For this purpose, passive income generally consists of dividends, interest, rents, royalties, annuities and income from certain commodities transactions and from notional principal contracts. Cash is treated as generating passive income.</w:t>
      </w:r>
    </w:p>
    <w:p>
      <w:pPr>
        <w:spacing w:after="0" w:line="144"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have not made the formal analysis necessary to determine whether or not we are currently a PFIC or whether we have ever been a PFIC, although preliminarily it appears we may have been a PFIC at certain points in the past.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Accordingly, there can be no assurance that we currently are not or will not become a PFIC.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5" w:name="page196"/>
    <w:bookmarkEnd w:id="195"/>
    <w:p>
      <w:pPr>
        <w:ind w:right="20" w:firstLine="648"/>
        <w:spacing w:after="0" w:line="270" w:lineRule="auto"/>
        <w:rPr>
          <w:sz w:val="20"/>
          <w:szCs w:val="20"/>
          <w:color w:val="auto"/>
        </w:rPr>
      </w:pPr>
      <w:r>
        <w:rPr>
          <w:rFonts w:ascii="Arial" w:cs="Arial" w:eastAsia="Arial" w:hAnsi="Arial"/>
          <w:sz w:val="17"/>
          <w:szCs w:val="17"/>
          <w:color w:val="auto"/>
        </w:rPr>
        <w:t>If we currently are or become a PFIC, each U.S. Holder who has not elected to mark the shares to market (as discussed below), would, upon receipt of certain distributions by us and upon disposition of our ordinary shares at a gain: (1) have such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w:t>
      </w:r>
    </w:p>
    <w:p>
      <w:pPr>
        <w:spacing w:after="0" w:line="20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PFIC rules described above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The QEF election is made on a shareholder-by-shareholder basis and generally may be revoked only with the consent of the IRS.</w:t>
      </w:r>
    </w:p>
    <w:p>
      <w:pPr>
        <w:spacing w:after="0" w:line="20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addition, the PFIC rules described above would not apply if we were a PFIC and a U.S. Holder made a mark-to-market election. A U.S. Holder of our ordinary shares which are regularly traded on a qualifying exchange, including the Nasdaq Capital Market,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w:t>
      </w:r>
    </w:p>
    <w:p>
      <w:pPr>
        <w:spacing w:after="0" w:line="20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U.S. Holders who hold our ordinary shares during a period when we are a PFIC will be subject to the foregoing rules, even if we cease to be a PFIC. U.S. Holders are strongly urged to consult their tax advisors about the PFIC rules.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Net Investment Income</w:t>
      </w:r>
    </w:p>
    <w:p>
      <w:pPr>
        <w:spacing w:after="0" w:line="25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i w:val="1"/>
          <w:iCs w:val="1"/>
          <w:color w:val="auto"/>
        </w:rPr>
        <w:t>Information Reporting and Withholding</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21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U.S. Holder with interests in “specified foreign financial assets” (including, among other assets, our ordinary shares, unless such ordinary shares are held on such U.S. Holder’s behalf through a financial institution) may be required to file an information report with the IRS if the aggregate value of all such assets exceeds $50,000 on the last day of the taxable year or $75,000 at any time during the taxable year (or such higher dollar amount as may be prescribed by applicable IRS guidance); and may be required to file a Report of Foreign Bank and Financial Accounts if the aggregate value of the foreign financial accounts exceeds $10,000 at any time during the calendar year. You should consult your own tax advisor as to the possible obligation to file such information report.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UNDERWRITING</w:t>
      </w:r>
    </w:p>
    <w:p>
      <w:pPr>
        <w:spacing w:after="0" w:line="256"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Canaccord Genuity LLC is acting as representative of each of the underwriters named below. We have entered into an underwriting agreement dated , 2021 with the representative. Subject to the terms and conditions of the underwriting agreement, we have agreed to sell to each underwriter named below, and each underwriter named below has severally agreed to purchase, at the public offering price less the underwriting discount set forth on the cover page of this prospectus supplement, the number of ADSs listed next to its name in the following table:</w:t>
      </w:r>
    </w:p>
    <w:p>
      <w:pPr>
        <w:spacing w:after="0" w:line="203" w:lineRule="exact"/>
        <w:rPr>
          <w:sz w:val="20"/>
          <w:szCs w:val="20"/>
          <w:color w:val="auto"/>
        </w:rPr>
      </w:pPr>
    </w:p>
    <w:p>
      <w:pPr>
        <w:ind w:left="4000"/>
        <w:spacing w:after="0"/>
        <w:tabs>
          <w:tab w:leader="none" w:pos="952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52"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The underwriters are committed to purchase all the ADSs offered by the Company, other than those covered by the over-allotment option to purchase additional ADSs and the reserved share program, each as described below. The obligations of the underwriters may be terminated upon the occurrence of certain events specified in the underwriting agreement. Furthermore, the underwriting agreement provides that the obligations of the underwriters to pay for and accept delivery of the ADSs offered by us in this prospectus supplement are subject to various representations and warranties and other customary conditions specified in the underwriting agreement, such as receipt by the underwriters of officers’ certificates and legal opinions.</w:t>
      </w:r>
    </w:p>
    <w:p>
      <w:pPr>
        <w:spacing w:after="0" w:line="18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underwriters are offering the ADSs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granted the underwriters an over-allotment option. This option, which is exercisable for up to 30 days after the date of this prospectus,</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permits the underwriters to purchase up to an aggregate of additional ADSs (equal to 15% of the total number of ADSs sold in this offering) at the public offering price per share, less underwriting discounts and commissions, solely to cover over-allotments, if any. If the underwriters exercise this option in whole or in part, then the underwriters will be severally committed, subject to the conditions described in the underwriting agreement, to purchase the additional ADSs in proportion to their respective commitments set forth in the prior table.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Commissions and Reimbursement</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representative has advised us that the underwriters propose to offer the ADSs to the public at the initial public offering price per share set forth on the cover page of this prospectus. The underwriters may offer ADSs to securities dealers at that price less a concession of not more than $ per ADS of which up to $ per ADS may be reallowed to other dealers. After the initial offering to the public, the public offering price and other selling terms may be changed by the representative.</w:t>
      </w:r>
    </w:p>
    <w:p>
      <w:pPr>
        <w:spacing w:after="0" w:line="21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underwriting discounts and commissions and proceeds, before expenses, to us assuming both no exercise and full exercise by the underwriters of their over-allotment option: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 ADS</w:t>
            </w:r>
          </w:p>
        </w:tc>
        <w:tc>
          <w:tcPr>
            <w:tcW w:w="2320" w:type="dxa"/>
            <w:vAlign w:val="bottom"/>
            <w:gridSpan w:val="4"/>
          </w:tcPr>
          <w:p>
            <w:pPr>
              <w:ind w:left="9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Without Option</w:t>
            </w:r>
          </w:p>
        </w:tc>
        <w:tc>
          <w:tcPr>
            <w:tcW w:w="1000" w:type="dxa"/>
            <w:vAlign w:val="bottom"/>
            <w:tcBorders>
              <w:top w:val="single" w:sz="8" w:color="auto"/>
            </w:tcBorders>
          </w:tcPr>
          <w:p>
            <w:pPr>
              <w:jc w:val="right"/>
              <w:ind w:right="47"/>
              <w:spacing w:after="0" w:line="149" w:lineRule="exact"/>
              <w:rPr>
                <w:sz w:val="20"/>
                <w:szCs w:val="20"/>
                <w:color w:val="auto"/>
              </w:rPr>
            </w:pPr>
            <w:r>
              <w:rPr>
                <w:rFonts w:ascii="Arial" w:cs="Arial" w:eastAsia="Arial" w:hAnsi="Arial"/>
                <w:sz w:val="14"/>
                <w:szCs w:val="14"/>
                <w:b w:val="1"/>
                <w:bCs w:val="1"/>
                <w:color w:val="auto"/>
              </w:rPr>
              <w:t>With Option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Underwriting discounts and commissions (public investors, 7%)</w:t>
            </w:r>
          </w:p>
        </w:tc>
        <w:tc>
          <w:tcPr>
            <w:tcW w:w="2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1"/>
              </w:rPr>
              <w:t>Underwriting discounts and commissions (reserved share program, 6.5%)</w:t>
            </w:r>
          </w:p>
        </w:tc>
        <w:tc>
          <w:tcPr>
            <w:tcW w:w="328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328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4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rPr>
              <w:t>189</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198" w:name="page199"/>
    <w:bookmarkEnd w:id="198"/>
    <w:p>
      <w:pPr>
        <w:jc w:val="both"/>
        <w:ind w:right="140" w:firstLine="648"/>
        <w:spacing w:after="0" w:line="263" w:lineRule="auto"/>
        <w:rPr>
          <w:sz w:val="20"/>
          <w:szCs w:val="20"/>
          <w:color w:val="auto"/>
        </w:rPr>
      </w:pPr>
      <w:r>
        <w:rPr>
          <w:rFonts w:ascii="Arial" w:cs="Arial" w:eastAsia="Arial" w:hAnsi="Arial"/>
          <w:sz w:val="18"/>
          <w:szCs w:val="18"/>
          <w:color w:val="auto"/>
        </w:rPr>
        <w:t>In addition, we have also agreed to pay the reasonable and documents expenses of the underwriters relating to the offering (including the costs of document preparation, production and distribution (such as printing and binding, and photocopies), and third party research and database services, and the reasonable fees and disbursements of independent counsel), up to an aggregate of $400,000.</w:t>
      </w:r>
    </w:p>
    <w:p>
      <w:pPr>
        <w:spacing w:after="0" w:line="211" w:lineRule="exact"/>
        <w:rPr>
          <w:sz w:val="20"/>
          <w:szCs w:val="20"/>
          <w:color w:val="auto"/>
        </w:rPr>
      </w:pPr>
    </w:p>
    <w:p>
      <w:pPr>
        <w:ind w:left="660"/>
        <w:spacing w:after="0"/>
        <w:tabs>
          <w:tab w:leader="none" w:pos="10820" w:val="left"/>
        </w:tabs>
        <w:rPr>
          <w:sz w:val="20"/>
          <w:szCs w:val="20"/>
          <w:color w:val="auto"/>
        </w:rPr>
      </w:pPr>
      <w:r>
        <w:rPr>
          <w:rFonts w:ascii="Arial" w:cs="Arial" w:eastAsia="Arial" w:hAnsi="Arial"/>
          <w:sz w:val="17"/>
          <w:szCs w:val="17"/>
          <w:color w:val="auto"/>
        </w:rPr>
        <w:t>We estimate the expenses of this offering payable by us, not including underwriting discounts and commissions, will be approximately $</w:t>
      </w:r>
      <w:r>
        <w:rPr>
          <w:sz w:val="20"/>
          <w:szCs w:val="20"/>
          <w:color w:val="auto"/>
        </w:rPr>
        <w:tab/>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Warrants</w:t>
      </w:r>
    </w:p>
    <w:p>
      <w:pPr>
        <w:spacing w:after="0" w:line="25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Upon the closing of this offering, we have agreed to issue to Canaccord Genuity LLC and Roth Capital Partners LLC warrants, or the Underwriter Warrants, to purchase a number of ADSs equal to 4% of the total number of ADSs sold in this public offering. The Underwriter Warrants will be exercisable at a per share exercise price equal to 125% of the public offering price per ADS sold in this offering. The Underwriter Warrants are exercisable at any time and from time to time, in whole or in part, during the four and one-half year period commencing six months from the deemed effective date of the registration statement related to this offering. The Underwriter Warrants also provide for one demand registration right of the ADSs underlying the Underwriter Warrants, and unlimited “piggyback” registration rights with respect to the registration of the ADSs underlying the Underwriter Warrants and customary antidilution provisions. The demand registration right provided will not be greater than five years from the date of the underwriting agreement related to this offering in compliance with FINRA Rule 5110(g)(8)(D). The piggyback registration right provided will not be greater than seven years from the date of the underwriting agreement related to this offering in compliance with FINRA Rule 5110(g)(8)(D).</w:t>
      </w:r>
    </w:p>
    <w:p>
      <w:pPr>
        <w:spacing w:after="0" w:line="20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Underwriter Warrants and the ADSs underlying the Underwriter Warrants have been deemed compensation by the Financial Industry Regulatory Authority, or FINRA, and are therefore subject to a 180-day lock-up pursuant to Rule 5110(g)(1) of FINRA. The representative, or permitted assignees under such rule, may not sell, transfer, assign, pledge, or hypothecate the Underwriter Warrants or the securities underlying the Underwriter Warrants, nor will the representative engage in any hedging, short sale, derivative, put, or call transaction that would result in the effective economic disposition of the Underwriter Warrants or the underlying ADSs for a period of 180 days from the deemed effective date of the registration statement. Additionally, the Underwriter Warrants may not be sold transferred, assigned, pledged or hypothecated for a 180-day period following the deemed effective date of the registration statement except to any underwriter and selected dealer participating in the offering and their bona fide officers or partners. The Underwriter Warrants will provide for adjustment in the number and price of the Underwriter Warrants and the ADSs underlying such Underwriter Warrants in the event of recapitalization, merger, stock split or other structural transaction, or a future financing undertaken by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 Program</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At our request, the underwriter has reserved up to ordinary shares, representing % of the ADSs offered by this prospectus, for sale to existing shareholders of the Company (“Reserved Share Investors”). All of the persons purchasing such ordinary shares must commit to purchase no later than the close of business on the day following the date of this prospectus. The number of ADSs available for sale to the general public will be reduced to the extent these persons purchase the reserved ordinary shares. Ordinary shares committed to be purchased by such persons that are not so purchased will be reallocated for sale as ADSs to the general public in the offering. All such sales of reserved ordinary shares will be made at the initial public offering price per ADS set forth on the cover page of this prospectus, less an underwriting discount of 6.5%.</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color w:val="auto"/>
        </w:rPr>
        <w:t>Lock-Up Agreements</w:t>
      </w:r>
    </w:p>
    <w:p>
      <w:pPr>
        <w:spacing w:after="0" w:line="256"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We have agreed with the underwriters that we will not, without the prior consent of the representative, for a period of 180 days following the date of this prospectus, offer, sell, contract to sell, pledge, grant any option to purchase, purchase any option or contract to sell, right or warrant to purchase, make any short sale, file a registration statement with respect to any of the ADSs or any securities that are convertible into or exercisable or exchangeable for the ADSs, or otherwise transfer or dispose of (including entering into any swap or other agreement that transfers to any other entity, in whole or in part, any of the economic consequences of ownership interest): (1) the ADSs and depositary shares representing our ordinary shares; (2) shares of our controlled affiliates and depositary shares representing those shares; and (3) securities that are substantially similar to such ADSs or depositary shares. We have also agreed to cause controlled affiliates to abide by the restrictions of the lock-up agreement. In addition, each of our directors and executive officers and each beneficial owner of 10% or more of the ADSs or ordinary shares will abide by similar 180-day lock-up agreement with respect to the ADSs, depositary shares representing the ADSs and securities that are substantially similar to the ADSs or depositary shares representing our ordinary shares, subject to customary exceptions for transfers among affiliates. The restrictions of our lock-up agreement do not apply to: (1) the issuance of securities pursuant to our employee share incentive plan which is described in this prospectus, and (2) a transfer by us to our affiliate, provided that such transfer is not a disposition for value and that such affiliate agrees to be bound in writing by the restrictions set forth in the lock-up agreement to which we are subject. The exceptions also permit our executive officers and directors and other existing security holders, subject to certain restrictions, to transfer ADSs, depositary shares representing the ADSs and securities that are substantially similar to the ADSs or our ordinary shares: (i) as a bona fide gift or gifts, (ii) to the person’s immediate family or any trust, partnership or similar entity for the direct or indirect benefit of the person or their immediate family, (iii) by operation of law, such as pursuant to a qualified domestic order or as required by a divorce settlement, (iv) as a distribution to the person’s limited partners or stockholders, (v) to the person’s affiliates or any investment fund or other entity controlled or managed by the person, or (vi) by will, other testamentary document or intestate succession upon death, including to the transferee’s nominee or custodian. Furthermore, during the lock-up period, our executive officers, directors, and other existing security holders may sell shares of common stock purchased in this offering or in the open market following this offering, provided that such sales are not required to be reported in any public report or filing with the SEC or otherwise, and the seller does not voluntarily effect any public filing or report regarding such sales during the lock-up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5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Public Market</w:t>
      </w:r>
    </w:p>
    <w:p>
      <w:pPr>
        <w:spacing w:after="0" w:line="25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Prior to this offering, there has not been a public market for our securities in the U.S. and the public offering price for our ordinary shares and ADSs will be determined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9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the ADSs will trade in the public market subsequent to this offering or that an active trading market for the ADSs will develop and continue after this offering.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t>Stock Exchange</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plan to apply to list the ADSs on the Nasdaq Capital Market under the symbol “GNTA.” There can be no assurance that we will be successful in listing the ADSs on the Nasdaq Capital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5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 prospectus in electronic format may be made available on websites or through other online services maintained by one or more of the underwriters of this offering, or by their affiliates. Other than the prospectus in electronic format, the information on any underwriter’s website and any information contained in any other website maintained by an underwriter is not part of this prospectus or the registration statement of which this prospectus forms a part, has not been approved and/or endorsed by us or any underwriter in its capacity as underwriter, and should not be relied upon by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5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syndicate-covering transactions, penalty bids and purchases to cover positions created by short sales.</w:t>
      </w:r>
    </w:p>
    <w:p>
      <w:pPr>
        <w:spacing w:after="0" w:line="19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Stabilizing transactions permit bids to purchase ADSs so long as the stabilizing bids do not exceed a specified maximum, and are engaged in for the purpose of preventing or retarding a decline in the market price of the ADSs while the offering is in progress.</w:t>
      </w:r>
    </w:p>
    <w:p>
      <w:pPr>
        <w:spacing w:after="0" w:line="19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Over-allotment transactions involve sales by the underwriters of ADSs in excess of the number of ADSs the underwriters are obligated to purchase. This creates a syndicate short position which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short position by exercising their over-allotment option and/or purchasing ADSs in the open market.</w:t>
      </w:r>
    </w:p>
    <w:p>
      <w:pPr>
        <w:spacing w:after="0" w:line="20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with the price at which they may purchase ADSs through exercise of the over-allotment option. If the underwriters sell more shares than could be covered by exercise of the over-allotment option and, therefore, have a naked short position, the position can be closed out only by buying ADSs in the open market. A naked short position is more likely to be created if the underwriters are concerned that after pricing there could be downward pressure on the price of the ADSs in the open market that could adversely affect investors who purchase in the offering.</w:t>
      </w:r>
    </w:p>
    <w:p>
      <w:pPr>
        <w:spacing w:after="0" w:line="22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Penalty bids permit the representative to reclaim a selling concession from a syndicate member when the ADSs originally sold by that syndicate member are purchased in stabilizing or syndicate covering transactions to cover syndicate short positions.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the ADSs or preventing or retarding a decline in the market price of the ADSs. As a result, the price of the ADSs in the open market may be higher than it would otherwise be in the absence of these transactions. Neither we nor the underwriters make any representation or prediction as to the effect that the transactions described above may have on the price of the ADSs. These transactions may be effected on Nasdaq in the over-the-counter market or otherwise and, if commenced, may be discontinued at any time.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Certain of the underwriters and their affiliates may in the future provide various investment banking, commercial banking and other financial services for us and our affiliates for which they may in the future receive customary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securities may not be offered or sold directly or indirectly in the PRC to legal or natural persons other than directly to “qualified domestic institutional investors.”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Area—Belgium, Germany, Luxembourg and Netherlands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information in this document has been prepared on the basis that all offers of securities will be made pursuant to an exemption under the Directive 2003/71/EC (“Prospectus Directive”), as implemented in Member States of the EEA (each, a “Relevant Member State”), from the requirement to produce a prospectus for offers of securities.</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An offer to the public of securities has not been made, and may not be made, in a Relevant Member State except pursuant to one of the following exemptions under the Prospectus Directive as implemented in that Relevant Member State:</w:t>
      </w:r>
    </w:p>
    <w:p>
      <w:pPr>
        <w:spacing w:after="0" w:line="197" w:lineRule="exact"/>
        <w:rPr>
          <w:sz w:val="20"/>
          <w:szCs w:val="20"/>
          <w:color w:val="auto"/>
        </w:rPr>
      </w:pPr>
    </w:p>
    <w:p>
      <w:pPr>
        <w:ind w:left="66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legal entities that are authorized or regulated to operate in the financial markets or, if not so authorized or regulated, whose corporate purpose is solely to invest in securities;</w:t>
      </w:r>
    </w:p>
    <w:p>
      <w:pPr>
        <w:spacing w:after="0" w:line="129"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any legal entity that has two or more of (i) an average of at least 250 employees during its last fiscal year; (ii) a total balance sheet of more than €43,000,000 (as shown on its last annual unconsolidated or consolidated financial statements) and (iii) an annual net turnover of more than €50,000,000 (as shown on its last annual unconsolidated or consolidated financial statements);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5" w:right="399" w:bottom="1440" w:gutter="0" w:footer="0" w:header="0"/>
        </w:sectPr>
      </w:pPr>
    </w:p>
    <w:bookmarkStart w:id="202" w:name="page203"/>
    <w:bookmarkEnd w:id="202"/>
    <w:p>
      <w:pPr>
        <w:ind w:left="660" w:right="4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within the meaning of Article 2(1)(e) of the Prospectus Directive) subject to obtaining the prior consent of the Company or any underwriter for any such offer; or</w:t>
      </w:r>
    </w:p>
    <w:p>
      <w:pPr>
        <w:spacing w:after="0" w:line="129" w:lineRule="exact"/>
        <w:rPr>
          <w:rFonts w:ascii="Arial" w:cs="Arial" w:eastAsia="Arial" w:hAnsi="Arial"/>
          <w:sz w:val="18"/>
          <w:szCs w:val="18"/>
          <w:color w:val="auto"/>
        </w:rPr>
      </w:pPr>
    </w:p>
    <w:p>
      <w:pPr>
        <w:ind w:left="660" w:right="640" w:hanging="328"/>
        <w:spacing w:after="0" w:line="308" w:lineRule="auto"/>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securities shall result in a requirement for the publication by the Company of a prospectus pursuant to Article 3 of the Prospectus Directive.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This document is not being distributed in the context of a public offering of financial securities (offre au public de titres financiers) in France within the meaning of Article L.411-1 of the French Monetary and Financial Code (Code Monétaire et Financier) and Articles 211-1 et seq. of the General Regulation of the French Autorité des marchés financiers (“AMF”). The securities have not been offered or sold and will not be offered or sold, directly or indirectly, to the public in France.</w:t>
      </w:r>
    </w:p>
    <w:p>
      <w:pPr>
        <w:spacing w:after="0" w:line="21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This document and any other offering material relating to the securities have not been, and will not be, submitted to the AMF for approval in France and, accordingly, may not be distributed or caused to distributed, directly or indirectly, to the public in France.</w:t>
      </w:r>
    </w:p>
    <w:p>
      <w:pPr>
        <w:spacing w:after="0" w:line="19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Such offers, sales and distributions have been and shall only be made in France to (i) qualified investors (investisseurs qualifiés) acting for their own account, as defined in and in accordance with Articles L.411-2-II-2° and D.411-1 to D.411-3, D.744-1, D.754-1 ;and D.764-1 of the French Monetary and Financial Code and any implementing regulation and/or (ii) a restricted number of non-qualified investors (cercle restreint d’investisseurs) acting for their own account, as defined in and in accordance with Articles L.411-2-II-2° and D.411-4, D.744-1, D.754-1; and D.764-1 of the French Monetary and Financial Code and any implementing regulation.</w:t>
      </w:r>
    </w:p>
    <w:p>
      <w:pPr>
        <w:spacing w:after="0" w:line="21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Pursuant 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Ireland</w:t>
      </w:r>
    </w:p>
    <w:p>
      <w:pPr>
        <w:spacing w:after="0" w:line="25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“Prospectus Regulations”). The securities have not been offered or sold, and will not be offered, sold or delivered directly or indirectly in Ireland by way of a public offering, except to (i) qualified investors as defined in Regulation 2(l) of the Prospectus Regulations and (ii) fewer than 100 natural or legal persons who are not qualified investors.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securities offered by this prospectus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the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effected only in compliance with the Israeli securities laws and regulations.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Italy</w:t>
      </w:r>
    </w:p>
    <w:p>
      <w:pPr>
        <w:spacing w:after="0" w:line="25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offering of the securities in the Republic of Italy has not been authorized by the Italian Securities Regulator (</w:t>
      </w:r>
      <w:r>
        <w:rPr>
          <w:rFonts w:ascii="Arial" w:cs="Arial" w:eastAsia="Arial" w:hAnsi="Arial"/>
          <w:sz w:val="18"/>
          <w:szCs w:val="18"/>
          <w:i w:val="1"/>
          <w:iCs w:val="1"/>
          <w:color w:val="auto"/>
        </w:rPr>
        <w:t>Commissione Nazionale per le</w:t>
      </w:r>
      <w:r>
        <w:rPr>
          <w:rFonts w:ascii="Arial" w:cs="Arial" w:eastAsia="Arial" w:hAnsi="Arial"/>
          <w:sz w:val="18"/>
          <w:szCs w:val="18"/>
          <w:color w:val="auto"/>
        </w:rPr>
        <w:t xml:space="preserve"> </w:t>
      </w:r>
      <w:r>
        <w:rPr>
          <w:rFonts w:ascii="Arial" w:cs="Arial" w:eastAsia="Arial" w:hAnsi="Arial"/>
          <w:sz w:val="18"/>
          <w:szCs w:val="18"/>
          <w:i w:val="1"/>
          <w:iCs w:val="1"/>
          <w:color w:val="auto"/>
        </w:rPr>
        <w:t>Società e la Borsa</w:t>
      </w:r>
      <w:r>
        <w:rPr>
          <w:rFonts w:ascii="Arial" w:cs="Arial" w:eastAsia="Arial" w:hAnsi="Arial"/>
          <w:sz w:val="18"/>
          <w:szCs w:val="18"/>
          <w:color w:val="auto"/>
        </w:rPr>
        <w:t>, “</w:t>
      </w:r>
      <w:r>
        <w:rPr>
          <w:rFonts w:ascii="Arial" w:cs="Arial" w:eastAsia="Arial" w:hAnsi="Arial"/>
          <w:sz w:val="18"/>
          <w:szCs w:val="18"/>
          <w:i w:val="1"/>
          <w:iCs w:val="1"/>
          <w:color w:val="auto"/>
        </w:rPr>
        <w:t>CONSOB</w:t>
      </w:r>
      <w:r>
        <w:rPr>
          <w:rFonts w:ascii="Arial" w:cs="Arial" w:eastAsia="Arial" w:hAnsi="Arial"/>
          <w:sz w:val="18"/>
          <w:szCs w:val="18"/>
          <w:color w:val="auto"/>
        </w:rPr>
        <w:t>”) pursuant to the Italian securities legislation and, accordingly, no offering material relating to the securities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in Italy and such securities may not be offered or sold in Italy, except:</w:t>
      </w:r>
    </w:p>
    <w:p>
      <w:pPr>
        <w:spacing w:after="0" w:line="211" w:lineRule="exact"/>
        <w:rPr>
          <w:sz w:val="20"/>
          <w:szCs w:val="20"/>
          <w:color w:val="auto"/>
        </w:rPr>
      </w:pPr>
    </w:p>
    <w:p>
      <w:pPr>
        <w:ind w:left="660" w:right="80" w:hanging="328"/>
        <w:spacing w:after="0" w:line="308" w:lineRule="auto"/>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to Italian qualified investors, as defined in Article 100 of Legislative Decree no.58 of 24 February 1998 (“Decree No. 58”) by reference to Article 34-ter of CONSOB Regulation no. 11971 of 14 May 1999 (“Regulation no. 1197l”) as amended (“Qualified Investors”);</w:t>
      </w:r>
    </w:p>
    <w:p>
      <w:pPr>
        <w:spacing w:after="0" w:line="105" w:lineRule="exact"/>
        <w:rPr>
          <w:rFonts w:ascii="Arial" w:cs="Arial" w:eastAsia="Arial" w:hAnsi="Arial"/>
          <w:sz w:val="17"/>
          <w:szCs w:val="17"/>
          <w:color w:val="auto"/>
        </w:rPr>
      </w:pPr>
    </w:p>
    <w:p>
      <w:pPr>
        <w:ind w:left="660" w:right="280" w:hanging="328"/>
        <w:spacing w:after="0" w:line="277"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other circumstances that are exempt from the rules on public offer pursuant to Article 100 of Decree No. 58 and Article 34-ter of Regulation No. 11971 as amended;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 other circumstances that are exempt from the rules on European prospectus pursuant to Article 1 of EU Regulation No. 2017/1129.</w:t>
      </w:r>
    </w:p>
    <w:p>
      <w:pPr>
        <w:spacing w:after="0" w:line="26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6"/>
          <w:szCs w:val="16"/>
          <w:color w:val="auto"/>
        </w:rPr>
        <w:t>Any offer, sale or delivery of the securities or distribution of any offer document relating to the securities in Italy under the paragraphs above must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238" w:lineRule="exact"/>
        <w:rPr>
          <w:sz w:val="20"/>
          <w:szCs w:val="20"/>
          <w:color w:val="auto"/>
        </w:rPr>
      </w:pPr>
    </w:p>
    <w:p>
      <w:pPr>
        <w:ind w:left="660" w:right="160" w:hanging="328"/>
        <w:spacing w:after="0" w:line="263"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compliance with any applicable laws, regulations or requirements imposed by CONSOB, the Bank of Italy and/or any other Italian authorities.</w:t>
      </w:r>
    </w:p>
    <w:p>
      <w:pPr>
        <w:spacing w:after="0" w:line="27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Any subsequent distribution of the securities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securities for any damages suffered by the investors.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5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Portugal</w:t>
      </w:r>
    </w:p>
    <w:p>
      <w:pPr>
        <w:spacing w:after="0" w:line="25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This document is not being distributed in the context of a public offer of financial securities (oferta pública de valores mobiliários) in Portugal, within the meaning of Article 109 of the Portuguese Securities Code (Código dos Valores Mobiliários). The securities have not been offered or sold and will not be offered or sold, directly or indirectly, to the public in Portugal. This document and any other offering material relating to the securities have not been, and will not be, submitted to the Portuguese Securities Market Commission (Comissăo do Mercado de Valores Mobiliários)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“qualified investors” (as defined in the Portuguese Securities Code). Only such investors may receive this document and they may not distribute it or the information contained in it to any other person.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Sweden</w:t>
      </w:r>
    </w:p>
    <w:p>
      <w:pPr>
        <w:spacing w:after="0" w:line="256"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This document has not been, and will not be, registered with or approved by Finansinspektionen (the Swedish Financial Supervisory Authority). Accordingly, this document may not be made available, nor may the securities be offered for sale in Sweden, other than under circumstances that are deemed not to require a prospectus under the Swedish Financial Instruments Trading Act (1991:980) (Sw. lag (1991:980) om handel med finansiella instrument). Any offering of securities in Sweden is limited to persons who are “qualified investors” (as defined in the Financial Instruments Trading Act). Only such investors may receive this document and they may not distribute it or the information contained in it to any other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20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document is personal to the recipient only and not for general circulation in Switzerland.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w:t>
      </w:r>
    </w:p>
    <w:p>
      <w:pPr>
        <w:spacing w:after="0" w:line="25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Neither this document nor the securities have been approved, disapproved or passed on in any way by the Central Bank of the United Arab Emirates or any other governmental authority in the United Arab Emirates, nor has the Company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offer or invitation to subscribe for securities is valid or permitted in the Dubai International Financial Centre.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5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(“FSMA”)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20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the Company.</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underwriters are not required to comply with the disclosure requirements of NI33-105 regarding underwriter conflicts of interest in connection with this offering.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686" w:gutter="0" w:footer="0" w:header="0"/>
        </w:sectPr>
      </w:pPr>
    </w:p>
    <w:bookmarkStart w:id="205" w:name="page206"/>
    <w:bookmarkEnd w:id="205"/>
    <w:p>
      <w:pPr>
        <w:jc w:val="center"/>
        <w:ind w:right="-39"/>
        <w:spacing w:after="0"/>
        <w:rPr>
          <w:sz w:val="20"/>
          <w:szCs w:val="20"/>
          <w:color w:val="auto"/>
        </w:rPr>
      </w:pPr>
      <w:r>
        <w:rPr>
          <w:rFonts w:ascii="Arial" w:cs="Arial" w:eastAsia="Arial" w:hAnsi="Arial"/>
          <w:sz w:val="18"/>
          <w:szCs w:val="18"/>
          <w:b w:val="1"/>
          <w:bCs w:val="1"/>
          <w:color w:val="auto"/>
        </w:rPr>
        <w:t>EXPENSES</w:t>
      </w:r>
    </w:p>
    <w:p>
      <w:pPr>
        <w:spacing w:after="0" w:line="25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Set forth below is an itemization of the total expenses, excluding underwriting discounts, expected to be incurred in connection with the offer and sale of the ordinary shares by us. With the exception of the SEC registration fee and the FINRA filing fee, all amounts are estimates:</w:t>
      </w:r>
    </w:p>
    <w:p>
      <w:pPr>
        <w:sectPr>
          <w:pgSz w:w="11900" w:h="16838" w:orient="portrait"/>
          <w:cols w:equalWidth="0" w:num="1">
            <w:col w:w="11220"/>
          </w:cols>
          <w:pgMar w:left="320" w:top="715" w:right="35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Printer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16" w:lineRule="exact"/>
        <w:rPr>
          <w:sz w:val="20"/>
          <w:szCs w:val="20"/>
          <w:color w:val="auto"/>
        </w:rPr>
      </w:pPr>
    </w:p>
    <w:p>
      <w:pPr>
        <w:jc w:val="right"/>
        <w:ind w:right="1900"/>
        <w:spacing w:after="0"/>
        <w:rPr>
          <w:sz w:val="20"/>
          <w:szCs w:val="20"/>
          <w:color w:val="auto"/>
        </w:rPr>
      </w:pPr>
      <w:r>
        <w:rPr>
          <w:rFonts w:ascii="Arial" w:cs="Arial" w:eastAsia="Arial" w:hAnsi="Arial"/>
          <w:sz w:val="18"/>
          <w:szCs w:val="18"/>
          <w:b w:val="1"/>
          <w:bCs w:val="1"/>
          <w:color w:val="auto"/>
        </w:rPr>
        <w:t>LEGAL MATTERS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13544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544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68580</wp:posOffset>
            </wp:positionV>
            <wp:extent cx="13544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752" w:lineRule="exact"/>
        <w:rPr>
          <w:sz w:val="20"/>
          <w:szCs w:val="20"/>
          <w:color w:val="auto"/>
        </w:rPr>
      </w:pPr>
    </w:p>
    <w:p>
      <w:pPr>
        <w:sectPr>
          <w:pgSz w:w="11900" w:h="16838" w:orient="portrait"/>
          <w:cols w:equalWidth="0" w:num="2">
            <w:col w:w="8280" w:space="720"/>
            <w:col w:w="2220"/>
          </w:cols>
          <w:pgMar w:left="320" w:top="715" w:right="359" w:bottom="1440" w:gutter="0" w:footer="0" w:header="0"/>
          <w:type w:val="continuous"/>
        </w:sectPr>
      </w:pPr>
    </w:p>
    <w:p>
      <w:pPr>
        <w:spacing w:after="0" w:line="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Certain legal matters concerning this offering will be passed upon for us by Loeb &amp; Loeb LLP, New York, New York. Certain legal matters with respect to the legality of the issuance of the securities offered by this prospectus will be passed upon for us by Giovannelli e Associati, Studio Legale, Italy. Certain legal matters related to the offering will be passed upon for the underwriters by Goodwin Procter LLP, New York, New York. LCA Studio Legale, Italy is representing the underwriters with respect to certain matters of Italian law.</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financial statements of Genenta for its fiscal years ended December 31, 2020 and 2019 included herein have been audited by Mayer Hoffman McCann P.C., independent registered public accounting firm, as set forth in their report thereon. Such financial statements are included in this prospectus and registration statement in reliance upon such report given on the authority of such firm as experts in accounting and auditing. The address of Mayer Hoffman McCann P.C. is 13500 Evening Creek Drive North #450, San Diego, California, United States.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are incorporated under the laws of Italy and our registered office and domicile is located in Milan, Italy.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been advised by our Italian counsel that the recognition and enforcement of foreign judgements in Italy is regulated either by (i) treaties or conventions, bilateral or multilateral, between Italy and the foreign country, whose court issued the judgement, or (ii) Italian Law no. 218 of May 31, 1995 (the “International Private Law Act”). In this regard, the provisions of the applicable treaties and conventions, if any, prevail on the provisions of the International Private Law Act. Indeed, Section 2 of the International Private Law Act states that the provisions of the International Private Law Act are “</w:t>
      </w:r>
      <w:r>
        <w:rPr>
          <w:rFonts w:ascii="Arial" w:cs="Arial" w:eastAsia="Arial" w:hAnsi="Arial"/>
          <w:sz w:val="18"/>
          <w:szCs w:val="18"/>
          <w:i w:val="1"/>
          <w:iCs w:val="1"/>
          <w:color w:val="auto"/>
        </w:rPr>
        <w:t>without prejudice to the application of the international conventions binding on Italy</w:t>
      </w:r>
      <w:r>
        <w:rPr>
          <w:rFonts w:ascii="Arial" w:cs="Arial" w:eastAsia="Arial" w:hAnsi="Arial"/>
          <w:sz w:val="18"/>
          <w:szCs w:val="18"/>
          <w:color w:val="auto"/>
        </w:rPr>
        <w:t>”.</w:t>
      </w:r>
    </w:p>
    <w:p>
      <w:pPr>
        <w:spacing w:after="0" w:line="21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That said, Italian counsels advise us that there exist no treaties or other conventions in existence between the Republic of Italy and the United States, or between the Republic of Italy and the US laws, relating to the recognition and enforcement of civil judgments. There follows that a civil judgment of a court of New York or of a United States federal court applying New York law will be recognized in Italy under the general provisions of the International Private Law Act.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type w:val="continuous"/>
        </w:sectPr>
      </w:pPr>
    </w:p>
    <w:bookmarkStart w:id="206" w:name="page207"/>
    <w:bookmarkEnd w:id="206"/>
    <w:p>
      <w:pPr>
        <w:ind w:right="860" w:firstLine="648"/>
        <w:spacing w:after="0" w:line="277" w:lineRule="auto"/>
        <w:rPr>
          <w:sz w:val="20"/>
          <w:szCs w:val="20"/>
          <w:color w:val="auto"/>
        </w:rPr>
      </w:pPr>
      <w:r>
        <w:rPr>
          <w:rFonts w:ascii="Arial" w:cs="Arial" w:eastAsia="Arial" w:hAnsi="Arial"/>
          <w:sz w:val="18"/>
          <w:szCs w:val="18"/>
          <w:color w:val="auto"/>
        </w:rPr>
        <w:t>Section 64 of the International Private Law Act provides that a judgment issued in a foreign country is recognized in Italy, without any proceedings (</w:t>
      </w:r>
      <w:r>
        <w:rPr>
          <w:rFonts w:ascii="Arial" w:cs="Arial" w:eastAsia="Arial" w:hAnsi="Arial"/>
          <w:sz w:val="18"/>
          <w:szCs w:val="18"/>
          <w:i w:val="1"/>
          <w:iCs w:val="1"/>
          <w:color w:val="auto"/>
        </w:rPr>
        <w:t>i.e.,</w:t>
      </w:r>
      <w:r>
        <w:rPr>
          <w:rFonts w:ascii="Arial" w:cs="Arial" w:eastAsia="Arial" w:hAnsi="Arial"/>
          <w:sz w:val="18"/>
          <w:szCs w:val="18"/>
          <w:color w:val="auto"/>
        </w:rPr>
        <w:t xml:space="preserve"> without a rehearing on the merits) being necessary, if all of the following conditions are met:</w:t>
      </w:r>
    </w:p>
    <w:p>
      <w:pPr>
        <w:spacing w:after="0" w:line="197" w:lineRule="exact"/>
        <w:rPr>
          <w:sz w:val="20"/>
          <w:szCs w:val="20"/>
          <w:color w:val="auto"/>
        </w:rPr>
      </w:pPr>
    </w:p>
    <w:p>
      <w:pPr>
        <w:ind w:left="840" w:hanging="184"/>
        <w:spacing w:after="0"/>
        <w:tabs>
          <w:tab w:leader="none" w:pos="8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judge who issued the judgment had the power to decide the case pursuant to the principles on jurisdiction provided by Italian law;</w:t>
      </w:r>
    </w:p>
    <w:p>
      <w:pPr>
        <w:spacing w:after="0" w:line="263" w:lineRule="exact"/>
        <w:rPr>
          <w:rFonts w:ascii="Arial" w:cs="Arial" w:eastAsia="Arial" w:hAnsi="Arial"/>
          <w:sz w:val="17"/>
          <w:szCs w:val="17"/>
          <w:color w:val="auto"/>
        </w:rPr>
      </w:pPr>
    </w:p>
    <w:p>
      <w:pPr>
        <w:ind w:right="200" w:firstLine="656"/>
        <w:spacing w:after="0" w:line="277" w:lineRule="auto"/>
        <w:tabs>
          <w:tab w:leader="none" w:pos="84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writ of summons (or equivalent pleading) was duly served upon the defendant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 xml:space="preserve"> (i.e., the application of the rules of the legal system to which the judge belongs);</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parties entered an appearance, or their default was duly declared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60" w:hanging="204"/>
        <w:spacing w:after="0"/>
        <w:tabs>
          <w:tab w:leader="none" w:pos="8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judgment to be recognized is a final judgment subject to no further appeal;</w:t>
      </w:r>
    </w:p>
    <w:p>
      <w:pPr>
        <w:spacing w:after="0" w:line="252" w:lineRule="exact"/>
        <w:rPr>
          <w:rFonts w:ascii="Arial" w:cs="Arial" w:eastAsia="Arial" w:hAnsi="Arial"/>
          <w:sz w:val="18"/>
          <w:szCs w:val="18"/>
          <w:color w:val="auto"/>
        </w:rPr>
      </w:pPr>
    </w:p>
    <w:p>
      <w:pPr>
        <w:ind w:left="840" w:hanging="184"/>
        <w:spacing w:after="0"/>
        <w:tabs>
          <w:tab w:leader="none" w:pos="8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judgment to be recognized does not contrast with a final judgment issued by an Italian Court;</w:t>
      </w:r>
    </w:p>
    <w:p>
      <w:pPr>
        <w:spacing w:after="0" w:line="252" w:lineRule="exact"/>
        <w:rPr>
          <w:rFonts w:ascii="Arial" w:cs="Arial" w:eastAsia="Arial" w:hAnsi="Arial"/>
          <w:sz w:val="18"/>
          <w:szCs w:val="18"/>
          <w:color w:val="auto"/>
        </w:rPr>
      </w:pPr>
    </w:p>
    <w:p>
      <w:pPr>
        <w:ind w:right="120" w:firstLine="656"/>
        <w:spacing w:after="0" w:line="277" w:lineRule="auto"/>
        <w:tabs>
          <w:tab w:leader="none" w:pos="81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there are no pending proceedings between the same parties and in relation to the same matter, which proceedings were commenced prior to the commencement of the foreign proceedings; and</w:t>
      </w:r>
    </w:p>
    <w:p>
      <w:pPr>
        <w:spacing w:after="0" w:line="197" w:lineRule="exact"/>
        <w:rPr>
          <w:rFonts w:ascii="Arial" w:cs="Arial" w:eastAsia="Arial" w:hAnsi="Arial"/>
          <w:sz w:val="18"/>
          <w:szCs w:val="18"/>
          <w:color w:val="auto"/>
        </w:rPr>
      </w:pPr>
    </w:p>
    <w:p>
      <w:pPr>
        <w:ind w:left="860" w:hanging="204"/>
        <w:spacing w:after="0"/>
        <w:tabs>
          <w:tab w:leader="none" w:pos="8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judgment to be recognized does not conflict with Italian public order.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the foreign civil judgment must be enforced in Italy, the above-mentioned conditions must be verified by the Italian Court of Appeal based in the area where the judgment must be executed, as indicated in Article 67 of the International Private Law Act. The subsequent decision of the competent Court of Appeal constitutes the title to enforce the foreign decision. 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foregoing, investors may be able to enforce in Italy judgments in civil and commercial matters that have been obtained from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or state courts. Nevertheless, we cannot assure you that those judgments will be recognized or enforceable in Italy.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21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SEC maintains an Internet website that contains reports and other information regarding issuers that file electronically with the SEC. Our filings with the SEC are also available to the public through the SEC’s website at www.sec.gov.</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22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maintain a corporate website at www.genenta.com. Information contained on, or that can be accessed through, our website does not constitute a part of this prospectus. We have included our website address in this prospectus solely as an inactive textual reference.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gridSpan w:val="2"/>
          </w:tcPr>
          <w:p>
            <w:pPr>
              <w:jc w:val="center"/>
              <w:ind w:right="1430"/>
              <w:spacing w:after="0"/>
              <w:rPr>
                <w:sz w:val="20"/>
                <w:szCs w:val="20"/>
                <w:color w:val="auto"/>
              </w:rPr>
            </w:pPr>
            <w:r>
              <w:rPr>
                <w:rFonts w:ascii="Arial" w:cs="Arial" w:eastAsia="Arial" w:hAnsi="Arial"/>
                <w:sz w:val="18"/>
                <w:szCs w:val="18"/>
                <w:color w:val="auto"/>
                <w:w w:val="98"/>
              </w:rPr>
              <w:t>INDEX TO FINANCIAL STATEMENTS</w:t>
            </w:r>
          </w:p>
        </w:tc>
        <w:tc>
          <w:tcPr>
            <w:tcW w:w="2180" w:type="dxa"/>
            <w:vAlign w:val="bottom"/>
          </w:tcPr>
          <w:p>
            <w:pPr>
              <w:spacing w:after="0"/>
              <w:rPr>
                <w:sz w:val="20"/>
                <w:szCs w:val="20"/>
                <w:color w:val="auto"/>
              </w:rPr>
            </w:pPr>
          </w:p>
        </w:tc>
      </w:tr>
      <w:tr>
        <w:trPr>
          <w:trHeight w:val="459"/>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2"/>
          </w:tcPr>
          <w:p>
            <w:pPr>
              <w:jc w:val="center"/>
              <w:ind w:right="1410"/>
              <w:spacing w:after="0"/>
              <w:rPr>
                <w:sz w:val="20"/>
                <w:szCs w:val="20"/>
                <w:color w:val="auto"/>
              </w:rPr>
            </w:pPr>
            <w:r>
              <w:rPr>
                <w:rFonts w:ascii="Arial" w:cs="Arial" w:eastAsia="Arial" w:hAnsi="Arial"/>
                <w:sz w:val="18"/>
                <w:szCs w:val="18"/>
                <w:color w:val="auto"/>
                <w:w w:val="94"/>
              </w:rPr>
              <w:t>YEARS ENDED DECEMBER 31, 2020 AND 2019</w:t>
            </w:r>
          </w:p>
        </w:tc>
        <w:tc>
          <w:tcPr>
            <w:tcW w:w="2180" w:type="dxa"/>
            <w:vAlign w:val="bottom"/>
          </w:tcPr>
          <w:p>
            <w:pPr>
              <w:spacing w:after="0"/>
              <w:rPr>
                <w:sz w:val="24"/>
                <w:szCs w:val="24"/>
                <w:color w:val="auto"/>
              </w:rPr>
            </w:pPr>
          </w:p>
        </w:tc>
      </w:tr>
      <w:tr>
        <w:trPr>
          <w:trHeight w:val="243"/>
        </w:trPr>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09">
              <w:r>
                <w:rPr>
                  <w:rFonts w:ascii="Arial" w:cs="Arial" w:eastAsia="Arial" w:hAnsi="Arial"/>
                  <w:sz w:val="18"/>
                  <w:szCs w:val="18"/>
                  <w:color w:val="0000EE"/>
                </w:rPr>
                <w:t>Report of Independent Registered Public Accounting Firm</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0">
              <w:r>
                <w:rPr>
                  <w:rFonts w:ascii="Arial" w:cs="Arial" w:eastAsia="Arial" w:hAnsi="Arial"/>
                  <w:sz w:val="18"/>
                  <w:szCs w:val="18"/>
                  <w:color w:val="0000EE"/>
                </w:rPr>
                <w:t>Statements of Operations and Comprehensive Loss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1">
              <w:r>
                <w:rPr>
                  <w:rFonts w:ascii="Arial" w:cs="Arial" w:eastAsia="Arial" w:hAnsi="Arial"/>
                  <w:sz w:val="18"/>
                  <w:szCs w:val="18"/>
                  <w:color w:val="0000EE"/>
                </w:rPr>
                <w:t>Balance Sheets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F-4</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2">
              <w:r>
                <w:rPr>
                  <w:rFonts w:ascii="Arial" w:cs="Arial" w:eastAsia="Arial" w:hAnsi="Arial"/>
                  <w:sz w:val="18"/>
                  <w:szCs w:val="18"/>
                  <w:color w:val="0000EE"/>
                </w:rPr>
                <w:t>Statements of Changes in Quotaholders’ Equity</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F-5</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3">
              <w:r>
                <w:rPr>
                  <w:rFonts w:ascii="Arial" w:cs="Arial" w:eastAsia="Arial" w:hAnsi="Arial"/>
                  <w:sz w:val="18"/>
                  <w:szCs w:val="18"/>
                  <w:color w:val="0000EE"/>
                </w:rPr>
                <w:t>Statements of Cash Flows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F-6</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4">
              <w:r>
                <w:rPr>
                  <w:rFonts w:ascii="Arial" w:cs="Arial" w:eastAsia="Arial" w:hAnsi="Arial"/>
                  <w:sz w:val="18"/>
                  <w:szCs w:val="18"/>
                  <w:color w:val="0000EE"/>
                </w:rPr>
                <w:t>Notes to the Financial Statements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F-7</w:t>
            </w:r>
          </w:p>
        </w:tc>
      </w:tr>
      <w:tr>
        <w:trPr>
          <w:trHeight w:val="466"/>
        </w:trPr>
        <w:tc>
          <w:tcPr>
            <w:tcW w:w="110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4840" w:type="dxa"/>
            <w:vAlign w:val="bottom"/>
            <w:tcBorders>
              <w:top w:val="single" w:sz="8" w:color="CCEEFF"/>
              <w:bottom w:val="single" w:sz="8" w:color="auto"/>
            </w:tcBorders>
          </w:tcPr>
          <w:p>
            <w:pPr>
              <w:jc w:val="center"/>
              <w:ind w:right="1950"/>
              <w:spacing w:after="0"/>
              <w:rPr>
                <w:sz w:val="20"/>
                <w:szCs w:val="20"/>
                <w:color w:val="auto"/>
              </w:rPr>
            </w:pPr>
            <w:r>
              <w:rPr>
                <w:rFonts w:ascii="Arial" w:cs="Arial" w:eastAsia="Arial" w:hAnsi="Arial"/>
                <w:sz w:val="18"/>
                <w:szCs w:val="18"/>
                <w:color w:val="auto"/>
                <w:w w:val="88"/>
              </w:rPr>
              <w:t>F-1</w:t>
            </w:r>
          </w:p>
        </w:tc>
        <w:tc>
          <w:tcPr>
            <w:tcW w:w="21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208" w:name="page209"/>
    <w:bookmarkEnd w:id="208"/>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Board of Directors and Quotaholders of </w:t>
      </w:r>
      <w:r>
        <w:rPr>
          <w:rFonts w:ascii="Arial" w:cs="Arial" w:eastAsia="Arial" w:hAnsi="Arial"/>
          <w:sz w:val="18"/>
          <w:szCs w:val="18"/>
          <w:b w:val="1"/>
          <w:bCs w:val="1"/>
          <w:color w:val="auto"/>
        </w:rPr>
        <w:t>Genenta Science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 xml:space="preserve">We have audited the accompanying balance sheets of </w:t>
      </w:r>
      <w:r>
        <w:rPr>
          <w:rFonts w:ascii="Arial" w:cs="Arial" w:eastAsia="Arial" w:hAnsi="Arial"/>
          <w:sz w:val="16"/>
          <w:szCs w:val="16"/>
          <w:b w:val="1"/>
          <w:bCs w:val="1"/>
          <w:color w:val="auto"/>
        </w:rPr>
        <w:t>Genenta Science S.r.l.</w:t>
      </w:r>
      <w:r>
        <w:rPr>
          <w:rFonts w:ascii="Arial" w:cs="Arial" w:eastAsia="Arial" w:hAnsi="Arial"/>
          <w:sz w:val="16"/>
          <w:szCs w:val="16"/>
          <w:color w:val="auto"/>
        </w:rPr>
        <w:t xml:space="preserve"> (the “Company”) as of December 31, 2020 and 2019, and the related statements of operations and comprehensive loss, changes in quotaholders’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right="341"/>
              <w:spacing w:after="0"/>
              <w:rPr>
                <w:sz w:val="20"/>
                <w:szCs w:val="20"/>
                <w:color w:val="auto"/>
              </w:rPr>
            </w:pPr>
            <w:r>
              <w:rPr>
                <w:rFonts w:ascii="Arial" w:cs="Arial" w:eastAsia="Arial" w:hAnsi="Arial"/>
                <w:sz w:val="18"/>
                <w:szCs w:val="18"/>
                <w:color w:val="auto"/>
                <w:w w:val="89"/>
              </w:rPr>
              <w:t>Year Ended December 31,</w:t>
            </w:r>
          </w:p>
        </w:tc>
      </w:tr>
      <w:tr>
        <w:trPr>
          <w:trHeight w:val="236"/>
        </w:trPr>
        <w:tc>
          <w:tcPr>
            <w:tcW w:w="5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center"/>
              <w:ind w:left="670"/>
              <w:spacing w:after="0"/>
              <w:rPr>
                <w:sz w:val="20"/>
                <w:szCs w:val="20"/>
                <w:color w:val="auto"/>
              </w:rPr>
            </w:pPr>
            <w:r>
              <w:rPr>
                <w:rFonts w:ascii="Arial" w:cs="Arial" w:eastAsia="Arial" w:hAnsi="Arial"/>
                <w:sz w:val="18"/>
                <w:szCs w:val="18"/>
                <w:color w:val="auto"/>
                <w:w w:val="92"/>
              </w:rPr>
              <w:t>(in Euros)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4,688,461</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3,702,982</w:t>
            </w:r>
          </w:p>
        </w:tc>
      </w:tr>
      <w:tr>
        <w:trPr>
          <w:trHeight w:val="24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901,765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921,520</w:t>
            </w:r>
          </w:p>
        </w:tc>
      </w:tr>
      <w:tr>
        <w:trPr>
          <w:trHeight w:val="210"/>
        </w:trPr>
        <w:tc>
          <w:tcPr>
            <w:tcW w:w="51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7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(5,590,226)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(4,624,502)</w:t>
            </w: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income (expense)</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5,966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36,331</w:t>
            </w:r>
          </w:p>
        </w:tc>
      </w:tr>
      <w:tr>
        <w:trPr>
          <w:trHeight w:val="237"/>
        </w:trPr>
        <w:tc>
          <w:tcPr>
            <w:tcW w:w="514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(7,754)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(9,552)</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(5,592,014)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0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(5,592,014)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Pro forma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 forma net loss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 forma net loss per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-113030</wp:posOffset>
            </wp:positionV>
            <wp:extent cx="206565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pro forma number of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color w:val="auto"/>
                <w:w w:val="91"/>
              </w:rPr>
              <w:t>At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0"/>
                <w:szCs w:val="20"/>
                <w:color w:val="auto"/>
              </w:rPr>
            </w:pPr>
          </w:p>
        </w:tc>
      </w:tr>
      <w:tr>
        <w:trPr>
          <w:trHeight w:val="216"/>
        </w:trPr>
        <w:tc>
          <w:tcPr>
            <w:tcW w:w="6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15,465,243</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20,141,379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947,501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458,118</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 related party</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121,432</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16,534,176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20,599,497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Non-current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18,971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Other asset-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3,350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945,618</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748,681</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non-current assets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967,939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748,681</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17,502,115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quotaholders’ equity</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544,988</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279,699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292,741</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365,969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213,973</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Accrued expenses -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1,359,191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1,651,620</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53,243</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2,333,418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2,486,033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17,388</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long-term liabilities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17,388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Commitments and contingencies (Note 13)</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Quotaholders’ equity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capital</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37,056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36,604,728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34,713,225</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(21,490,475)</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(15,898,461)</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quotaholders’ equity</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15,151,309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quotaholders’ equity</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17,502,115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t>Genenta Science S.r.l.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Quotaholders’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Corporate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paid-in</w:t>
            </w:r>
          </w:p>
        </w:tc>
        <w:tc>
          <w:tcPr>
            <w:tcW w:w="100" w:type="dxa"/>
            <w:vAlign w:val="bottom"/>
          </w:tcPr>
          <w:p>
            <w:pPr>
              <w:spacing w:after="0"/>
              <w:rPr>
                <w:sz w:val="18"/>
                <w:szCs w:val="18"/>
                <w:color w:val="auto"/>
              </w:rPr>
            </w:pPr>
          </w:p>
        </w:tc>
        <w:tc>
          <w:tcPr>
            <w:tcW w:w="1320" w:type="dxa"/>
            <w:vAlign w:val="bottom"/>
            <w:gridSpan w:val="2"/>
          </w:tcPr>
          <w:p>
            <w:pPr>
              <w:jc w:val="right"/>
              <w:ind w:right="261"/>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(in Euros, except quotas)</w:t>
            </w:r>
          </w:p>
        </w:tc>
        <w:tc>
          <w:tcPr>
            <w:tcW w:w="18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capital</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320" w:type="dxa"/>
            <w:vAlign w:val="bottom"/>
            <w:gridSpan w:val="2"/>
          </w:tcPr>
          <w:p>
            <w:pPr>
              <w:jc w:val="right"/>
              <w:ind w:right="501"/>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49"/>
        </w:trPr>
        <w:tc>
          <w:tcPr>
            <w:tcW w:w="49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19,202,381</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(11,300,738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Capital increase, net of issuance costs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6,870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14,761,332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14,768,202</w:t>
            </w: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749,512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749,512</w:t>
            </w: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(4,597,723)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(4,597,723)</w:t>
            </w:r>
          </w:p>
        </w:tc>
      </w:tr>
      <w:tr>
        <w:trPr>
          <w:trHeight w:val="236"/>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34,713,225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(15,898,461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Capital increase, net of issuance costs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1,007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1,431,309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1,432,316</w:t>
            </w: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460,194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460,194</w:t>
            </w:r>
          </w:p>
        </w:tc>
      </w:tr>
      <w:tr>
        <w:trPr>
          <w:trHeight w:val="236"/>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(5,592,014)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(5,592,014)</w:t>
            </w:r>
          </w:p>
        </w:tc>
      </w:tr>
      <w:tr>
        <w:trPr>
          <w:trHeight w:val="223"/>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36,604,728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(21,490,475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Genenta Science S.r.l.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60" w:type="dxa"/>
            <w:vAlign w:val="bottom"/>
            <w:gridSpan w:val="6"/>
          </w:tcPr>
          <w:p>
            <w:pPr>
              <w:jc w:val="center"/>
              <w:ind w:right="521"/>
              <w:spacing w:after="0"/>
              <w:rPr>
                <w:sz w:val="20"/>
                <w:szCs w:val="20"/>
                <w:color w:val="auto"/>
              </w:rPr>
            </w:pPr>
            <w:r>
              <w:rPr>
                <w:rFonts w:ascii="Arial" w:cs="Arial" w:eastAsia="Arial" w:hAnsi="Arial"/>
                <w:sz w:val="18"/>
                <w:szCs w:val="18"/>
                <w:color w:val="auto"/>
                <w:w w:val="88"/>
              </w:rPr>
              <w:t>Year-Ended December 31,</w:t>
            </w:r>
          </w:p>
        </w:tc>
      </w:tr>
      <w:tr>
        <w:trPr>
          <w:trHeight w:val="236"/>
        </w:trPr>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gridSpan w:val="4"/>
          </w:tcPr>
          <w:p>
            <w:pPr>
              <w:jc w:val="center"/>
              <w:ind w:left="490"/>
              <w:spacing w:after="0"/>
              <w:rPr>
                <w:sz w:val="20"/>
                <w:szCs w:val="20"/>
                <w:color w:val="auto"/>
              </w:rPr>
            </w:pPr>
            <w:r>
              <w:rPr>
                <w:rFonts w:ascii="Arial" w:cs="Arial" w:eastAsia="Arial" w:hAnsi="Arial"/>
                <w:sz w:val="18"/>
                <w:szCs w:val="18"/>
                <w:color w:val="auto"/>
                <w:w w:val="92"/>
              </w:rPr>
              <w:t>(in Euros)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loss</w:t>
            </w:r>
          </w:p>
        </w:tc>
        <w:tc>
          <w:tcPr>
            <w:tcW w:w="300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(5,592,014)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6,056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4,867</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460,194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749,512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(454,082)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151,091</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(200,287)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(588,681)</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265,289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190,088</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related party</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(282,714)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(217,670)</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38,263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133,797</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 related party</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(292,429)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1,666,295</w:t>
            </w: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5,243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18,237</w:t>
            </w:r>
          </w:p>
        </w:tc>
      </w:tr>
      <w:tr>
        <w:trPr>
          <w:trHeight w:val="23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(6,044,581</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investing activities</w:t>
            </w:r>
          </w:p>
        </w:tc>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(20,871)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53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50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(20,871</w:t>
            </w:r>
          </w:p>
        </w:tc>
        <w:tc>
          <w:tcPr>
            <w:tcW w:w="20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Proceeds from the issuance of quotas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1,500,436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15,086,708</w:t>
            </w:r>
          </w:p>
        </w:tc>
      </w:tr>
      <w:tr>
        <w:trPr>
          <w:trHeight w:val="222"/>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2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(68,120)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(318,506)</w:t>
            </w:r>
          </w:p>
        </w:tc>
      </w:tr>
      <w:tr>
        <w:trPr>
          <w:trHeight w:val="236"/>
        </w:trPr>
        <w:tc>
          <w:tcPr>
            <w:tcW w:w="5380" w:type="dxa"/>
            <w:vAlign w:val="bottom"/>
          </w:tcPr>
          <w:p>
            <w:pPr>
              <w:ind w:left="180"/>
              <w:spacing w:after="0"/>
              <w:rPr>
                <w:sz w:val="20"/>
                <w:szCs w:val="20"/>
                <w:color w:val="auto"/>
              </w:rPr>
            </w:pPr>
            <w:r>
              <w:rPr>
                <w:rFonts w:ascii="Arial" w:cs="Arial" w:eastAsia="Arial" w:hAnsi="Arial"/>
                <w:sz w:val="18"/>
                <w:szCs w:val="18"/>
                <w:color w:val="auto"/>
              </w:rPr>
              <w:t>Prepaid offering costs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(43,000)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1,389,316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14,768,202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(4,676,136)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12,278,015</w:t>
            </w:r>
          </w:p>
        </w:tc>
        <w:tc>
          <w:tcPr>
            <w:tcW w:w="100" w:type="dxa"/>
            <w:vAlign w:val="bottom"/>
          </w:tcPr>
          <w:p>
            <w:pPr>
              <w:spacing w:after="0"/>
              <w:rPr>
                <w:sz w:val="17"/>
                <w:szCs w:val="17"/>
                <w:color w:val="auto"/>
              </w:rPr>
            </w:pPr>
          </w:p>
        </w:tc>
      </w:tr>
      <w:tr>
        <w:trPr>
          <w:trHeight w:val="24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20,141,379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7,863,364</w:t>
            </w:r>
          </w:p>
        </w:tc>
      </w:tr>
      <w:tr>
        <w:trPr>
          <w:trHeight w:val="257"/>
        </w:trPr>
        <w:tc>
          <w:tcPr>
            <w:tcW w:w="53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50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15,465,243</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20,141,379</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53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w w:val="92"/>
              </w:rPr>
              <w:t>Non-cash financing activities: deferred offering costs accrued at year end</w:t>
            </w:r>
          </w:p>
        </w:tc>
        <w:tc>
          <w:tcPr>
            <w:tcW w:w="300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113,733</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
        </w:trPr>
        <w:tc>
          <w:tcPr>
            <w:tcW w:w="78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380" w:type="dxa"/>
            <w:vAlign w:val="bottom"/>
            <w:gridSpan w:val="3"/>
          </w:tcPr>
          <w:p>
            <w:pPr>
              <w:jc w:val="center"/>
              <w:ind w:left="2790"/>
              <w:spacing w:after="0"/>
              <w:rPr>
                <w:sz w:val="20"/>
                <w:szCs w:val="20"/>
                <w:color w:val="auto"/>
              </w:rPr>
            </w:pPr>
            <w:r>
              <w:rPr>
                <w:rFonts w:ascii="Arial" w:cs="Arial" w:eastAsia="Arial" w:hAnsi="Arial"/>
                <w:sz w:val="18"/>
                <w:szCs w:val="18"/>
                <w:i w:val="1"/>
                <w:iCs w:val="1"/>
                <w:color w:val="auto"/>
                <w:w w:val="90"/>
              </w:rPr>
              <w:t>The accompanying notes are an integral part of these financial statements.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center"/>
              <w:ind w:right="2430"/>
              <w:spacing w:after="0"/>
              <w:rPr>
                <w:sz w:val="20"/>
                <w:szCs w:val="20"/>
                <w:color w:val="auto"/>
              </w:rPr>
            </w:pPr>
            <w:r>
              <w:rPr>
                <w:rFonts w:ascii="Arial" w:cs="Arial" w:eastAsia="Arial" w:hAnsi="Arial"/>
                <w:sz w:val="18"/>
                <w:szCs w:val="18"/>
                <w:color w:val="auto"/>
                <w:w w:val="88"/>
              </w:rPr>
              <w:t>F-6</w:t>
            </w: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ENENTA</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R</w:t>
      </w:r>
      <w:r>
        <w:rPr>
          <w:rFonts w:ascii="Arial" w:cs="Arial" w:eastAsia="Arial" w:hAnsi="Arial"/>
          <w:sz w:val="18"/>
          <w:szCs w:val="18"/>
          <w:b w:val="1"/>
          <w:bCs w:val="1"/>
          <w:color w:val="auto"/>
        </w:rPr>
        <w:t>.</w:t>
      </w:r>
      <w:r>
        <w:rPr>
          <w:rFonts w:ascii="Arial" w:cs="Arial" w:eastAsia="Arial" w:hAnsi="Arial"/>
          <w:sz w:val="12"/>
          <w:szCs w:val="12"/>
          <w:b w:val="1"/>
          <w:bCs w:val="1"/>
          <w:color w:val="auto"/>
        </w:rPr>
        <w:t>L</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OTES TO THE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Genenta Science S.r.l. (the “Company”) is an early-stage company developing potential ground-breaking cell and gene cancer therapies. The Company is initially developing its clinical leading product, Temferon, to treat glioblastoma multiforme (“GBM”), a solid tumor affecting the brain. The Company intends to start a second clinical trial to study Temferon in liver cancers and is planning to expand its clinical trial on GBM indications in the United States.</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Genenta Science S.r.l. is an Italian limited liability company (società a responsabilità limitata, or S.r.l.), which is similar to a limited liability company in the United States. The Company was founded by San Raffaele Hospital (“OSR”), in Milan, Italy, Pierluigi Paracchi, Luigi Naldini and Bernhard Gentner and was incorporated in July 2014. The Company is organized under the laws of Italy, with registered office in Milan. The corporate capital of an S.r.l. is called a “quota.” A quota is a varying ownership or portion of subscribed capital in the S.r.l. Each quota has specific rights and value. (See Note 10. Quotaholders’ Equity.) The Company’s reporting currency is Euros.</w:t>
      </w:r>
    </w:p>
    <w:p>
      <w:pPr>
        <w:spacing w:after="0" w:line="18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incurred recurring losses since its inception, including a net loss of €5,592,014 and €4,597,723 for the years ended December 31, 2020 and 2019. In addition, as of December 31, 2020, the Company had an accumulated deficit of €21,490,475. The Company has primarily funded these losses through the proceeds from sales of convertible debt and quotas. Although the Company has incurred recurring losses and expects to continue to incur losses for the foreseeable future, the Company expects that its existing cash and cash equivalents on hand as of December 31, 2020 of €15,465,243 will be more than sufficient to fund current planned operations and capital expenditure requirements for at least the next twelve months from the filing date of these financial statements.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has evaluated whether there are conditions and events considered in the aggregate that raise substantial doubt about the Company’s ability to continue as a going concern. The Company’s business model, typical of biotechnology companies developing new therapeutic products that have not reached a balanced income and financial position, features negative cash flows. This is due to the fact that, at this stage, costs must be borne in relation to services and personnel, directly connected to research and development activities, and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significant costs for research and development in the foreseeable future. There is no certainty that the Company will become profitable in the future.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4" w:name="page215"/>
    <w:bookmarkEnd w:id="214"/>
    <w:p>
      <w:pPr>
        <w:ind w:right="220" w:firstLine="648"/>
        <w:spacing w:after="0" w:line="279" w:lineRule="auto"/>
        <w:rPr>
          <w:sz w:val="20"/>
          <w:szCs w:val="20"/>
          <w:color w:val="auto"/>
        </w:rPr>
      </w:pPr>
      <w:r>
        <w:rPr>
          <w:rFonts w:ascii="Arial" w:cs="Arial" w:eastAsia="Arial" w:hAnsi="Arial"/>
          <w:sz w:val="17"/>
          <w:szCs w:val="17"/>
          <w:color w:val="auto"/>
        </w:rPr>
        <w:t>The Company has primarily funded its operations with proceeds from several capital increases and at March 31, 2021, had approximately €13.1 million of cash and cash equivalents. Therefore, management and the Board of Directors believe that the Company has adequate financial resources to support business operations in the foreseeable future and for at least 12 months from the date of this report. Accordingly, the accompanying financial statements have been prepared assuming that the Company will continue as a going concern.</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will require additional capital to meet its long-term operating requirements. It expects to raise additional capital through, among other things, the sale of equity or debt securities. If adequate funds are not available in the future, the Company may be forced to delay, reorganize, or cancel research and development programs, or to enter into financing, licensing or collaboration agreements with unfavorable conditions or waive rights to certain products which otherwise it would not have waived, resulting in negative effects on the activity and on the economic, patrimonial and /or financial situation of the Company.</w:t>
      </w:r>
    </w:p>
    <w:p>
      <w:pPr>
        <w:spacing w:after="0" w:line="18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the Company’s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The Company has not experienced significant interruptions related to COVID-19, although one patient tested positive for COVID-19 and had to delay treatment with Temferon™. The Company may find it difficult to enroll patients in its clinical trials, which could delay or prevent the Company from proceeding with clinical trials of its product candidates. The Company continues to closely monitor this rapidly evolving situation and the potential impact on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 unless otherwise stated.</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 summary of the significant accounting policies applied in the preparation of these financial statements is presented below, only for the categories and headings now applicable and that might be applicable in the future based on the Company’s business. These policies have been consistently applied, unless otherwise stated.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financial statements are disclosed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In the cash flow statement cash and cash equivalents includes cash on hand, deposits held with banks, and other short-term highly liquid investments. In the balance sheet, bank overdrafts, if any, are shown in current liabilities. Cash and cash equivalents are detailed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At December 31,</w:t>
            </w:r>
          </w:p>
        </w:tc>
        <w:tc>
          <w:tcPr>
            <w:tcW w:w="168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(in Euros)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in bank</w:t>
            </w:r>
          </w:p>
        </w:tc>
        <w:tc>
          <w:tcPr>
            <w:tcW w:w="1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15,462,805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20,137,033</w:t>
            </w:r>
          </w:p>
        </w:tc>
        <w:tc>
          <w:tcPr>
            <w:tcW w:w="1680" w:type="dxa"/>
            <w:vAlign w:val="bottom"/>
          </w:tcPr>
          <w:p>
            <w:pPr>
              <w:spacing w:after="0"/>
              <w:rPr>
                <w:sz w:val="18"/>
                <w:szCs w:val="18"/>
                <w:color w:val="auto"/>
              </w:rPr>
            </w:pPr>
          </w:p>
        </w:tc>
      </w:tr>
      <w:tr>
        <w:trPr>
          <w:trHeight w:val="236"/>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Cash in hand &amp; prepaid cards</w:t>
            </w: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2,438</w:t>
            </w:r>
          </w:p>
        </w:tc>
        <w:tc>
          <w:tcPr>
            <w:tcW w:w="3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4,346</w:t>
            </w:r>
          </w:p>
        </w:tc>
        <w:tc>
          <w:tcPr>
            <w:tcW w:w="1680" w:type="dxa"/>
            <w:vAlign w:val="bottom"/>
          </w:tcPr>
          <w:p>
            <w:pPr>
              <w:spacing w:after="0"/>
              <w:rPr>
                <w:sz w:val="20"/>
                <w:szCs w:val="20"/>
                <w:color w:val="auto"/>
              </w:rPr>
            </w:pPr>
          </w:p>
        </w:tc>
      </w:tr>
      <w:tr>
        <w:trPr>
          <w:trHeight w:val="230"/>
        </w:trPr>
        <w:tc>
          <w:tcPr>
            <w:tcW w:w="1700" w:type="dxa"/>
            <w:vAlign w:val="bottom"/>
          </w:tcPr>
          <w:p>
            <w:pPr>
              <w:spacing w:after="0"/>
              <w:rPr>
                <w:sz w:val="19"/>
                <w:szCs w:val="19"/>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15,465,243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20,141,379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9"/>
        </w:trPr>
        <w:tc>
          <w:tcPr>
            <w:tcW w:w="17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color w:val="auto"/>
              </w:rPr>
              <w:t>F-8</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Net loss per share (“EPS”) is computed in accordance with U.S. GAAP. 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 Historical EPS or QPS (quota per share) has not been included in these financial statements because the Company has determined it is not a meaningful or material disclosure due to the Company’s current capital structure.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Pro forma net loss per share has not been presented at December 31, 2020 and 2019. Pro forma basic and diluted net loss per share will be computed by dividing pro forma net loss by the weighted average number of common shares outstanding when the Company transitions to an S.p.A. in 2021 and the information presented is meaningful to a user of the financial statements. The Company has reported net losses since inception, the potential impact of outstanding options being exercised would be anti-dilutive, and therefore basic and diluted loss per share would be the same when presented.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reporting and functional currency of the Company is Euros. All amounts are presented in Euros unless otherwise stated. All amounts disclosed in the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year-end exchange rates of monetary assets and liabilities denominated in foreign currencies are recognized in the statement of operations. During the years ended December 31, 2020 and 2019, foreign exchange gains and losses were insignificant.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1"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25"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 on investments in research and development</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line with the legislation in force until December 31, 2020,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of social security contributions and withholding taxes. The tax credit calculation methodology changed in 2020, and the credit was determined as 12% of eligible expenses up to €3.0 million. Up until December 31, 2019, the tax credit was up to 50% of the increase of annual research and development expenses compared to the median expense for the years 2012-2014.</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eligible activities consist of fundamental research, industrial research, and experimental development as defined respectively of the letters m),</w:t>
      </w:r>
    </w:p>
    <w:p>
      <w:pPr>
        <w:spacing w:after="0" w:line="46" w:lineRule="exact"/>
        <w:rPr>
          <w:sz w:val="20"/>
          <w:szCs w:val="20"/>
          <w:color w:val="auto"/>
        </w:rPr>
      </w:pPr>
    </w:p>
    <w:p>
      <w:pPr>
        <w:ind w:left="5460" w:right="4300" w:hanging="5452"/>
        <w:spacing w:after="0" w:line="555" w:lineRule="auto"/>
        <w:tabs>
          <w:tab w:leader="none" w:pos="20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and j) of point 15, par. 1.3 of the Communication no. 198/2014 of the European Commission.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17" w:name="page218"/>
    <w:bookmarkEnd w:id="217"/>
    <w:p>
      <w:pPr>
        <w:ind w:left="660"/>
        <w:spacing w:after="0"/>
        <w:rPr>
          <w:sz w:val="20"/>
          <w:szCs w:val="20"/>
          <w:color w:val="auto"/>
        </w:rPr>
      </w:pPr>
      <w:r>
        <w:rPr>
          <w:rFonts w:ascii="Arial" w:cs="Arial" w:eastAsia="Arial" w:hAnsi="Arial"/>
          <w:sz w:val="18"/>
          <w:szCs w:val="18"/>
          <w:color w:val="auto"/>
        </w:rPr>
        <w:t>To determine the cost basis of the benefit, the following expenses are eligible:</w:t>
      </w:r>
    </w:p>
    <w:p>
      <w:pPr>
        <w:spacing w:after="0" w:line="225"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Personnel costs.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Depreciation charges, costs of the financial or simple lease and other expenses related to movable tangible assets and software used in research and development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Expenses for extra-euro research contracts concerning the direct execution of eligible research and development activities by the provider.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Depreciation charges related to industrial privatives.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Expenses for consultancy services and equivalent services related to research and development eligible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Expenses for materials, supplies, and other similar products used in the research and development projects.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The Company accounts for this receivable in accordance with International Accounting Standards (IAS) 20, </w:t>
      </w:r>
      <w:r>
        <w:rPr>
          <w:rFonts w:ascii="Arial" w:cs="Arial" w:eastAsia="Arial" w:hAnsi="Arial"/>
          <w:sz w:val="18"/>
          <w:szCs w:val="18"/>
          <w:i w:val="1"/>
          <w:iCs w:val="1"/>
          <w:color w:val="auto"/>
        </w:rPr>
        <w:t>Accounting for Government Grants</w:t>
      </w:r>
      <w:r>
        <w:rPr>
          <w:rFonts w:ascii="Arial" w:cs="Arial" w:eastAsia="Arial" w:hAnsi="Arial"/>
          <w:sz w:val="18"/>
          <w:szCs w:val="18"/>
          <w:color w:val="auto"/>
        </w:rPr>
        <w:t xml:space="preserve"> </w:t>
      </w:r>
      <w:r>
        <w:rPr>
          <w:rFonts w:ascii="Arial" w:cs="Arial" w:eastAsia="Arial" w:hAnsi="Arial"/>
          <w:sz w:val="18"/>
          <w:szCs w:val="18"/>
          <w:i w:val="1"/>
          <w:iCs w:val="1"/>
          <w:color w:val="auto"/>
        </w:rPr>
        <w:t>and Disclosure of Government Assistance</w:t>
      </w:r>
      <w:r>
        <w:rPr>
          <w:rFonts w:ascii="Arial" w:cs="Arial" w:eastAsia="Arial" w:hAnsi="Arial"/>
          <w:sz w:val="18"/>
          <w:szCs w:val="18"/>
          <w:color w:val="auto"/>
        </w:rPr>
        <w:t>. The receivable is recognized when there is reasonable assurance that: (1) the recipient will comply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conditions and (2) the grant will be received. The Company elected to present it net of the related expenditure on the statement of operations and comprehensive loss.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statement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reward the efforts of employees, directors, and certain consultants to promote the growth of the Company, the Company’s Board of Directors has approved, during its existence, various share-based awards. All options have been awarded with an exercise price of €1 per quota and, when exercised, all options have been converted to Quota B. The options granted have the vesting condition that the individual must remain in his/her role at least one year or as otherwise specified for each person.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measures share-based awards granted to employees and directors based on the fair value on the date of the grant and recognizes compensation expense for those awards over the requisite service period, which is the vesting period of the respective award. Forfeitures are accounted for as they occur. The measurement date for option awards is the date of the grant. The Company classifies share-based compensation expense in its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Property and equipment are stated at cost, including any accessory and direct costs that are necessary to make the assets fit for use, and adjusted by the corresponding accumulated depreciation. The depreciation recorded in the financial statements of operations has been calculated on a straight line basis by taking into consideration the use, purpose and financial-technical duration of the assets, on the basis of their estimated useful economic lives. The Company believes the above criteria to be represented by the following estimated useful lives:</w:t>
      </w:r>
    </w:p>
    <w:p>
      <w:pPr>
        <w:spacing w:after="0" w:line="171" w:lineRule="exact"/>
        <w:rPr>
          <w:sz w:val="20"/>
          <w:szCs w:val="20"/>
          <w:color w:val="auto"/>
        </w:rPr>
      </w:pPr>
    </w:p>
    <w:p>
      <w:pPr>
        <w:ind w:left="760" w:hanging="104"/>
        <w:spacing w:after="0"/>
        <w:tabs>
          <w:tab w:leader="none" w:pos="7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Equipment &amp; Furniture: 15 years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Electronic office equipment: 10 years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Leasehold improvements: based on the length of the lease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Ordinary maintenance costs are entirely attributed to the statements of operations in the year in which they are incurred. Extraordinary maintenance costs, the purpose of which is to extend the useful economic life of the asset, to technologically upgrade it and/or to increase its productivity or safety for the purposes of the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accordance with ASC Topic 360-10-20, ‘‘Property, Plant and Equipment,’’ the Company performs an impairment test whenever events or circumstances indicate that the carrying value of long-lived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 down the asset to its fair value based on the present value of estimated cash flows. To date, no impairments have been identified by management for the years ended December 31, 2020 and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Deferred public offering costs, which primarily consist of direct, incremental legal and accounting fees relating to the initial public offering (IPO), are capitalized within prepaid expenses and other current assets. The deferred offering costs will be offset against IPO proceeds upon the consummation of the offering. In the event the offering is terminated, deferred offering costs will be expensed. The Company has incurred €156,000 in IPO offering costs as of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financial statements.</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July 2017, the FASB issued ASU No.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(‘‘ASU 2017-11’’).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non-public entities, ASU 2017-11 is effective for annual reporting periods beginning after December 15, 2019, including interim periods within those fiscal years. The Company does not expect the adoption of ASU 2017-11 to have a significant impact on its financial position, results of operations, or cash flows.</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August 2018, the FASB issued No. ASU 2018-13, Fair Value Measurement (Topic 820)—Disclosure Framework (‘‘ASU 2018-13’’), which improves the disclosure requirements for fair value measurements. For non-public entities, ASU 2018-13 is effective for annual reporting periods beginning after December 15, 2019, including interim periods within those fiscal years. Early adoption is permitted for any removed or modified disclosures. The Company is currently evaluating the impact that the adoption of ASU 2018-13 will have on its financial statements. The FASB issued authoritative guidance that amends guidance on reporting credit losses for financial assets, including available-for-sale marketable securities and any other financial assets not excluded from the scope that result in a contractual right to receive cash. For available-for-sale marketable securities, credit losses should be measured in a manner similar to current generally accepted accounting standards; however, ASU 2016-13, Financial Instruments—Credit Losses (Topic 326): Measurement of Credit Losses on Financial Instruments, will require that credit losses be presented as an allowance rather than as a write-down. For non-public entities, the standard is effective for annual periods beginning after December 15, 2022, with early adoption permitted. The Company is currently evaluating the impact that the adoption of ASU 2016-13 will have on its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t>3. Research and development</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Research and development costs are expensed as incurred. Research and development expenses consist of costs incurred in performing research and development activities, including salaries, share-based compensation and benefits, facilities costs, third-party license fees, certain milestone payments,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yearly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as of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 in Note 12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is subject to taxation in Italy, including the standard corporate income tax (“IRES”) and a regional business tax (“IRAP”). Taxes are recorded on an accrual basis. They therefore represent the allowances for taxes paid or to be paid for the year, calculated according to the current enacted rates and applicable laws. Due to the tax loss position reported, no income taxes were due for the years ending December 31, 2020 and 2019. The Company is taxed in various countries where it has permanent establishment, as applicable.</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0" w:name="page221"/>
    <w:bookmarkEnd w:id="220"/>
    <w:p>
      <w:pPr>
        <w:ind w:firstLine="648"/>
        <w:spacing w:after="0" w:line="275" w:lineRule="auto"/>
        <w:rPr>
          <w:sz w:val="20"/>
          <w:szCs w:val="20"/>
          <w:color w:val="auto"/>
        </w:rPr>
      </w:pPr>
      <w:r>
        <w:rPr>
          <w:rFonts w:ascii="Arial" w:cs="Arial" w:eastAsia="Arial" w:hAnsi="Arial"/>
          <w:sz w:val="17"/>
          <w:szCs w:val="17"/>
          <w:color w:val="auto"/>
        </w:rPr>
        <w:t>As of each reporting date, the Company considers existing evidence, both positive and negative, that could impact its view with regards to future realization of deferred tax assets. In consideration of the start-up status of the Company, a full valuation allowance has been established to offset the deferred tax assets, as the related realization is currently uncertain. In the future, should management conclude that it is more likely than not that the deferred tax assets are partially or fully realizable, the valuation allowance will be reduced to the extent of such expected realization, and the corresponding amount will be recognized as income tax benefit in the Company’s statement of operations and comprehensive loss.</w:t>
      </w:r>
    </w:p>
    <w:p>
      <w:pPr>
        <w:spacing w:after="0" w:line="176"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financial statements. The prior five (5) years’ tax returns are potentially subject to audit.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w w:val="97"/>
              </w:rPr>
              <w:t>A reconciliation of the Company’s effective tax rate is summarized as follows:</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Italy statutory rate</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(1,342,083)</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(1,103,454)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Permanent differences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1,338,333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1,092,084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 provision expense for income taxes</w:t>
            </w: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4"/>
          </w:tcPr>
          <w:p>
            <w:pPr>
              <w:spacing w:after="0"/>
              <w:rPr>
                <w:sz w:val="20"/>
                <w:szCs w:val="20"/>
                <w:color w:val="auto"/>
              </w:rPr>
            </w:pPr>
            <w:r>
              <w:rPr>
                <w:rFonts w:ascii="Arial" w:cs="Arial" w:eastAsia="Arial" w:hAnsi="Arial"/>
                <w:sz w:val="18"/>
                <w:szCs w:val="18"/>
                <w:color w:val="auto"/>
                <w:w w:val="91"/>
              </w:rPr>
              <w:t>Significant components of the Company’s net deferred tax assets are summarized as follows: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4,692,844</w:t>
            </w:r>
          </w:p>
        </w:tc>
        <w:tc>
          <w:tcPr>
            <w:tcW w:w="14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3,192,643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temporary differences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Allowance for corporate equity</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4,903,464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(4,903,464)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(3,515,615)</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Tax loss carryforwards expire as follows:</w:t>
            </w: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 expiration date</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 expiration date - DL 98/2011</w:t>
            </w:r>
          </w:p>
        </w:tc>
        <w:tc>
          <w:tcPr>
            <w:tcW w:w="4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14,066,434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7,815,593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19,553,519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13,302,678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carryforwards that refer to the start-up period, defined as the first three (3) years of operations starting from the inception of the Company.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14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7"/>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480,000</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237,569</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280,631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192,020</w:t>
            </w: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156,261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Advances to suppliers – related party</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121,432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9"/>
        </w:trPr>
        <w:tc>
          <w:tcPr>
            <w:tcW w:w="142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30,609</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28,529</w:t>
            </w:r>
          </w:p>
        </w:tc>
        <w:tc>
          <w:tcPr>
            <w:tcW w:w="60" w:type="dxa"/>
            <w:vAlign w:val="bottom"/>
            <w:shd w:val="clear" w:color="auto" w:fill="CCEEFF"/>
          </w:tcPr>
          <w:p>
            <w:pPr>
              <w:spacing w:after="0"/>
              <w:rPr>
                <w:sz w:val="21"/>
                <w:szCs w:val="21"/>
                <w:color w:val="auto"/>
              </w:rPr>
            </w:pPr>
          </w:p>
        </w:tc>
      </w:tr>
      <w:tr>
        <w:trPr>
          <w:trHeight w:val="217"/>
        </w:trPr>
        <w:tc>
          <w:tcPr>
            <w:tcW w:w="1420" w:type="dxa"/>
            <w:vAlign w:val="bottom"/>
          </w:tcPr>
          <w:p>
            <w:pPr>
              <w:spacing w:after="0"/>
              <w:rPr>
                <w:sz w:val="18"/>
                <w:szCs w:val="18"/>
                <w:color w:val="auto"/>
              </w:rPr>
            </w:pPr>
          </w:p>
        </w:tc>
        <w:tc>
          <w:tcPr>
            <w:tcW w:w="5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1,068,933</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458,118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Value Added Tax (VAT) receivables are linked to purchases. Italian VAT (</w:t>
      </w:r>
      <w:r>
        <w:rPr>
          <w:rFonts w:ascii="Arial" w:cs="Arial" w:eastAsia="Arial" w:hAnsi="Arial"/>
          <w:sz w:val="18"/>
          <w:szCs w:val="18"/>
          <w:i w:val="1"/>
          <w:iCs w:val="1"/>
          <w:color w:val="auto"/>
        </w:rPr>
        <w:t>Imposta sul Valore Aggiunto</w:t>
      </w:r>
      <w:r>
        <w:rPr>
          <w:rFonts w:ascii="Arial" w:cs="Arial" w:eastAsia="Arial" w:hAnsi="Arial"/>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2020 and 2019 is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Tax credits on research and development represent a special tax relief offered to Italian companies operating in the research and development sector and can be used to offset most taxes payable. Tax credits on research and development available were €3.9 million at December 31, 2020 and €3.5 million at December 31, 2019, which can be carried forward indefinitely and does not expire. However, given the start-up status of the Company and the fact that it will not be profitable in the foreseeable future which limits the utilization of the credit, the Company recognized a receivable balance at December 31, 2020, that represents the Company’s best estimate of the amount of tax credit that can be used in offsetting taxes payable for 2021 and 2022, which represents the current projected available cash to support operations. In 2019, the limitation on the Company’s tax credit was based on three years of cash available to support operations. In 2020 and 2019, the Company utilized €280,631 and €192,020 to offset certain taxes payable. The benefit recorded in 2020 and 2019 to offset research and development expenses was €265,834 and €448,079, respectively. The Company reclassified to other non-current assets a portion of the receivable which is expected to be realized beyond 12 months.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balance is comprised of miscellaneous minor prepaid expenses and deferred offering costs.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 net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4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16,196</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1420" w:type="dxa"/>
            <w:vAlign w:val="bottom"/>
          </w:tcPr>
          <w:p>
            <w:pPr>
              <w:spacing w:after="0"/>
              <w:rPr>
                <w:sz w:val="19"/>
                <w:szCs w:val="19"/>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Property and equipment consist of computers and furniture and fixtures of our office space in Milan. No disposals, nor impairments occurred during the periods. Depreciation has been calculated by taking into consideration the use, purpose, and financial-technical duration of the assets, based on their estimated economic lives. Property and equipment were entirely purchased in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for the year ended December 31, 2020 was €1,900. There was no depreciation expense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assets consist of the long-term portion of the VAT receivable and R&amp;D tax credit, as follows: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37"/>
        </w:trPr>
        <w:tc>
          <w:tcPr>
            <w:tcW w:w="5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6"/>
        </w:trPr>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16"/>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664,987</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364,641</w:t>
            </w: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280,631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384,040</w:t>
            </w:r>
          </w:p>
        </w:tc>
      </w:tr>
      <w:tr>
        <w:trPr>
          <w:trHeight w:val="229"/>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obligation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is accounted for under the provisions of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The amount of the obligation at December 31, 2020 and 2019 was €17,388 and €11,332,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Quotaholders’ equity</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Company is an S.r.l., which is an Italian limited liability company similar to a limited liability company in the United States. The Articles of Incorporation, Shareholders’ Agreement and the By-laws of the Company provide for different quotas, which represent the Company’s corporate capital, rather than shares of stock as ownership.</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i w:val="1"/>
          <w:iCs w:val="1"/>
          <w:color w:val="auto"/>
        </w:rPr>
        <w:t>Corporate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S.r.l., the Company’s ownership is called “corporate capital” and “quotas” rather than shares, stock or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capital is divided between the five quotas as summarized below at December 31, 2020 and 2019:</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gridSpan w:val="4"/>
          </w:tcPr>
          <w:p>
            <w:pPr>
              <w:jc w:val="center"/>
              <w:ind w:right="1610"/>
              <w:spacing w:after="0"/>
              <w:rPr>
                <w:sz w:val="20"/>
                <w:szCs w:val="20"/>
                <w:color w:val="auto"/>
              </w:rPr>
            </w:pPr>
            <w:r>
              <w:rPr>
                <w:rFonts w:ascii="Arial" w:cs="Arial" w:eastAsia="Arial" w:hAnsi="Arial"/>
                <w:sz w:val="18"/>
                <w:szCs w:val="18"/>
                <w:b w:val="1"/>
                <w:bCs w:val="1"/>
                <w:color w:val="auto"/>
                <w:w w:val="90"/>
              </w:rPr>
              <w:t>At December 31,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At December 31,</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Quota</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4"/>
              </w:rPr>
              <w:t>Ownership %</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Ownership %</w:t>
            </w:r>
          </w:p>
        </w:tc>
        <w:tc>
          <w:tcPr>
            <w:tcW w:w="200" w:type="dxa"/>
            <w:vAlign w:val="bottom"/>
            <w:tcBorders>
              <w:bottom w:val="single" w:sz="8" w:color="CCEEFF"/>
            </w:tcBorders>
            <w:gridSpan w:val="2"/>
          </w:tcPr>
          <w:p>
            <w:pPr>
              <w:spacing w:after="0"/>
              <w:rPr>
                <w:sz w:val="20"/>
                <w:szCs w:val="20"/>
                <w:color w:val="auto"/>
              </w:rPr>
            </w:pP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6,450</w:t>
            </w:r>
          </w:p>
        </w:tc>
        <w:tc>
          <w:tcPr>
            <w:tcW w:w="14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6,886</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14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50"/>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E</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6,462</w:t>
            </w:r>
          </w:p>
        </w:tc>
        <w:tc>
          <w:tcPr>
            <w:tcW w:w="14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7,033</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7"/>
        </w:trPr>
        <w:tc>
          <w:tcPr>
            <w:tcW w:w="2160" w:type="dxa"/>
            <w:vAlign w:val="bottom"/>
            <w:tcBorders>
              <w:top w:val="single" w:sz="8" w:color="CCEEFF"/>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36,049</w:t>
            </w:r>
          </w:p>
        </w:tc>
        <w:tc>
          <w:tcPr>
            <w:tcW w:w="28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100</w:t>
            </w:r>
          </w:p>
        </w:tc>
        <w:tc>
          <w:tcPr>
            <w:tcW w:w="2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37,056</w:t>
            </w: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The Company’s corporate capital at January 1, 2019 was €29,179, consisting of quota A from founders, options converted to quota B, and quotas C &amp; D from investment capital. Additional capital was raised in 2019 by the sale of quota E, along with options converted to quota B, so corporate capital at December 31, 2019 was €36,049. Additional capital was raised in 2020 by the sale of quota E, so corporate capital at December 31, 2020 was €37,056.</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has five (5) quotas:</w:t>
      </w:r>
    </w:p>
    <w:p>
      <w:pPr>
        <w:spacing w:after="0" w:line="225" w:lineRule="exact"/>
        <w:rPr>
          <w:sz w:val="20"/>
          <w:szCs w:val="20"/>
          <w:color w:val="auto"/>
        </w:rPr>
      </w:pPr>
    </w:p>
    <w:p>
      <w:pPr>
        <w:ind w:left="660" w:right="40" w:hanging="328"/>
        <w:spacing w:after="0" w:line="259"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Quota A</w:t>
      </w:r>
      <w:r>
        <w:rPr>
          <w:rFonts w:ascii="Arial" w:cs="Arial" w:eastAsia="Arial" w:hAnsi="Arial"/>
          <w:sz w:val="18"/>
          <w:szCs w:val="18"/>
          <w:color w:val="auto"/>
        </w:rPr>
        <w:t>. Quota A was reserved for certain founders. One of the founders has the right to appoint three (3) board members out of five (5), appoint the Chair from these three (3) persons and appoint one (1) member of the Board of Statutory Auditors. One other founder has the right to appoint two (2) board members out of five (5), appoint two (2) statutory auditors and appoint the Chair of the statutory auditors from the two (2) appointees. Quota A has voting rights.</w:t>
      </w:r>
    </w:p>
    <w:p>
      <w:pPr>
        <w:spacing w:after="0" w:line="186"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Quota B</w:t>
      </w:r>
      <w:r>
        <w:rPr>
          <w:rFonts w:ascii="Arial" w:cs="Arial" w:eastAsia="Arial" w:hAnsi="Arial"/>
          <w:sz w:val="18"/>
          <w:szCs w:val="18"/>
          <w:color w:val="auto"/>
        </w:rPr>
        <w:t>. Quota B has no voting rights, the same profit-sharing rights as Quota A and is priced at a nominal amount of €1.00. The Company has historically utilized Quota B for its share-based compensation program offered to board members, employees, and consultants. Quota B is also held by certain co-founders. The Company’s stock options are exercisable into Quota B for past and present board members, employees, and consultants.</w:t>
      </w:r>
    </w:p>
    <w:p>
      <w:pPr>
        <w:spacing w:after="0" w:line="18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Quota C</w:t>
      </w:r>
      <w:r>
        <w:rPr>
          <w:rFonts w:ascii="Arial" w:cs="Arial" w:eastAsia="Arial" w:hAnsi="Arial"/>
          <w:sz w:val="17"/>
          <w:szCs w:val="17"/>
          <w:color w:val="auto"/>
        </w:rPr>
        <w:t>. Quota C has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Quota D</w:t>
      </w:r>
      <w:r>
        <w:rPr>
          <w:rFonts w:ascii="Arial" w:cs="Arial" w:eastAsia="Arial" w:hAnsi="Arial"/>
          <w:sz w:val="18"/>
          <w:szCs w:val="18"/>
          <w:color w:val="auto"/>
        </w:rPr>
        <w:t>. Investors received Quota D in the Company’s second funding round (2017) where approximately €7 million was raised.</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Quota E</w:t>
      </w:r>
      <w:r>
        <w:rPr>
          <w:rFonts w:ascii="Arial" w:cs="Arial" w:eastAsia="Arial" w:hAnsi="Arial"/>
          <w:sz w:val="18"/>
          <w:szCs w:val="18"/>
          <w:color w:val="auto"/>
        </w:rPr>
        <w:t>.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24" w:name="page225"/>
    <w:bookmarkEnd w:id="224"/>
    <w:p>
      <w:pPr>
        <w:ind w:left="660" w:right="60" w:hanging="328"/>
        <w:spacing w:after="0" w:line="269" w:lineRule="auto"/>
        <w:tabs>
          <w:tab w:leader="none" w:pos="660"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Quotas A, C, D &amp; E</w:t>
      </w:r>
      <w:r>
        <w:rPr>
          <w:rFonts w:ascii="Arial" w:cs="Arial" w:eastAsia="Arial" w:hAnsi="Arial"/>
          <w:sz w:val="17"/>
          <w:szCs w:val="17"/>
          <w:color w:val="auto"/>
        </w:rPr>
        <w:t xml:space="preserve">. During a divestiture proceeding (meaning Quotas representing 100% of the corporate capital of the Company) or a dissolution of the Company, Quotas C, D &amp; E all have the same rights with respect to the proceeds of a divestiture, i.e., all three (3) quotas share the divestiture consideration equally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up to the amount of their investment. If there is any consideration remaining after payment to quotas C, D &amp; E, then quota A shall be entitled to the amount remaining up to the amount of their investment. If proceeds of a divestiture are less than or equal to €50 million, then any proceeds remaining after payment of quotas A, C, D &amp; E, shall be shared equally among quotas A, C, D &amp; E; however, if proceeds of a divestiture are greater than €50 million, then any proceeds remaining after payment of quotas A, C, D &amp; E, shall be distributed to each quota separately according to a detailed formula specified in the Company’s By-Laws, including quota B. Similar to a divestiture, net profits, if any, shall be distributed in the same manner to quotas A, B, C, D &amp; E, after deducting not less than five (5) percent for a legal reserve (up to where this reserve equals one-fifth of the quota capital). A, C, D, E have equal voting rights and the Company By-laws specify protective provisions for each class of quota for A, C, D &amp; E.</w:t>
      </w:r>
    </w:p>
    <w:p>
      <w:pPr>
        <w:spacing w:after="0" w:line="181" w:lineRule="exact"/>
        <w:rPr>
          <w:rFonts w:ascii="Arial" w:cs="Arial" w:eastAsia="Arial" w:hAnsi="Arial"/>
          <w:sz w:val="17"/>
          <w:szCs w:val="17"/>
          <w:color w:val="auto"/>
        </w:rPr>
      </w:pPr>
    </w:p>
    <w:p>
      <w:pPr>
        <w:ind w:left="260" w:hanging="252"/>
        <w:spacing w:after="0"/>
        <w:tabs>
          <w:tab w:leader="none" w:pos="2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Company has granted options on its corporate capital to certain directors, officers, employees, and consultants, as an incentive and as additional compensation. All options convert into Quota B when vested and exercised. All options have an exercise price of €1.00 per quota. Options generally vest over a one-to-three-year period and are exercised when vested. All options expire on December 31, 2021, if not exercised. The Board of Directors approves any options granted and has authorized and granted 4,835 options to date. At December 31, 2019, there were no options available for grant, as all remaining authorized options were granted in 2019; therefore, no options were granted in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quota option activity for the years ended December 31, 2020 and 2019 is represented by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Remaining</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Number of</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Contractual</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Options</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Exercise Price</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Term (Years)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€’s)</w:t>
            </w: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6"/>
              </w:rPr>
              <w:t>Outstanding, vested and expected to vest as of December 31, 2019</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982</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1,056,316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472,184</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Outstanding, vested and expected to vest as of December 31,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Exerciseable as of December 31, 2020</w:t>
            </w: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share-based compensation expense for the years ended December 31, 2020 and 2019 is represented by the following table: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5"/>
          </w:tcPr>
          <w:p>
            <w:pPr>
              <w:jc w:val="right"/>
              <w:ind w:right="280"/>
              <w:spacing w:after="0"/>
              <w:rPr>
                <w:sz w:val="20"/>
                <w:szCs w:val="20"/>
                <w:color w:val="auto"/>
              </w:rPr>
            </w:pPr>
            <w:r>
              <w:rPr>
                <w:rFonts w:ascii="Arial" w:cs="Arial" w:eastAsia="Arial" w:hAnsi="Arial"/>
                <w:sz w:val="18"/>
                <w:szCs w:val="18"/>
                <w:color w:val="auto"/>
                <w:w w:val="89"/>
              </w:rPr>
              <w:t>Year ended December 31,</w:t>
            </w: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w:t>
            </w:r>
          </w:p>
        </w:tc>
        <w:tc>
          <w:tcPr>
            <w:tcW w:w="2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21,804</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2"/>
              </w:rPr>
              <w:t>Research &amp; development expense - related party</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326,400</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581,949</w:t>
            </w: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1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133,794</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137,057</w:t>
            </w:r>
          </w:p>
        </w:tc>
        <w:tc>
          <w:tcPr>
            <w:tcW w:w="1680" w:type="dxa"/>
            <w:vAlign w:val="bottom"/>
          </w:tcPr>
          <w:p>
            <w:pPr>
              <w:spacing w:after="0"/>
              <w:rPr>
                <w:sz w:val="21"/>
                <w:szCs w:val="21"/>
                <w:color w:val="auto"/>
              </w:rPr>
            </w:pPr>
          </w:p>
        </w:tc>
      </w:tr>
      <w:tr>
        <w:trPr>
          <w:trHeight w:val="257"/>
        </w:trPr>
        <w:tc>
          <w:tcPr>
            <w:tcW w:w="1700" w:type="dxa"/>
            <w:vAlign w:val="bottom"/>
          </w:tcPr>
          <w:p>
            <w:pPr>
              <w:spacing w:after="0"/>
              <w:rPr>
                <w:sz w:val="22"/>
                <w:szCs w:val="22"/>
                <w:color w:val="auto"/>
              </w:rPr>
            </w:pPr>
          </w:p>
        </w:tc>
        <w:tc>
          <w:tcPr>
            <w:tcW w:w="36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460,194</w:t>
            </w:r>
          </w:p>
        </w:tc>
        <w:tc>
          <w:tcPr>
            <w:tcW w:w="2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740,810</w:t>
            </w:r>
          </w:p>
        </w:tc>
        <w:tc>
          <w:tcPr>
            <w:tcW w:w="80" w:type="dxa"/>
            <w:vAlign w:val="bottom"/>
            <w:tcBorders>
              <w:top w:val="single" w:sz="8" w:color="CCEEFF"/>
              <w:bottom w:val="single" w:sz="8" w:color="CCEEFF"/>
            </w:tcBorders>
          </w:tcPr>
          <w:p>
            <w:pPr>
              <w:spacing w:after="0"/>
              <w:rPr>
                <w:sz w:val="22"/>
                <w:szCs w:val="22"/>
                <w:color w:val="auto"/>
              </w:rPr>
            </w:pPr>
          </w:p>
        </w:tc>
        <w:tc>
          <w:tcPr>
            <w:tcW w:w="1680" w:type="dxa"/>
            <w:vAlign w:val="bottom"/>
          </w:tcPr>
          <w:p>
            <w:pPr>
              <w:spacing w:after="0"/>
              <w:rPr>
                <w:sz w:val="22"/>
                <w:szCs w:val="22"/>
                <w:color w:val="auto"/>
              </w:rPr>
            </w:pPr>
          </w:p>
        </w:tc>
      </w:tr>
      <w:tr>
        <w:trPr>
          <w:trHeight w:val="197"/>
        </w:trPr>
        <w:tc>
          <w:tcPr>
            <w:tcW w:w="1700" w:type="dxa"/>
            <w:vAlign w:val="bottom"/>
          </w:tcPr>
          <w:p>
            <w:pPr>
              <w:spacing w:after="0"/>
              <w:rPr>
                <w:sz w:val="17"/>
                <w:szCs w:val="17"/>
                <w:color w:val="auto"/>
              </w:rPr>
            </w:pPr>
          </w:p>
        </w:tc>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expense at December 31,</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313,273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769,779</w:t>
            </w:r>
          </w:p>
        </w:tc>
        <w:tc>
          <w:tcPr>
            <w:tcW w:w="8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25" w:name="page226"/>
    <w:bookmarkEnd w:id="225"/>
    <w:p>
      <w:pPr>
        <w:ind w:firstLine="648"/>
        <w:spacing w:after="0" w:line="259" w:lineRule="auto"/>
        <w:rPr>
          <w:sz w:val="20"/>
          <w:szCs w:val="20"/>
          <w:color w:val="auto"/>
        </w:rPr>
      </w:pPr>
      <w:r>
        <w:rPr>
          <w:rFonts w:ascii="Arial" w:cs="Arial" w:eastAsia="Arial" w:hAnsi="Arial"/>
          <w:sz w:val="18"/>
          <w:szCs w:val="18"/>
          <w:color w:val="auto"/>
        </w:rPr>
        <w:t>The Company awarded eight options to a consultant on September 30, 2019 for assistance in raising additional Quota E capital for the Company in 2019. The Company recorded the €8,702, which was the fair value of the option as a charge to additional paid-in capital. The weighted average grant date fair value of the options granted during 2019 was €1,088. The Company’s unrecognized expense was €313,273 and €769,779 at December 31, 2020 and 2019, respectively, and will be expensed as the options vest.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Quota B Valuations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fair value of the Quota B underlying the Company’s stock-based compensation grants has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price of the Company’s equity to third-party, arms-length, sophisticated, and qualified investors, which was used in the OPM Backsolve Model;</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prices, rights, preferences, and privileges of the Company’s Quota C, D, and E preferred equity classes relative to those of the Company’s equity;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225"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183"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of the Company given prevailing market conditions, or other liquidation events;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6" w:name="page227"/>
    <w:bookmarkEnd w:id="226"/>
    <w:p>
      <w:pPr>
        <w:ind w:right="20" w:firstLine="648"/>
        <w:spacing w:after="0" w:line="255" w:lineRule="auto"/>
        <w:rPr>
          <w:sz w:val="20"/>
          <w:szCs w:val="20"/>
          <w:color w:val="auto"/>
        </w:rPr>
      </w:pPr>
      <w:r>
        <w:rPr>
          <w:rFonts w:ascii="Arial" w:cs="Arial" w:eastAsia="Arial" w:hAnsi="Arial"/>
          <w:sz w:val="18"/>
          <w:szCs w:val="18"/>
          <w:color w:val="auto"/>
        </w:rPr>
        <w:t>The OPM treats each equity class as a call options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research and development expenses are a combination of third-party expenses and related party expenses, as detailed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91"/>
              </w:rPr>
              <w:t>For the Year Ended December 31, 2020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608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Third Parties</w:t>
            </w:r>
          </w:p>
        </w:tc>
        <w:tc>
          <w:tcPr>
            <w:tcW w:w="14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Related Parties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1,454,576</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2,009,884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709,183</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3,124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712,307</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145,700</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326,400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472,100</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16,742</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17,724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34,466</w:t>
            </w:r>
          </w:p>
        </w:tc>
      </w:tr>
      <w:tr>
        <w:trPr>
          <w:trHeight w:val="25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5,128</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w:t>
            </w:r>
          </w:p>
        </w:tc>
        <w:tc>
          <w:tcPr>
            <w:tcW w:w="80" w:type="dxa"/>
            <w:vAlign w:val="bottom"/>
            <w:shd w:val="clear" w:color="auto" w:fill="CCEEFF"/>
          </w:tcPr>
          <w:p>
            <w:pPr>
              <w:spacing w:after="0"/>
              <w:rPr>
                <w:sz w:val="21"/>
                <w:szCs w:val="21"/>
                <w:color w:val="auto"/>
              </w:rPr>
            </w:pPr>
          </w:p>
        </w:tc>
      </w:tr>
      <w:tr>
        <w:trPr>
          <w:trHeight w:val="216"/>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2,331,329</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2,357,132</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4,688,461</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91"/>
              </w:rPr>
              <w:t>For the Year Ended December 31, 2019</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608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Third Parties</w:t>
            </w:r>
          </w:p>
        </w:tc>
        <w:tc>
          <w:tcPr>
            <w:tcW w:w="14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Related Parties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2,036,870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2,111,388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171,289</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581,949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753,238</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649,574</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649,574</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97,063</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36,510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133,573</w:t>
            </w:r>
          </w:p>
        </w:tc>
        <w:tc>
          <w:tcPr>
            <w:tcW w:w="80" w:type="dxa"/>
            <w:vAlign w:val="bottom"/>
          </w:tcPr>
          <w:p>
            <w:pPr>
              <w:spacing w:after="0"/>
              <w:rPr>
                <w:sz w:val="18"/>
                <w:szCs w:val="18"/>
                <w:color w:val="auto"/>
              </w:rPr>
            </w:pPr>
          </w:p>
        </w:tc>
      </w:tr>
      <w:tr>
        <w:trPr>
          <w:trHeight w:val="249"/>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55,209</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55,209</w:t>
            </w:r>
          </w:p>
        </w:tc>
      </w:tr>
      <w:tr>
        <w:trPr>
          <w:trHeight w:val="217"/>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1,047,653</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2,655,329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3,702,982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recorded a research and development tax credit in the amount of €265,834 and €448,079 for the years ended December 31, 2020 and 2019, respectively, to offset Consultants and other third parties related research and development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7" w:name="page228"/>
    <w:bookmarkEnd w:id="227"/>
    <w:p>
      <w:pPr>
        <w:ind w:left="328"/>
        <w:spacing w:after="0"/>
        <w:rPr>
          <w:sz w:val="20"/>
          <w:szCs w:val="20"/>
          <w:color w:val="auto"/>
        </w:rPr>
      </w:pPr>
      <w:r>
        <w:rPr>
          <w:rFonts w:ascii="Arial" w:cs="Arial" w:eastAsia="Arial" w:hAnsi="Arial"/>
          <w:sz w:val="16"/>
          <w:szCs w:val="16"/>
          <w:color w:val="auto"/>
        </w:rPr>
        <w:t>The Company’s general and administrative expenses are also a combination of third-party and related party expenses, as detailed below:</w:t>
      </w:r>
    </w:p>
    <w:p>
      <w:pPr>
        <w:spacing w:after="0" w:line="262" w:lineRule="exact"/>
        <w:rPr>
          <w:sz w:val="20"/>
          <w:szCs w:val="20"/>
          <w:color w:val="auto"/>
        </w:rPr>
      </w:pPr>
    </w:p>
    <w:tbl>
      <w:tblPr>
        <w:tblLayout w:type="fixed"/>
        <w:tblInd w:w="248"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color w:val="auto"/>
                <w:w w:val="91"/>
              </w:rPr>
              <w:t>For the Year Ended December 31, 2020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Related Parties</w:t>
            </w: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191,998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298,628</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239,861</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239,861</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 &amp; IT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64,430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64,430</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24,685</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14,402</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39,087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59,648</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1,495</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61,143</w:t>
            </w:r>
          </w:p>
        </w:tc>
      </w:tr>
      <w:tr>
        <w:trPr>
          <w:trHeight w:val="236"/>
        </w:trPr>
        <w:tc>
          <w:tcPr>
            <w:tcW w:w="4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6,618</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6,618</w:t>
            </w:r>
          </w:p>
        </w:tc>
      </w:tr>
      <w:tr>
        <w:trPr>
          <w:trHeight w:val="230"/>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587,240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314,525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color w:val="auto"/>
                <w:w w:val="91"/>
              </w:rPr>
              <w:t>For the Year Ended December 31, 2019</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Related Parties</w:t>
            </w: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375,201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171,698</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277,849</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449,547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40,745</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40,745</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Communication &amp; IT related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14,759</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14,759</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13,630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13,630</w:t>
            </w: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22,336</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5,302</w:t>
            </w:r>
          </w:p>
        </w:tc>
        <w:tc>
          <w:tcPr>
            <w:tcW w:w="4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27,638</w:t>
            </w:r>
          </w:p>
        </w:tc>
      </w:tr>
      <w:tr>
        <w:trPr>
          <w:trHeight w:val="229"/>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638,369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328"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w w:val="99"/>
              </w:rPr>
              <w:t>The Company’s accounts payable to related parties are comprised as follows: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XDG Biomed</w:t>
            </w:r>
          </w:p>
        </w:tc>
        <w:tc>
          <w:tcPr>
            <w:tcW w:w="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292,741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8"/>
              </w:rPr>
              <w:t>The Company’s accrued expenses to related parties are comprised as follows:</w:t>
            </w: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1,309,191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Pierluigi Paracchi</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XDG Biomed</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1,359,191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The Company has identified the following related parties:</w:t>
      </w:r>
    </w:p>
    <w:p>
      <w:pPr>
        <w:spacing w:after="0" w:line="225" w:lineRule="exact"/>
        <w:rPr>
          <w:sz w:val="20"/>
          <w:szCs w:val="20"/>
          <w:color w:val="auto"/>
        </w:rPr>
      </w:pPr>
    </w:p>
    <w:p>
      <w:pPr>
        <w:ind w:left="328" w:hanging="328"/>
        <w:spacing w:after="0"/>
        <w:tabs>
          <w:tab w:leader="none" w:pos="32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Pierluigi Paracchi (director and co-founder of the Company);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Luigi Naldini (co-founder of the Company and executive scientific advisory board chairman);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Carlo Russo (through XDG Biomed LLC- Chief Medical Officer);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Bernard Rudolph Gentner (co-founder of the Company and member of scientific advisory board);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San Raffaele Hospital (co-founder and main supplier of services).</w:t>
      </w:r>
    </w:p>
    <w:p>
      <w:pPr>
        <w:spacing w:after="0" w:line="225" w:lineRule="exact"/>
        <w:rPr>
          <w:sz w:val="20"/>
          <w:szCs w:val="20"/>
          <w:color w:val="auto"/>
        </w:rPr>
      </w:pPr>
    </w:p>
    <w:p>
      <w:pPr>
        <w:jc w:val="center"/>
        <w:ind w:right="-227"/>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8"/>
          </w:cols>
          <w:pgMar w:left="652" w:top="692" w:right="899" w:bottom="1440" w:gutter="0" w:footer="0" w:header="0"/>
        </w:sectPr>
      </w:pPr>
    </w:p>
    <w:bookmarkStart w:id="228" w:name="page229"/>
    <w:bookmarkEnd w:id="228"/>
    <w:p>
      <w:pPr>
        <w:ind w:left="660"/>
        <w:spacing w:after="0"/>
        <w:rPr>
          <w:sz w:val="20"/>
          <w:szCs w:val="20"/>
          <w:color w:val="auto"/>
        </w:rPr>
      </w:pPr>
      <w:r>
        <w:rPr>
          <w:rFonts w:ascii="Arial" w:cs="Arial" w:eastAsia="Arial" w:hAnsi="Arial"/>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Pierluigi Paracchi</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He is the President, Chief Executive Officer and the Company’s Chairman of the Board of Directors as well as co-founder. In addition to his annual remuneration of €250,000 for the year 2020 and €201,980 for the year 2019, Mr. Paracchi also obtained a funding fee of €185,510 in 2019 for the funding activity of the first financing as approved by the Board of Directors and by quotaholders at the Quotaholders’ Meeting. This was recorded in additional paid-in capital as a direct reduction of proceeds. Mr. Paracchi was awarded a bonus of €50,000 by the Board of Directors in July 2020. The bonus was accrued in the 2019 financial statements and paid in July 2020. At December 31, 2020, the Company also accrued a bonus of €25,000 for the period July to December 2020: as per his Directorship agreement, Mr. Paracchi is entitled to receive a bonus of up to €50,000 to be approved by the Board of Directors each year to cover the period August 1st to July 31st of each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Luigi Naldini/Bernard Rudolph Gentner</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They are co-founders of Genenta and part of the SAB – Scientific Advisory Board, with Dr. Naldini as Chairman, and Dr. Gentner as a member. Dr. Naldini has an advisory agreement approved by the Board of Directors and performs the pre-clinical studies for Genenta. In particular, the pre-clinical experiments are in solid tumor indications. The last agreement with Dr. Naldini is still in effect and was signed on December 12, 2019. In 2020 and 2019, Dr. Naldini’s compensation amounted to €56,250 and €55,500, respectively. Dr. Gentner, like Dr. Naldini, oversees pre-clinical research related to the platform technology. In addition, he analyzes clinical biological data. The last agreement with Dr. Gentner, which is still in force, was signed on October 26, 2017. In 2020 and 2019, Dr. Gentner’s compensation was €18,750 and €44,350,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XDG Biomed LLC</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This is the LLC of Dr. Carlo Russo. Dr. Russo has a single contract signed by XDG and the Company that has been approved by the Board of Directors and was subject to multiple amendments. In particular, Dr. Russo, via XDG, serves as the Company’s Chief Medical Officer and Head of Development. Dr. Russo is responsible for the clinical development of Temferon™, the Company’s gene therapy platform. The applicable recurring fees are €300,000 per year effective from August 1, 2019, (€200,000 prior to that date) plus a variable compensation of €50,000 based on the results obtained and depending on the Company’s Board of Directors approval. In 2020, the Company incurred €342,872. The Company accrued €25,000 for a potential bonus relating to the period of July to December 2020. The amounts owed at December 31, 2020 and 2019 are €30,942 and €156,816, respectively. In 2019, the Company granted options on 1,000 class B quotas to Dr. Russo, of which 400 were exercised and converted to class B quotas in 2019 and 300 were exercised and converted to class B quotas in 2020; the remaining 300 are outstanding and will vest by the earlier of July 31, 2021 or the effectiveness of the Company’s registration statement. The fair value of the options based on the Company’s valuation was €1,084 per quota B. There were no options granted in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Raffaele Hospital - OSR</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San Raffaele Hospital (“OSR”) is a co-founder of the Company and the Company is a corporate and research spin-off of OSR. OSR owns approximately 13% of the Company, as of December 31, 2020. The Hospital is one of the leading biomedical research institutions in Italy and Europe, with a 45-year history of developing innovative therapies and procedures. The Company has several contractual arrangements with OSR. The Company has agreements to license technology, to perform research, pre-clinical and clinical activities, as well as to lease facilities and obtain certain other support functions. The Company’s headquarters is currently in an OSR facility.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ind w:right="20" w:firstLine="638"/>
        <w:spacing w:after="0" w:line="257" w:lineRule="auto"/>
        <w:rPr>
          <w:sz w:val="20"/>
          <w:szCs w:val="20"/>
          <w:color w:val="auto"/>
        </w:rPr>
      </w:pPr>
      <w:r>
        <w:rPr>
          <w:rFonts w:ascii="Arial" w:cs="Arial" w:eastAsia="Arial" w:hAnsi="Arial"/>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188" w:lineRule="exact"/>
        <w:rPr>
          <w:sz w:val="20"/>
          <w:szCs w:val="20"/>
          <w:color w:val="auto"/>
        </w:rPr>
      </w:pPr>
    </w:p>
    <w:p>
      <w:pPr>
        <w:ind w:firstLine="638"/>
        <w:spacing w:after="0" w:line="286" w:lineRule="auto"/>
        <w:rPr>
          <w:sz w:val="20"/>
          <w:szCs w:val="20"/>
          <w:color w:val="auto"/>
        </w:rPr>
      </w:pPr>
      <w:r>
        <w:rPr>
          <w:rFonts w:ascii="Arial" w:cs="Arial" w:eastAsia="Arial" w:hAnsi="Arial"/>
          <w:sz w:val="17"/>
          <w:szCs w:val="17"/>
          <w:color w:val="auto"/>
        </w:rPr>
        <w:t>Based on the preclinical studies carried out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165" w:lineRule="exact"/>
        <w:rPr>
          <w:sz w:val="20"/>
          <w:szCs w:val="20"/>
          <w:color w:val="auto"/>
        </w:rPr>
      </w:pPr>
    </w:p>
    <w:p>
      <w:pPr>
        <w:ind w:left="980" w:hanging="324"/>
        <w:spacing w:after="0"/>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Lympho-Hematopoietic Indication;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Solid Cancer Indication.</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agreement provided for an upfront fee of €250,000 (which was paid by the Company in 2015), plus future option fees are as follows:</w:t>
      </w:r>
    </w:p>
    <w:p>
      <w:pPr>
        <w:spacing w:after="0" w:line="225" w:lineRule="exact"/>
        <w:rPr>
          <w:sz w:val="20"/>
          <w:szCs w:val="20"/>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option fee on the first indication = €1.0 million (subsequently reduced to €0.5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option fee on the second indication = €0.5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option fee on the third indication = €0.3 million;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option fee on any additional indications = no license fee.</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the Company would be obligated make payments on milestones depending on the Field of Use (as defined in the agreement) and pay royalties of 4% of net sales of each Licensed Product (as defined in the agreement). For information relating to the contingent milestones for these indications, please refer to Note 13 - Commitments and Contingencies.</w:t>
      </w:r>
    </w:p>
    <w:p>
      <w:pPr>
        <w:spacing w:after="0" w:line="18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glioblastoma multiforme 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in the amount of €1,145,202 in 2019. In 2020, the comparable costs incurred and expensed for the glioblastoma program were €989,556.</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December 2020, the Company and OSR entered into Amendment #3 of the License Agreement. The initial €1.0 million license fee for the first indication (i.e., GBM) would have become due when the tenth patient was dosed in the GBM trial; however, the license fee was reduced to €0.5 million, in exchange for the Company’s agreement to exercise a second option for an additional Solid Cancer indication (i.e., liver cancer) and an agreement to execute a Sponsored Research Agreement in February 2021. If the Company is not be able to obtain approval from the competent authorities to initiate a human clinical trial in liver cancer on or before the expiration of nine months (from December 2020), the Company has the right, at no additional costs, to convert the second solid cancer indication (i.e., liver cancer) to an “Alternate Indication,” as defined in the agreement (i.e., to an indication other than liver cancer.)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In summary, Amendment #3 to the license agreement amended the existing agreement as follows:</w:t>
      </w:r>
    </w:p>
    <w:p>
      <w:pPr>
        <w:spacing w:after="0" w:line="225" w:lineRule="exact"/>
        <w:rPr>
          <w:sz w:val="20"/>
          <w:szCs w:val="20"/>
          <w:color w:val="auto"/>
        </w:rPr>
      </w:pPr>
    </w:p>
    <w:p>
      <w:pPr>
        <w:ind w:left="980" w:right="20" w:hanging="324"/>
        <w:spacing w:after="0" w:line="258" w:lineRule="auto"/>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reduction of option fee on the first solid cancer indication = €0.5 million (accrued at December 31, 2019, since it was considered probable and paid in December 2020); plus,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commitment to enter into a Sponsored Research Agreement, which was executed in February 2021;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exercise of option fee on the second indication = €0.5 million (accrued at December 31, 2020, to be paid by June 30, 2021.</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has paid €0.75 million to OSR, since inception under the license agreement. No events have occurred or have been achieved (and none are considered probable) to trigger any contingent payments under the license agreement as of December 31, 2020. For information relating to the contingency payments or future milestones for these indications, please refer to Note 13 - Commitments and Contingencies.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Funding Agreement</w:t>
      </w:r>
    </w:p>
    <w:p>
      <w:pPr>
        <w:spacing w:after="0" w:line="225" w:lineRule="exact"/>
        <w:rPr>
          <w:sz w:val="20"/>
          <w:szCs w:val="20"/>
          <w:color w:val="auto"/>
        </w:rPr>
      </w:pPr>
    </w:p>
    <w:p>
      <w:pPr>
        <w:ind w:right="160" w:firstLine="638"/>
        <w:spacing w:after="0" w:line="272" w:lineRule="auto"/>
        <w:rPr>
          <w:sz w:val="20"/>
          <w:szCs w:val="20"/>
          <w:color w:val="auto"/>
        </w:rPr>
      </w:pPr>
      <w:r>
        <w:rPr>
          <w:rFonts w:ascii="Arial" w:cs="Arial" w:eastAsia="Arial" w:hAnsi="Arial"/>
          <w:sz w:val="17"/>
          <w:szCs w:val="17"/>
          <w:color w:val="auto"/>
        </w:rPr>
        <w:t>In March 2019, the Company and OSR entered into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The first TEM-MM-101 trial patient was enrolled in August 2019, after the approval received from national competent authorities.</w:t>
      </w:r>
    </w:p>
    <w:p>
      <w:pPr>
        <w:spacing w:after="0" w:line="177" w:lineRule="exact"/>
        <w:rPr>
          <w:sz w:val="20"/>
          <w:szCs w:val="20"/>
          <w:color w:val="auto"/>
        </w:rPr>
      </w:pPr>
    </w:p>
    <w:p>
      <w:pPr>
        <w:ind w:right="60" w:firstLine="638"/>
        <w:spacing w:after="0" w:line="293" w:lineRule="auto"/>
        <w:rPr>
          <w:sz w:val="20"/>
          <w:szCs w:val="20"/>
          <w:color w:val="auto"/>
        </w:rPr>
      </w:pPr>
      <w:r>
        <w:rPr>
          <w:rFonts w:ascii="Arial" w:cs="Arial" w:eastAsia="Arial" w:hAnsi="Arial"/>
          <w:sz w:val="16"/>
          <w:szCs w:val="16"/>
          <w:color w:val="auto"/>
        </w:rPr>
        <w:t>In 2019, the Company expensed €130,589 for the analysis performed by OSR for multiple myeloma and €364,042 for the clinical procedures performed by OSR’s Hematology and Bone Transplant Unit for multiple myeloma. For the multiple myeloma program, the Company recorded expenses in 2020 of €104,626; however, the discussion to discontinue the program began in late 2020. The final decision to discontinue the program was reached in early 2021, mainly due to the small number of eligible patients, the increasing competitive landscape, and the faster progress and promising result on the concurrent solid tumor glioblastoma trial (TEM-GBM_001). No product indication was exercised, and no milestones were achieved related to the multiple myeloma indication, and so no option fee or contingent payments were due to OSR for this indication.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Research Agreement (SRA)</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stated above, in exchange for a reduction in the first solid cancer indication (i.e., GBM) option fee from €1.0 million to €0.5 million, the Company agreed to enter into a Sponsored Research Agreement (SRA) in December 2020. Under the SRA, which was executed in February 2021, two sponsored research activities will be conducted for between €0.5 million and €1.0 million. The first SRA payment was made in early 2021 in the amount of €250,000.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Agreement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service agreement to provide certain services (accounting/bookkeeping and rent of spaces, the latter with an addendum effective from January 1, 2016) free of charge was in place between the Company and OSR from 2014 to 2019. Beginning in January 2020, a third-party provider was engaged by the Company to perform these services. The Company determined the value of these services that were provided in 2019 and in prior years were not material to its financial statements.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Beginning January 1, 2020, the Company entered into a six-year lease agreement for the use of office space in the OSR building. The Company paid OSR annual rent of €13,400 in 2020 with a security deposit of €3,350.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obligations by contractual maturity for years following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93"/>
              </w:rPr>
              <w:t>Payments by period</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w w:val="88"/>
              </w:rPr>
              <w:t>Less than a</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3"/>
              </w:rPr>
              <w:t>More than</w:t>
            </w:r>
          </w:p>
        </w:tc>
        <w:tc>
          <w:tcPr>
            <w:tcW w:w="100" w:type="dxa"/>
            <w:vAlign w:val="bottom"/>
            <w:gridSpan w:val="2"/>
          </w:tcPr>
          <w:p>
            <w:pPr>
              <w:spacing w:after="0"/>
              <w:rPr>
                <w:sz w:val="17"/>
                <w:szCs w:val="17"/>
                <w:color w:val="auto"/>
              </w:rPr>
            </w:pPr>
          </w:p>
        </w:tc>
      </w:tr>
      <w:tr>
        <w:trPr>
          <w:trHeight w:val="237"/>
        </w:trPr>
        <w:tc>
          <w:tcPr>
            <w:tcW w:w="3940" w:type="dxa"/>
            <w:vAlign w:val="bottom"/>
          </w:tcPr>
          <w:p>
            <w:pPr>
              <w:ind w:left="1620"/>
              <w:spacing w:after="0"/>
              <w:rPr>
                <w:sz w:val="20"/>
                <w:szCs w:val="20"/>
                <w:color w:val="auto"/>
              </w:rPr>
            </w:pPr>
            <w:r>
              <w:rPr>
                <w:rFonts w:ascii="Arial" w:cs="Arial" w:eastAsia="Arial" w:hAnsi="Arial"/>
                <w:sz w:val="18"/>
                <w:szCs w:val="18"/>
                <w:color w:val="auto"/>
              </w:rPr>
              <w:t>(in Euros)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year</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 to 3 years</w:t>
            </w:r>
          </w:p>
        </w:tc>
        <w:tc>
          <w:tcPr>
            <w:tcW w:w="10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4 to 5 years</w:t>
            </w: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5 years</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Sponsored research agreement (SRA) with OSR</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w w:val="93"/>
              </w:rPr>
              <w:t>License option fee for liver cancer (or second cancer</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indication)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80,400</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13,400</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26,800</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26,800</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13,400</w:t>
            </w:r>
          </w:p>
        </w:tc>
        <w:tc>
          <w:tcPr>
            <w:tcW w:w="80" w:type="dxa"/>
            <w:vAlign w:val="bottom"/>
            <w:shd w:val="clear" w:color="auto" w:fill="CCEEFF"/>
          </w:tcPr>
          <w:p>
            <w:pPr>
              <w:spacing w:after="0"/>
              <w:rPr>
                <w:sz w:val="21"/>
                <w:szCs w:val="21"/>
                <w:color w:val="auto"/>
              </w:rPr>
            </w:pPr>
          </w:p>
        </w:tc>
      </w:tr>
      <w:tr>
        <w:trPr>
          <w:trHeight w:val="217"/>
        </w:trPr>
        <w:tc>
          <w:tcPr>
            <w:tcW w:w="3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1,580,400</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1,013,400</w:t>
            </w: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526,800</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26,800</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above amounts include an option fee for the second cancer indication payable to OSR. Refer to the Related parties - Note 12 for further information.</w:t>
      </w:r>
    </w:p>
    <w:p>
      <w:pPr>
        <w:spacing w:after="0" w:line="170"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The Company entered into certain license agreements under which it is obligated to pay option license fees and to make contingent milestone payments. 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7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non-cancelable obligations of the Company’s vendors or third-party service providers, up to the date of cancellation. These payments are not included in the table above as the amount and timing of such payments are not known.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OSR - San Raffaele Hospital</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OSR agreements are non-cancelable, except in the case of breach of contract, and include total potential milestone payments of up to €10 million related to the Lympho-Hematopoietic Indication of each Licensed Product, and up to €53 million related to each Solid Cancer indication;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i w:val="1"/>
          <w:iCs w:val="1"/>
          <w:color w:val="auto"/>
        </w:rPr>
        <w:t>Multiple myeloma (MM)</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discussed in Note 12, the Company’s MM program was discontinued in early 2021 due to the relatively small number of eligible patients, and the highly competitive MM landscape. No milestones were achieved with respect to the MM program, and as such no contingent payments were due under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Glioblastoma multiforme (GBM)</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discussed in Note 12, in December 2020, the Company had one indication ongoing, glioblastoma multiforme. The Company’s contingent liability for this first solid cancer indication potentially payable to OSR was €53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Liver cancer (LC)</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176"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The agreements also include a €7.8 million commitment related to the development and manufacturing of licensed products, of which the Company has incurred €1.5 million of expense in 2020 compared to €2.6 million of cumulative expense for 2019 and prior years.</w:t>
      </w:r>
    </w:p>
    <w:p>
      <w:pPr>
        <w:spacing w:after="0" w:line="14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 The Company made no payments under the SRA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AGC Biologics (formerly MolMed)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AGC Biologics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Adaptive Biotechnologies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Adaptive Biotechnologies agreement on exploratory analyses for trial endpoints is non-cancelable, except in the case of breach of contract, and carries a total cost for the entire trial of €0.2 million, of which approximately €3,000 and approximately €50,000 have been incurred as of December 31, 2020 and 2019, respectively.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i w:val="1"/>
          <w:iCs w:val="1"/>
          <w:color w:val="auto"/>
        </w:rPr>
        <w:t>Biogazelle NV</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Biogazelle NV agreement on exploratory analyses for trial endpoints is non-cancelable, except in the case of breach of contract, and carries a total cost for the entire trial of €106,000, of which €28 thousand and €6 thousand have been incurred as of December 31, 2020 and 2019,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entered into a non-cancelable lease agreement for office space in January 2020. (See Footnote 12 – Related parties under OSR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Company is not currently party to any material legal proceedings. At each reporting date, the Company evaluates whether or not a potential loss amount or a potential range of loss is probable and reasonably estimable under the provisions of ASC 450, </w:t>
      </w:r>
      <w:r>
        <w:rPr>
          <w:rFonts w:ascii="Arial" w:cs="Arial" w:eastAsia="Arial" w:hAnsi="Arial"/>
          <w:sz w:val="16"/>
          <w:szCs w:val="16"/>
          <w:i w:val="1"/>
          <w:iCs w:val="1"/>
          <w:color w:val="auto"/>
        </w:rPr>
        <w:t>Contingencie</w:t>
      </w:r>
      <w:r>
        <w:rPr>
          <w:rFonts w:ascii="Arial" w:cs="Arial" w:eastAsia="Arial" w:hAnsi="Arial"/>
          <w:sz w:val="16"/>
          <w:szCs w:val="16"/>
          <w:color w:val="auto"/>
        </w:rPr>
        <w:t>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34" w:name="page235"/>
    <w:bookmarkEnd w:id="234"/>
    <w:p>
      <w:pPr>
        <w:jc w:val="center"/>
        <w:spacing w:after="0"/>
        <w:rPr>
          <w:sz w:val="20"/>
          <w:szCs w:val="20"/>
          <w:color w:val="auto"/>
        </w:rPr>
      </w:pPr>
      <w:r>
        <w:rPr>
          <w:rFonts w:ascii="Arial" w:cs="Arial" w:eastAsia="Arial" w:hAnsi="Arial"/>
          <w:sz w:val="25"/>
          <w:szCs w:val="25"/>
          <w:b w:val="1"/>
          <w:bCs w:val="1"/>
          <w:color w:val="auto"/>
        </w:rPr>
        <w:t>American Depositary Shares</w:t>
      </w:r>
    </w:p>
    <w:p>
      <w:pPr>
        <w:spacing w:after="0" w:line="200" w:lineRule="exact"/>
        <w:rPr>
          <w:sz w:val="20"/>
          <w:szCs w:val="20"/>
          <w:color w:val="auto"/>
        </w:rPr>
      </w:pPr>
    </w:p>
    <w:p>
      <w:pPr>
        <w:spacing w:after="0" w:line="296" w:lineRule="exact"/>
        <w:rPr>
          <w:sz w:val="20"/>
          <w:szCs w:val="20"/>
          <w:color w:val="auto"/>
        </w:rPr>
      </w:pPr>
    </w:p>
    <w:p>
      <w:pPr>
        <w:ind w:left="3500"/>
        <w:spacing w:after="0"/>
        <w:tabs>
          <w:tab w:leader="none" w:pos="5920" w:val="left"/>
        </w:tabs>
        <w:rPr>
          <w:sz w:val="20"/>
          <w:szCs w:val="20"/>
          <w:color w:val="auto"/>
        </w:rPr>
      </w:pPr>
      <w:r>
        <w:rPr>
          <w:rFonts w:ascii="Arial" w:cs="Arial" w:eastAsia="Arial" w:hAnsi="Arial"/>
          <w:sz w:val="25"/>
          <w:szCs w:val="25"/>
          <w:b w:val="1"/>
          <w:bCs w:val="1"/>
          <w:color w:val="auto"/>
        </w:rPr>
        <w:t>Representing</w:t>
      </w:r>
      <w:r>
        <w:rPr>
          <w:sz w:val="20"/>
          <w:szCs w:val="20"/>
          <w:color w:val="auto"/>
        </w:rPr>
        <w:tab/>
      </w: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328930</wp:posOffset>
            </wp:positionV>
            <wp:extent cx="1457325" cy="3257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4573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413"/>
        </w:trPr>
        <w:tc>
          <w:tcPr>
            <w:tcW w:w="2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300" w:type="dxa"/>
            <w:vAlign w:val="bottom"/>
            <w:gridSpan w:val="2"/>
          </w:tcPr>
          <w:p>
            <w:pPr>
              <w:jc w:val="right"/>
              <w:ind w:right="3898"/>
              <w:spacing w:after="0"/>
              <w:rPr>
                <w:sz w:val="20"/>
                <w:szCs w:val="20"/>
                <w:color w:val="auto"/>
              </w:rPr>
            </w:pPr>
            <w:r>
              <w:rPr>
                <w:rFonts w:ascii="Arial" w:cs="Arial" w:eastAsia="Arial" w:hAnsi="Arial"/>
                <w:sz w:val="32"/>
                <w:szCs w:val="32"/>
                <w:b w:val="1"/>
                <w:bCs w:val="1"/>
                <w:i w:val="1"/>
                <w:iCs w:val="1"/>
                <w:color w:val="auto"/>
                <w:w w:val="90"/>
              </w:rPr>
              <w:t>Genenta Science S.p.A.</w:t>
            </w:r>
          </w:p>
        </w:tc>
      </w:tr>
      <w:tr>
        <w:trPr>
          <w:trHeight w:val="714"/>
        </w:trPr>
        <w:tc>
          <w:tcPr>
            <w:tcW w:w="2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920" w:type="dxa"/>
            <w:vAlign w:val="bottom"/>
          </w:tcPr>
          <w:p>
            <w:pPr>
              <w:spacing w:after="0"/>
              <w:rPr>
                <w:sz w:val="24"/>
                <w:szCs w:val="24"/>
                <w:color w:val="auto"/>
              </w:rPr>
            </w:pPr>
          </w:p>
        </w:tc>
      </w:tr>
      <w:tr>
        <w:trPr>
          <w:trHeight w:val="367"/>
        </w:trPr>
        <w:tc>
          <w:tcPr>
            <w:tcW w:w="2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300" w:type="dxa"/>
            <w:vAlign w:val="bottom"/>
            <w:gridSpan w:val="2"/>
          </w:tcPr>
          <w:p>
            <w:pPr>
              <w:jc w:val="right"/>
              <w:ind w:right="4618"/>
              <w:spacing w:after="0"/>
              <w:rPr>
                <w:sz w:val="20"/>
                <w:szCs w:val="20"/>
                <w:color w:val="auto"/>
              </w:rPr>
            </w:pPr>
            <w:r>
              <w:rPr>
                <w:rFonts w:ascii="Arial" w:cs="Arial" w:eastAsia="Arial" w:hAnsi="Arial"/>
                <w:sz w:val="25"/>
                <w:szCs w:val="25"/>
                <w:b w:val="1"/>
                <w:bCs w:val="1"/>
                <w:color w:val="auto"/>
              </w:rPr>
              <w:t>PROSPECTUS</w:t>
            </w:r>
          </w:p>
        </w:tc>
      </w:tr>
      <w:tr>
        <w:trPr>
          <w:trHeight w:val="46"/>
        </w:trPr>
        <w:tc>
          <w:tcPr>
            <w:tcW w:w="2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3920" w:type="dxa"/>
            <w:vAlign w:val="bottom"/>
          </w:tcPr>
          <w:p>
            <w:pPr>
              <w:spacing w:after="0"/>
              <w:rPr>
                <w:sz w:val="3"/>
                <w:szCs w:val="3"/>
                <w:color w:val="auto"/>
              </w:rPr>
            </w:pPr>
          </w:p>
        </w:tc>
      </w:tr>
      <w:tr>
        <w:trPr>
          <w:trHeight w:val="723"/>
        </w:trPr>
        <w:tc>
          <w:tcPr>
            <w:tcW w:w="2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300" w:type="dxa"/>
            <w:vAlign w:val="bottom"/>
            <w:gridSpan w:val="2"/>
          </w:tcPr>
          <w:p>
            <w:pPr>
              <w:jc w:val="right"/>
              <w:ind w:right="3958"/>
              <w:spacing w:after="0"/>
              <w:rPr>
                <w:sz w:val="20"/>
                <w:szCs w:val="20"/>
                <w:color w:val="auto"/>
              </w:rPr>
            </w:pPr>
            <w:r>
              <w:rPr>
                <w:rFonts w:ascii="Arial" w:cs="Arial" w:eastAsia="Arial" w:hAnsi="Arial"/>
                <w:sz w:val="18"/>
                <w:szCs w:val="18"/>
                <w:b w:val="1"/>
                <w:bCs w:val="1"/>
                <w:i w:val="1"/>
                <w:iCs w:val="1"/>
                <w:color w:val="auto"/>
              </w:rPr>
              <w:t>Joint Book-Running Managers</w:t>
            </w:r>
          </w:p>
        </w:tc>
      </w:tr>
      <w:tr>
        <w:trPr>
          <w:trHeight w:val="622"/>
        </w:trPr>
        <w:tc>
          <w:tcPr>
            <w:tcW w:w="2760" w:type="dxa"/>
            <w:vAlign w:val="bottom"/>
          </w:tcPr>
          <w:p>
            <w:pPr>
              <w:spacing w:after="0"/>
              <w:rPr>
                <w:sz w:val="20"/>
                <w:szCs w:val="20"/>
                <w:color w:val="auto"/>
              </w:rPr>
            </w:pPr>
            <w:r>
              <w:rPr>
                <w:rFonts w:ascii="Arial" w:cs="Arial" w:eastAsia="Arial" w:hAnsi="Arial"/>
                <w:sz w:val="32"/>
                <w:szCs w:val="32"/>
                <w:b w:val="1"/>
                <w:bCs w:val="1"/>
                <w:color w:val="auto"/>
                <w:w w:val="93"/>
              </w:rPr>
              <w:t>Canaccord Genuity</w:t>
            </w:r>
          </w:p>
        </w:tc>
        <w:tc>
          <w:tcPr>
            <w:tcW w:w="1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32"/>
                <w:szCs w:val="32"/>
                <w:b w:val="1"/>
                <w:bCs w:val="1"/>
                <w:color w:val="auto"/>
              </w:rPr>
              <w:t>Roth Capital Partners</w:t>
            </w:r>
          </w:p>
        </w:tc>
      </w:tr>
      <w:tr>
        <w:trPr>
          <w:trHeight w:val="687"/>
        </w:trPr>
        <w:tc>
          <w:tcPr>
            <w:tcW w:w="2760" w:type="dxa"/>
            <w:vAlign w:val="bottom"/>
          </w:tcPr>
          <w:p>
            <w:pPr>
              <w:spacing w:after="0"/>
              <w:rPr>
                <w:sz w:val="24"/>
                <w:szCs w:val="24"/>
                <w:color w:val="auto"/>
              </w:rPr>
            </w:pPr>
          </w:p>
        </w:tc>
        <w:tc>
          <w:tcPr>
            <w:tcW w:w="4560" w:type="dxa"/>
            <w:vAlign w:val="bottom"/>
            <w:gridSpan w:val="2"/>
          </w:tcPr>
          <w:p>
            <w:pPr>
              <w:jc w:val="right"/>
              <w:ind w:right="1174"/>
              <w:spacing w:after="0"/>
              <w:rPr>
                <w:sz w:val="20"/>
                <w:szCs w:val="20"/>
                <w:color w:val="auto"/>
              </w:rPr>
            </w:pPr>
            <w:r>
              <w:rPr>
                <w:rFonts w:ascii="Arial" w:cs="Arial" w:eastAsia="Arial" w:hAnsi="Arial"/>
                <w:sz w:val="18"/>
                <w:szCs w:val="18"/>
                <w:color w:val="auto"/>
              </w:rPr>
              <w:t>, 2021</w:t>
            </w:r>
          </w:p>
        </w:tc>
        <w:tc>
          <w:tcPr>
            <w:tcW w:w="3920" w:type="dxa"/>
            <w:vAlign w:val="bottom"/>
          </w:tcPr>
          <w:p>
            <w:pPr>
              <w:spacing w:after="0"/>
              <w:rPr>
                <w:sz w:val="24"/>
                <w:szCs w:val="24"/>
                <w:color w:val="auto"/>
              </w:rPr>
            </w:pPr>
          </w:p>
        </w:tc>
      </w:tr>
      <w:tr>
        <w:trPr>
          <w:trHeight w:val="459"/>
        </w:trPr>
        <w:tc>
          <w:tcPr>
            <w:tcW w:w="2760" w:type="dxa"/>
            <w:vAlign w:val="bottom"/>
          </w:tcPr>
          <w:p>
            <w:pPr>
              <w:ind w:left="660"/>
              <w:spacing w:after="0"/>
              <w:rPr>
                <w:sz w:val="20"/>
                <w:szCs w:val="20"/>
                <w:color w:val="auto"/>
              </w:rPr>
            </w:pPr>
            <w:r>
              <w:rPr>
                <w:rFonts w:ascii="Arial" w:cs="Arial" w:eastAsia="Arial" w:hAnsi="Arial"/>
                <w:sz w:val="18"/>
                <w:szCs w:val="18"/>
                <w:b w:val="1"/>
                <w:bCs w:val="1"/>
                <w:color w:val="auto"/>
              </w:rPr>
              <w:t>Through and including</w:t>
            </w:r>
          </w:p>
        </w:tc>
        <w:tc>
          <w:tcPr>
            <w:tcW w:w="848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 2021 (25 days after the date of this prospectus), all dealers that effect transactions in these securities, whether</w:t>
            </w:r>
          </w:p>
        </w:tc>
      </w:tr>
    </w:tbl>
    <w:p>
      <w:pPr>
        <w:ind w:right="140"/>
        <w:spacing w:after="0" w:line="260" w:lineRule="auto"/>
        <w:rPr>
          <w:sz w:val="20"/>
          <w:szCs w:val="20"/>
          <w:color w:val="auto"/>
        </w:rPr>
      </w:pPr>
      <w:r>
        <w:rPr>
          <w:rFonts w:ascii="Arial" w:cs="Arial" w:eastAsia="Arial" w:hAnsi="Arial"/>
          <w:sz w:val="18"/>
          <w:szCs w:val="18"/>
          <w:b w:val="1"/>
          <w:bCs w:val="1"/>
          <w:color w:val="auto"/>
        </w:rPr>
        <w:t>or not participating in this offering, may be required to deliver a prospectus. This delivery requirement is in addition to the dealer’s obligation to deliver a prospectus when acting as an underwriter and with respect to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35" w:name="page236"/>
    <w:bookmarkEnd w:id="235"/>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Officers and Employees</w:t>
      </w:r>
    </w:p>
    <w:p>
      <w:pPr>
        <w:spacing w:after="0" w:line="256"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Under Italian law, a corporation is not required to indemnify its directors or officers against losses and expenses, including attorney’s fees, judgments, fines and settlement amounts actually and reasonably incurred in a civil or criminal action, suit or proceeding arising from being the representative of, or serving at the request of, the corporation.</w:t>
      </w:r>
    </w:p>
    <w:p>
      <w:pPr>
        <w:spacing w:after="0" w:line="21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Italian law requires directors and members of any committee designated by the board of directors to perform their duties in good faith and with that degree of diligence that is required by the nature of their office and under their specific level of competence. If directors fail to comply with such obligations, they may be liable towards the company, its creditors, individual shareholders and third 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responsibility action may be brought by:</w:t>
      </w:r>
    </w:p>
    <w:p>
      <w:pPr>
        <w:spacing w:after="0" w:line="252"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shareholders’ meeting of the company;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shareholders representing at least 20% of the share capital.</w:t>
      </w:r>
    </w:p>
    <w:p>
      <w:pPr>
        <w:spacing w:after="0" w:line="25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company may waive the liability action and may settle, provided that the waiver and settlement are approved by express resolution of the shareholders’ meeting, and provided that there is no vote against by a minority of shareholders representing at least 20% of the share capital.</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Liability action against directors for the non-fulfilment of their duties may also be brought by creditors when the company’s assets are insufficient to satisfy their claims.</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responsibility of directors is imperative and the articles of association cannot, as general rule, exempt directors from the liability provided for by law nor limit it to malicious conduct alone.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intend to enter into directors’ and officers’ liability insurance to cover certain actions undertaken by our board of directors and executive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3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officers and controlling persons of the Company, the Company has been advised that, in the opinion of the Securities and Exchange Commission, such indemnification is against public policy as expressed in the Securities Act, and is, therefore, unenforceable.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5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Set forth below are the sales of all securities by the Company since 2017, which were not registered under the Securities Act. The Company believes that each of such issuances was exempt from registration under the Securities Act in reliance on Section 4(a)(2) of the Securities Act, Rule 701 and/or Regulation S under the Securities Act.</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2014, the Company was organized with a total corporate capital equal to €11,650, comprised of €10,458.21 class A Quotas and €1,191.79 class B Quotas.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2015 through 2017, the Company issued 8,644.40 class C Quotas from convertible notes and 2,958.50 class B Quotas.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2017, the Company issued an aggregate maximum amount of 4,033.85 of class D Quotas.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2018 and 2019 the Company issued 2,300 of class B Quotas and an additional 6,462.12 class E Quotas.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36" w:name="page237"/>
    <w:bookmarkEnd w:id="236"/>
    <w:p>
      <w:pPr>
        <w:ind w:right="320" w:firstLine="648"/>
        <w:spacing w:after="0" w:line="277" w:lineRule="auto"/>
        <w:rPr>
          <w:sz w:val="20"/>
          <w:szCs w:val="20"/>
          <w:color w:val="auto"/>
        </w:rPr>
      </w:pPr>
      <w:r>
        <w:rPr>
          <w:rFonts w:ascii="Arial" w:cs="Arial" w:eastAsia="Arial" w:hAnsi="Arial"/>
          <w:sz w:val="18"/>
          <w:szCs w:val="18"/>
          <w:color w:val="auto"/>
        </w:rPr>
        <w:t>In 2020, the Company issued 571.34 class E Quotas, from the 2019 offering which was extended in 2020 to provide an additional €1.5 million plus 436.00 class B Quotas from options.</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were acquiring the securities for investment and not distribution. Such purchasers were advised the securities had not been registered under the Securities Act and that any resale in the United States must be made pursuant to a registration or an available exemption from such registration. All of the foregoing securities are deemed restricted securities for the purposes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0140" w:type="dxa"/>
            <w:vAlign w:val="bottom"/>
            <w:vMerge w:val="restart"/>
          </w:tcPr>
          <w:p>
            <w:pPr>
              <w:ind w:left="44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10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1.1*</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Underwriting Agreement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3.1*</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Form of articles of association of Genenta Science S.p.A. (to be effective upon completion of this offering).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Form of by-laws of Genenta Science S.p.A. (to be effective upon completion of this offering).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4.1*</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Form of Deposit Agreement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4.2*</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Form of American Depositary Receipt (included in exhibit 4.1)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5.1*</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Opinion of Giovanelli and Associates, Italian counsel to Genenta</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w w:val="91"/>
              </w:rPr>
              <w:t>License Agreement between Ospedale San Raffaele S.r.l. and Genenta Science S.r.l. dated December 15, 2014 (OSR License Agreement)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10.2*</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First Amendment to the OSR License Agreement dated March 16, 2017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10.3*</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Second Amendment to the OSR License Agreement dated February 1, 2019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Third Amendment to the OSR License Agreement dated December 23, 2020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10.5*</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Sponsored Research Agreement with OSR dated February 12, 2021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10.6*</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Know-How License Agreement with Fondazione Telethon dated February 2, 2016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10.7**</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Master Service Agreement dated March 6, 2019 between Molecular Medicine S.p.A. and Genenta Science S.r.l.</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10.8**</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Form of 2021-2025 Genenta Science Employee Share Option Plan with Chairman Sub-Plan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10.9*</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Form of Employment Agreement of Pierluigi Paracchi</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10.10*</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Form of Employment Agreement of Carlo Russo</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10.11*</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Form of Employment Agreement of Richard Slansky</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23.1*</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Consent of Mayer Hoffman McCann, P.C.</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23.2*</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Consent of Giovanelli and Associates, Italian counsel to Genenta (included in Exhibit 5.1).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23.3*</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Consent of Stephen Squinto to be named as a potential director in the Registration Statement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23.4*</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Consent of Anthony Marucci to be named as a potential director in the Registration Statement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24.1*</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Power of Attorney (included on the signature page of this Registration Statement).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be filed by amendment.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56" w:lineRule="exact"/>
        <w:rPr>
          <w:sz w:val="20"/>
          <w:szCs w:val="20"/>
          <w:color w:val="auto"/>
        </w:rPr>
      </w:pPr>
    </w:p>
    <w:p>
      <w:pPr>
        <w:ind w:right="20" w:firstLine="656"/>
        <w:spacing w:after="0" w:line="291" w:lineRule="auto"/>
        <w:tabs>
          <w:tab w:leader="none" w:pos="89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3" w:lineRule="exact"/>
        <w:rPr>
          <w:rFonts w:ascii="Arial" w:cs="Arial" w:eastAsia="Arial" w:hAnsi="Arial"/>
          <w:sz w:val="16"/>
          <w:szCs w:val="16"/>
          <w:color w:val="auto"/>
        </w:rPr>
      </w:pPr>
    </w:p>
    <w:p>
      <w:pPr>
        <w:ind w:left="1300" w:hanging="64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ind w:left="1620" w:right="20" w:hanging="316"/>
        <w:spacing w:after="0" w:line="259" w:lineRule="auto"/>
        <w:tabs>
          <w:tab w:leader="none" w:pos="1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620" w:right="280" w:hanging="316"/>
        <w:spacing w:after="0" w:line="263" w:lineRule="auto"/>
        <w:tabs>
          <w:tab w:leader="none" w:pos="1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686"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on Form F-1 to be signed on its behalf by the undersigned, thereunto</w:t>
      </w: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duly authorized, in Milan, Italy on</w:t>
            </w:r>
          </w:p>
        </w:tc>
        <w:tc>
          <w:tcPr>
            <w:tcW w:w="72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undersigned officers and directors of Genenta Science S.r.l. hereby constitute and appoint Pierluigi Paracchi and Richard Slansky with full power of substitution, each of them singly our true and lawful attorneys-in-fact and agents to take any actions to enable the Company to comply with the Securities Act, and any rules, regulations and requirements of the SEC, in connection with this registration statement on Form F-1, including the power and authority to sign for us in our names in the capacities indicated below any and all further amendments to this registration statement and any other registration statement filed pursuant to the provisions of Rule 462 under the Securities Act.</w:t>
      </w:r>
    </w:p>
    <w:p>
      <w:pPr>
        <w:spacing w:after="0" w:line="20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F-1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6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5"/>
                <w:szCs w:val="15"/>
                <w:color w:val="auto"/>
              </w:rPr>
            </w:pPr>
          </w:p>
        </w:tc>
        <w:tc>
          <w:tcPr>
            <w:tcW w:w="494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18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66"/>
        </w:trPr>
        <w:tc>
          <w:tcPr>
            <w:tcW w:w="4060" w:type="dxa"/>
            <w:vAlign w:val="bottom"/>
            <w:tcBorders>
              <w:bottom w:val="single" w:sz="8" w:color="auto"/>
            </w:tcBorders>
          </w:tcPr>
          <w:p>
            <w:pPr>
              <w:spacing w:after="0"/>
              <w:rPr>
                <w:sz w:val="24"/>
                <w:szCs w:val="24"/>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Chairman</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Pierluigi Paracchi</w:t>
            </w:r>
          </w:p>
        </w:tc>
        <w:tc>
          <w:tcPr>
            <w:tcW w:w="538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(Principal Executive Officer)</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tcBorders>
          </w:tcPr>
          <w:p>
            <w:pPr>
              <w:spacing w:after="0"/>
              <w:rPr>
                <w:sz w:val="20"/>
                <w:szCs w:val="20"/>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Acting Chief Financial Officer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Richard Slansky</w:t>
            </w:r>
          </w:p>
        </w:tc>
        <w:tc>
          <w:tcPr>
            <w:tcW w:w="538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(Principal Financial and Accounting Officer)</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tcBorders>
          </w:tcPr>
          <w:p>
            <w:pPr>
              <w:spacing w:after="0"/>
              <w:rPr>
                <w:sz w:val="20"/>
                <w:szCs w:val="20"/>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Roger Abravanel</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Daniela Bellomo</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Guido Guidi</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Luca Guidotti</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II-3</w:t>
            </w: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238" w:name="page239"/>
    <w:bookmarkEnd w:id="238"/>
    <w:p>
      <w:pPr>
        <w:jc w:val="center"/>
        <w:ind w:right="-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Securities Act of 1933, as amended, the undersigned, Cogency Global Inc., the duly authorized representative in the United States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w w:val="94"/>
              </w:rPr>
              <w:t>of Genenta Science S.r.l., has signed this registration statement on</w:t>
            </w:r>
          </w:p>
        </w:tc>
        <w:tc>
          <w:tcPr>
            <w:tcW w:w="80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71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3EFDC5"/>
    <w:multiLevelType w:val="hybridMultilevel"/>
    <w:lvl w:ilvl="0">
      <w:lvlJc w:val="left"/>
      <w:lvlText w:val="(%1)"/>
      <w:numFmt w:val="decimal"/>
      <w:start w:val="1"/>
    </w:lvl>
  </w:abstractNum>
  <w:abstractNum w:abstractNumId="1">
    <w:nsid w:val="BF72B14"/>
    <w:multiLevelType w:val="hybridMultilevel"/>
    <w:lvl w:ilvl="0">
      <w:lvlJc w:val="left"/>
      <w:lvlText w:val="(%1)"/>
      <w:numFmt w:val="decimal"/>
      <w:start w:val="2"/>
    </w:lvl>
  </w:abstractNum>
  <w:abstractNum w:abstractNumId="2">
    <w:nsid w:val="11447B73"/>
    <w:multiLevelType w:val="hybridMultilevel"/>
    <w:lvl w:ilvl="0">
      <w:lvlJc w:val="left"/>
      <w:lvlText w:val="1"/>
      <w:numFmt w:val="bullet"/>
      <w:start w:val="1"/>
    </w:lvl>
  </w:abstractNum>
  <w:abstractNum w:abstractNumId="3">
    <w:nsid w:val="42963E5A"/>
    <w:multiLevelType w:val="hybridMultilevel"/>
    <w:lvl w:ilvl="0">
      <w:lvlJc w:val="left"/>
      <w:lvlText w:val="(%1)"/>
      <w:numFmt w:val="decimal"/>
      <w:start w:val="1"/>
    </w:lvl>
  </w:abstractNum>
  <w:abstractNum w:abstractNumId="4">
    <w:nsid w:val="A0382C5"/>
    <w:multiLevelType w:val="hybridMultilevel"/>
    <w:lvl w:ilvl="0">
      <w:lvlJc w:val="left"/>
      <w:lvlText w:val="(%1)"/>
      <w:numFmt w:val="lowerRoman"/>
      <w:start w:val="2"/>
    </w:lvl>
    <w:lvl w:ilvl="1">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1)"/>
      <w:numFmt w:val="decimal"/>
      <w:start w:val="1"/>
    </w:lvl>
  </w:abstractNum>
  <w:abstractNum w:abstractNumId="16">
    <w:nsid w:val="100F59DC"/>
    <w:multiLevelType w:val="hybridMultilevel"/>
    <w:lvl w:ilvl="0">
      <w:lvlJc w:val="left"/>
      <w:lvlText w:val="(%1)"/>
      <w:numFmt w:val="decimal"/>
      <w:start w:val="1"/>
    </w:lvl>
  </w:abstractNum>
  <w:abstractNum w:abstractNumId="17">
    <w:nsid w:val="7FB7E0AA"/>
    <w:multiLevelType w:val="hybridMultilevel"/>
    <w:lvl w:ilvl="0">
      <w:lvlJc w:val="left"/>
      <w:lvlText w:val="(%1)"/>
      <w:numFmt w:val="decimal"/>
      <w:start w:val="3"/>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
      <w:numFmt w:val="bullet"/>
      <w:start w:val="1"/>
    </w:lvl>
  </w:abstractNum>
  <w:abstractNum w:abstractNumId="46">
    <w:nsid w:val="7672BD23"/>
    <w:multiLevelType w:val="hybridMultilevel"/>
    <w:lvl w:ilvl="0">
      <w:lvlJc w:val="left"/>
      <w:lvlText w:val="●"/>
      <w:numFmt w:val="bullet"/>
      <w:start w:val="1"/>
    </w:lvl>
  </w:abstractNum>
  <w:abstractNum w:abstractNumId="47">
    <w:nsid w:val="6FC75AF8"/>
    <w:multiLevelType w:val="hybridMultilevel"/>
    <w:lvl w:ilvl="0">
      <w:lvlJc w:val="left"/>
      <w:lvlText w:val="●"/>
      <w:numFmt w:val="bullet"/>
      <w:start w:val="1"/>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
      <w:numFmt w:val="bullet"/>
      <w:start w:val="1"/>
    </w:lvl>
  </w:abstractNum>
  <w:abstractNum w:abstractNumId="51">
    <w:nsid w:val="73A1821B"/>
    <w:multiLevelType w:val="hybridMultilevel"/>
    <w:lvl w:ilvl="0">
      <w:lvlJc w:val="left"/>
      <w:lvlText w:val="●"/>
      <w:numFmt w:val="bullet"/>
      <w:start w:val="1"/>
    </w:lvl>
  </w:abstractNum>
  <w:abstractNum w:abstractNumId="52">
    <w:nsid w:val="7DE67713"/>
    <w:multiLevelType w:val="hybridMultilevel"/>
    <w:lvl w:ilvl="0">
      <w:lvlJc w:val="left"/>
      <w:lvlText w:val="●"/>
      <w:numFmt w:val="bullet"/>
      <w:start w:val="1"/>
    </w:lvl>
  </w:abstractNum>
  <w:abstractNum w:abstractNumId="53">
    <w:nsid w:val="555C55B5"/>
    <w:multiLevelType w:val="hybridMultilevel"/>
    <w:lvl w:ilvl="0">
      <w:lvlJc w:val="left"/>
      <w:lvlText w:val="-"/>
      <w:numFmt w:val="bullet"/>
      <w:start w:val="1"/>
    </w:lvl>
  </w:abstractNum>
  <w:abstractNum w:abstractNumId="54">
    <w:nsid w:val="3FA62ACA"/>
    <w:multiLevelType w:val="hybridMultilevel"/>
    <w:lvl w:ilvl="0">
      <w:lvlJc w:val="left"/>
      <w:lvlText w:val="●"/>
      <w:numFmt w:val="bullet"/>
      <w:start w:val="1"/>
    </w:lvl>
  </w:abstractNum>
  <w:abstractNum w:abstractNumId="55">
    <w:nsid w:val="14FCE74E"/>
    <w:multiLevelType w:val="hybridMultilevel"/>
    <w:lvl w:ilvl="0">
      <w:lvlJc w:val="left"/>
      <w:lvlText w:val="●"/>
      <w:numFmt w:val="bullet"/>
      <w:start w:val="1"/>
    </w:lvl>
  </w:abstractNum>
  <w:abstractNum w:abstractNumId="56">
    <w:nsid w:val="6A3DD3E8"/>
    <w:multiLevelType w:val="hybridMultilevel"/>
    <w:lvl w:ilvl="0">
      <w:lvlJc w:val="left"/>
      <w:lvlText w:val="●"/>
      <w:numFmt w:val="bullet"/>
      <w:start w:val="1"/>
    </w:lvl>
  </w:abstractNum>
  <w:abstractNum w:abstractNumId="57">
    <w:nsid w:val="71C91298"/>
    <w:multiLevelType w:val="hybridMultilevel"/>
    <w:lvl w:ilvl="0">
      <w:lvlJc w:val="left"/>
      <w:lvlText w:val="●"/>
      <w:numFmt w:val="bullet"/>
      <w:start w:val="1"/>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
      <w:numFmt w:val="bullet"/>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1)"/>
      <w:numFmt w:val="decimal"/>
      <w:start w:val="1"/>
    </w:lvl>
  </w:abstractNum>
  <w:abstractNum w:abstractNumId="63">
    <w:nsid w:val="59ADEA3D"/>
    <w:multiLevelType w:val="hybridMultilevel"/>
    <w:lvl w:ilvl="0">
      <w:lvlJc w:val="left"/>
      <w:lvlText w:val="●"/>
      <w:numFmt w:val="bullet"/>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1"/>
      <w:numFmt w:val="bullet"/>
      <w:start w:val="1"/>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
      <w:numFmt w:val="bullet"/>
      <w:start w:val="1"/>
    </w:lvl>
  </w:abstractNum>
  <w:abstractNum w:abstractNumId="70">
    <w:nsid w:val="53584BCB"/>
    <w:multiLevelType w:val="hybridMultilevel"/>
    <w:lvl w:ilvl="0">
      <w:lvlJc w:val="left"/>
      <w:lvlText w:val="●"/>
      <w:numFmt w:val="bullet"/>
      <w:start w:val="1"/>
    </w:lvl>
  </w:abstractNum>
  <w:abstractNum w:abstractNumId="71">
    <w:nsid w:val="415E286C"/>
    <w:multiLevelType w:val="hybridMultilevel"/>
    <w:lvl w:ilvl="0">
      <w:lvlJc w:val="left"/>
      <w:lvlText w:val="●"/>
      <w:numFmt w:val="bullet"/>
      <w:start w:val="1"/>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
      <w:numFmt w:val="bullet"/>
      <w:start w:val="1"/>
    </w:lvl>
  </w:abstractNum>
  <w:abstractNum w:abstractNumId="75">
    <w:nsid w:val="5C10FE21"/>
    <w:multiLevelType w:val="hybridMultilevel"/>
    <w:lvl w:ilvl="0">
      <w:lvlJc w:val="left"/>
      <w:lvlText w:val="●"/>
      <w:numFmt w:val="bullet"/>
      <w:start w:val="1"/>
    </w:lvl>
  </w:abstractNum>
  <w:abstractNum w:abstractNumId="76">
    <w:nsid w:val="E7FFA2B"/>
    <w:multiLevelType w:val="hybridMultilevel"/>
    <w:lvl w:ilvl="0">
      <w:lvlJc w:val="left"/>
      <w:lvlText w:val="●"/>
      <w:numFmt w:val="bullet"/>
      <w:start w:val="1"/>
    </w:lvl>
  </w:abstractNum>
  <w:abstractNum w:abstractNumId="77">
    <w:nsid w:val="3C5991AA"/>
    <w:multiLevelType w:val="hybridMultilevel"/>
    <w:lvl w:ilvl="0">
      <w:lvlJc w:val="left"/>
      <w:lvlText w:val="●"/>
      <w:numFmt w:val="bullet"/>
      <w:start w:val="1"/>
    </w:lvl>
  </w:abstractNum>
  <w:abstractNum w:abstractNumId="78">
    <w:nsid w:val="4BD8591A"/>
    <w:multiLevelType w:val="hybridMultilevel"/>
    <w:lvl w:ilvl="0">
      <w:lvlJc w:val="left"/>
      <w:lvlText w:val="●"/>
      <w:numFmt w:val="bullet"/>
      <w:start w:val="1"/>
    </w:lvl>
  </w:abstractNum>
  <w:abstractNum w:abstractNumId="79">
    <w:nsid w:val="78DF6A55"/>
    <w:multiLevelType w:val="hybridMultilevel"/>
    <w:lvl w:ilvl="0">
      <w:lvlJc w:val="left"/>
      <w:lvlText w:val="%1."/>
      <w:numFmt w:val="decimal"/>
      <w:start w:val="1"/>
    </w:lvl>
  </w:abstractNum>
  <w:abstractNum w:abstractNumId="80">
    <w:nsid w:val="39B7AAA2"/>
    <w:multiLevelType w:val="hybridMultilevel"/>
    <w:lvl w:ilvl="0">
      <w:lvlJc w:val="left"/>
      <w:lvlText w:val="%1)"/>
      <w:numFmt w:val="lowerLetter"/>
      <w:start w:val="1"/>
    </w:lvl>
  </w:abstractNum>
  <w:abstractNum w:abstractNumId="81">
    <w:nsid w:val="2B0D8DBE"/>
    <w:multiLevelType w:val="hybridMultilevel"/>
    <w:lvl w:ilvl="0">
      <w:lvlJc w:val="left"/>
      <w:lvlText w:val="(%1)"/>
      <w:numFmt w:val="decimal"/>
      <w:start w:val="1"/>
    </w:lvl>
  </w:abstractNum>
  <w:abstractNum w:abstractNumId="82">
    <w:nsid w:val="6C80EC70"/>
    <w:multiLevelType w:val="hybridMultilevel"/>
    <w:lvl w:ilvl="0">
      <w:lvlJc w:val="left"/>
      <w:lvlText w:val="(%1)"/>
      <w:numFmt w:val="lowerRoman"/>
      <w:start w:val="1"/>
    </w:lvl>
  </w:abstractNum>
  <w:abstractNum w:abstractNumId="83">
    <w:nsid w:val="379E21B5"/>
    <w:multiLevelType w:val="hybridMultilevel"/>
    <w:lvl w:ilvl="0">
      <w:lvlJc w:val="left"/>
      <w:lvlText w:val="%1"/>
      <w:numFmt w:val="upperLetter"/>
      <w:start w:val="1"/>
    </w:lvl>
    <w:lvl w:ilvl="1">
      <w:lvlJc w:val="left"/>
      <w:lvlText w:val="%2)"/>
      <w:numFmt w:val="upperLetter"/>
      <w:start w:val="1"/>
    </w:lvl>
  </w:abstractNum>
  <w:abstractNum w:abstractNumId="84">
    <w:nsid w:val="69E373"/>
    <w:multiLevelType w:val="hybridMultilevel"/>
    <w:lvl w:ilvl="0">
      <w:lvlJc w:val="left"/>
      <w:lvlText w:val="%1)"/>
      <w:numFmt w:val="upperLetter"/>
      <w:start w:val="2"/>
    </w:lvl>
    <w:lvl w:ilvl="1">
      <w:lvlJc w:val="left"/>
      <w:lvlText w:val="%2"/>
      <w:numFmt w:val="upperLetter"/>
      <w:start w:val="1"/>
    </w:lvl>
  </w:abstractNum>
  <w:abstractNum w:abstractNumId="85">
    <w:nsid w:val="2C27173B"/>
    <w:multiLevelType w:val="hybridMultilevel"/>
    <w:lvl w:ilvl="0">
      <w:lvlJc w:val="left"/>
      <w:lvlText w:val="●"/>
      <w:numFmt w:val="bullet"/>
      <w:start w:val="1"/>
    </w:lvl>
  </w:abstractNum>
  <w:abstractNum w:abstractNumId="86">
    <w:nsid w:val="4C9B0904"/>
    <w:multiLevelType w:val="hybridMultilevel"/>
    <w:lvl w:ilvl="0">
      <w:lvlJc w:val="left"/>
      <w:lvlText w:val="●"/>
      <w:numFmt w:val="bullet"/>
      <w:start w:val="1"/>
    </w:lvl>
  </w:abstractNum>
  <w:abstractNum w:abstractNumId="87">
    <w:nsid w:val="6AA7B75C"/>
    <w:multiLevelType w:val="hybridMultilevel"/>
    <w:lvl w:ilvl="0">
      <w:lvlJc w:val="left"/>
      <w:lvlText w:val="●"/>
      <w:numFmt w:val="bullet"/>
      <w:start w:val="1"/>
    </w:lvl>
  </w:abstractNum>
  <w:abstractNum w:abstractNumId="88">
    <w:nsid w:val="1DF029D3"/>
    <w:multiLevelType w:val="hybridMultilevel"/>
    <w:lvl w:ilvl="0">
      <w:lvlJc w:val="left"/>
      <w:lvlText w:val="●"/>
      <w:numFmt w:val="bullet"/>
      <w:start w:val="1"/>
    </w:lvl>
  </w:abstractNum>
  <w:abstractNum w:abstractNumId="89">
    <w:nsid w:val="5675FF36"/>
    <w:multiLevelType w:val="hybridMultilevel"/>
    <w:lvl w:ilvl="0">
      <w:lvlJc w:val="left"/>
      <w:lvlText w:val="●"/>
      <w:numFmt w:val="bullet"/>
      <w:start w:val="1"/>
    </w:lvl>
  </w:abstractNum>
  <w:abstractNum w:abstractNumId="90">
    <w:nsid w:val="3DD15094"/>
    <w:multiLevelType w:val="hybridMultilevel"/>
    <w:lvl w:ilvl="0">
      <w:lvlJc w:val="left"/>
      <w:lvlText w:val="%1."/>
      <w:numFmt w:val="decimal"/>
      <w:start w:val="5"/>
    </w:lvl>
  </w:abstractNum>
  <w:abstractNum w:abstractNumId="91">
    <w:nsid w:val="3DB012B3"/>
    <w:multiLevelType w:val="hybridMultilevel"/>
    <w:lvl w:ilvl="0">
      <w:lvlJc w:val="left"/>
      <w:lvlText w:val="●"/>
      <w:numFmt w:val="bullet"/>
      <w:start w:val="1"/>
    </w:lvl>
  </w:abstractNum>
  <w:abstractNum w:abstractNumId="92">
    <w:nsid w:val="2708C9AF"/>
    <w:multiLevelType w:val="hybridMultilevel"/>
    <w:lvl w:ilvl="0">
      <w:lvlJc w:val="left"/>
      <w:lvlText w:val="●"/>
      <w:numFmt w:val="bullet"/>
      <w:start w:val="1"/>
    </w:lvl>
  </w:abstractNum>
  <w:abstractNum w:abstractNumId="93">
    <w:nsid w:val="5B25ACE2"/>
    <w:multiLevelType w:val="hybridMultilevel"/>
    <w:lvl w:ilvl="0">
      <w:lvlJc w:val="left"/>
      <w:lvlText w:val="●"/>
      <w:numFmt w:val="bullet"/>
      <w:start w:val="1"/>
    </w:lvl>
    <w:lvl w:ilvl="1">
      <w:lvlJc w:val="left"/>
      <w:lvlText w:val="○"/>
      <w:numFmt w:val="bullet"/>
      <w:start w:val="1"/>
    </w:lvl>
  </w:abstractNum>
  <w:abstractNum w:abstractNumId="94">
    <w:nsid w:val="175DFCF0"/>
    <w:multiLevelType w:val="hybridMultilevel"/>
    <w:lvl w:ilvl="0">
      <w:lvlJc w:val="left"/>
      <w:lvlText w:val="●"/>
      <w:numFmt w:val="bullet"/>
      <w:start w:val="1"/>
    </w:lvl>
  </w:abstractNum>
  <w:abstractNum w:abstractNumId="95">
    <w:nsid w:val="4F97E3E4"/>
    <w:multiLevelType w:val="hybridMultilevel"/>
    <w:lvl w:ilvl="0">
      <w:lvlJc w:val="left"/>
      <w:lvlText w:val="●"/>
      <w:numFmt w:val="bullet"/>
      <w:start w:val="1"/>
    </w:lvl>
  </w:abstractNum>
  <w:abstractNum w:abstractNumId="96">
    <w:nsid w:val="53B0A9E"/>
    <w:multiLevelType w:val="hybridMultilevel"/>
    <w:lvl w:ilvl="0">
      <w:lvlJc w:val="left"/>
      <w:lvlText w:val="●"/>
      <w:numFmt w:val="bullet"/>
      <w:start w:val="1"/>
    </w:lvl>
  </w:abstractNum>
  <w:abstractNum w:abstractNumId="97">
    <w:nsid w:val="34FD6B4F"/>
    <w:multiLevelType w:val="hybridMultilevel"/>
    <w:lvl w:ilvl="0">
      <w:lvlJc w:val="left"/>
      <w:lvlText w:val="●"/>
      <w:numFmt w:val="bullet"/>
      <w:start w:val="1"/>
    </w:lvl>
  </w:abstractNum>
  <w:abstractNum w:abstractNumId="98">
    <w:nsid w:val="5915FF32"/>
    <w:multiLevelType w:val="hybridMultilevel"/>
    <w:lvl w:ilvl="0">
      <w:lvlJc w:val="left"/>
      <w:lvlText w:val="%1."/>
      <w:numFmt w:val="decimal"/>
      <w:start w:val="1"/>
    </w:lvl>
  </w:abstractNum>
  <w:abstractNum w:abstractNumId="99">
    <w:nsid w:val="56438D15"/>
    <w:multiLevelType w:val="hybridMultilevel"/>
    <w:lvl w:ilvl="0">
      <w:lvlJc w:val="left"/>
      <w:lvlText w:val="*"/>
      <w:numFmt w:val="bullet"/>
      <w:start w:val="1"/>
    </w:lvl>
  </w:abstractNum>
  <w:abstractNum w:abstractNumId="100">
    <w:nsid w:val="519E3149"/>
    <w:multiLevelType w:val="hybridMultilevel"/>
    <w:lvl w:ilvl="0">
      <w:lvlJc w:val="left"/>
      <w:lvlText w:val="(%1)"/>
      <w:numFmt w:val="lowerLetter"/>
      <w:start w:val="1"/>
    </w:lvl>
  </w:abstractNum>
  <w:abstractNum w:abstractNumId="101">
    <w:nsid w:val="2C6E4AFD"/>
    <w:multiLevelType w:val="hybridMultilevel"/>
    <w:lvl w:ilvl="0">
      <w:lvlJc w:val="left"/>
      <w:lvlText w:val="●"/>
      <w:numFmt w:val="bullet"/>
      <w:start w:val="1"/>
    </w:lvl>
  </w:abstractNum>
  <w:abstractNum w:abstractNumId="102">
    <w:nsid w:val="17A1B582"/>
    <w:multiLevelType w:val="hybridMultilevel"/>
    <w:lvl w:ilvl="0">
      <w:lvlJc w:val="left"/>
      <w:lvlText w:val="●"/>
      <w:numFmt w:val="bullet"/>
      <w:start w:val="1"/>
    </w:lvl>
  </w:abstractNum>
  <w:abstractNum w:abstractNumId="103">
    <w:nsid w:val="4DF72E4E"/>
    <w:multiLevelType w:val="hybridMultilevel"/>
    <w:lvl w:ilvl="0">
      <w:lvlJc w:val="left"/>
      <w:lvlText w:val="●"/>
      <w:numFmt w:val="bullet"/>
      <w:start w:val="1"/>
    </w:lvl>
  </w:abstractNum>
  <w:abstractNum w:abstractNumId="104">
    <w:nsid w:val="5046B5A9"/>
    <w:multiLevelType w:val="hybridMultilevel"/>
    <w:lvl w:ilvl="0">
      <w:lvlJc w:val="left"/>
      <w:lvlText w:val="●"/>
      <w:numFmt w:val="bullet"/>
      <w:start w:val="1"/>
    </w:lvl>
  </w:abstractNum>
  <w:abstractNum w:abstractNumId="105">
    <w:nsid w:val="5D888A08"/>
    <w:multiLevelType w:val="hybridMultilevel"/>
    <w:lvl w:ilvl="0">
      <w:lvlJc w:val="left"/>
      <w:lvlText w:val="●"/>
      <w:numFmt w:val="bullet"/>
      <w:start w:val="1"/>
    </w:lvl>
  </w:abstractNum>
  <w:abstractNum w:abstractNumId="106">
    <w:nsid w:val="2A082C70"/>
    <w:multiLevelType w:val="hybridMultilevel"/>
    <w:lvl w:ilvl="0">
      <w:lvlJc w:val="left"/>
      <w:lvlText w:val="●"/>
      <w:numFmt w:val="bullet"/>
      <w:start w:val="1"/>
    </w:lvl>
  </w:abstractNum>
  <w:abstractNum w:abstractNumId="107">
    <w:nsid w:val="5EC6AFD4"/>
    <w:multiLevelType w:val="hybridMultilevel"/>
    <w:lvl w:ilvl="0">
      <w:lvlJc w:val="left"/>
      <w:lvlText w:val="●"/>
      <w:numFmt w:val="bullet"/>
      <w:start w:val="1"/>
    </w:lvl>
  </w:abstractNum>
  <w:abstractNum w:abstractNumId="108">
    <w:nsid w:val="19E21BB2"/>
    <w:multiLevelType w:val="hybridMultilevel"/>
    <w:lvl w:ilvl="0">
      <w:lvlJc w:val="left"/>
      <w:lvlText w:val="*"/>
      <w:numFmt w:val="bullet"/>
      <w:start w:val="1"/>
    </w:lvl>
    <w:lvl w:ilvl="1">
      <w:lvlJc w:val="left"/>
      <w:lvlText w:val="(%2)"/>
      <w:numFmt w:val="decimal"/>
      <w:start w:val="1"/>
    </w:lvl>
  </w:abstractNum>
  <w:abstractNum w:abstractNumId="109">
    <w:nsid w:val="75E0858A"/>
    <w:multiLevelType w:val="hybridMultilevel"/>
    <w:lvl w:ilvl="0">
      <w:lvlJc w:val="left"/>
      <w:lvlText w:val="●"/>
      <w:numFmt w:val="bullet"/>
      <w:start w:val="1"/>
    </w:lvl>
  </w:abstractNum>
  <w:abstractNum w:abstractNumId="110">
    <w:nsid w:val="57A61A29"/>
    <w:multiLevelType w:val="hybridMultilevel"/>
    <w:lvl w:ilvl="0">
      <w:lvlJc w:val="left"/>
      <w:lvlText w:val="(%1)"/>
      <w:numFmt w:val="lowerRoman"/>
      <w:start w:val="1"/>
    </w:lvl>
  </w:abstractNum>
  <w:abstractNum w:abstractNumId="111">
    <w:nsid w:val="5399C654"/>
    <w:multiLevelType w:val="hybridMultilevel"/>
    <w:lvl w:ilvl="0">
      <w:lvlJc w:val="left"/>
      <w:lvlText w:val="●"/>
      <w:numFmt w:val="bullet"/>
      <w:start w:val="1"/>
    </w:lvl>
  </w:abstractNum>
  <w:abstractNum w:abstractNumId="112">
    <w:nsid w:val="20EE1348"/>
    <w:multiLevelType w:val="hybridMultilevel"/>
    <w:lvl w:ilvl="0">
      <w:lvlJc w:val="left"/>
      <w:lvlText w:val="●"/>
      <w:numFmt w:val="bullet"/>
      <w:start w:val="1"/>
    </w:lvl>
  </w:abstractNum>
  <w:abstractNum w:abstractNumId="113">
    <w:nsid w:val="4427069A"/>
    <w:multiLevelType w:val="hybridMultilevel"/>
    <w:lvl w:ilvl="0">
      <w:lvlJc w:val="left"/>
      <w:lvlText w:val="(%1)"/>
      <w:numFmt w:val="decimal"/>
      <w:start w:val="1"/>
    </w:lvl>
  </w:abstractNum>
  <w:abstractNum w:abstractNumId="114">
    <w:nsid w:val="B37E80A"/>
    <w:multiLevelType w:val="hybridMultilevel"/>
    <w:lvl w:ilvl="0">
      <w:lvlJc w:val="left"/>
      <w:lvlText w:val="●"/>
      <w:numFmt w:val="bullet"/>
      <w:start w:val="1"/>
    </w:lvl>
  </w:abstractNum>
  <w:abstractNum w:abstractNumId="115">
    <w:nsid w:val="2157F6BC"/>
    <w:multiLevelType w:val="hybridMultilevel"/>
    <w:lvl w:ilvl="0">
      <w:lvlJc w:val="left"/>
      <w:lvlText w:val="●"/>
      <w:numFmt w:val="bullet"/>
      <w:start w:val="1"/>
    </w:lvl>
  </w:abstractNum>
  <w:abstractNum w:abstractNumId="116">
    <w:nsid w:val="704E1DD5"/>
    <w:multiLevelType w:val="hybridMultilevel"/>
    <w:lvl w:ilvl="0">
      <w:lvlJc w:val="left"/>
      <w:lvlText w:val="●"/>
      <w:numFmt w:val="bullet"/>
      <w:start w:val="1"/>
    </w:lvl>
  </w:abstractNum>
  <w:abstractNum w:abstractNumId="117">
    <w:nsid w:val="57D2F10E"/>
    <w:multiLevelType w:val="hybridMultilevel"/>
    <w:lvl w:ilvl="0">
      <w:lvlJc w:val="left"/>
      <w:lvlText w:val="●"/>
      <w:numFmt w:val="bullet"/>
      <w:start w:val="1"/>
    </w:lvl>
  </w:abstractNum>
  <w:abstractNum w:abstractNumId="118">
    <w:nsid w:val="BFFAE18"/>
    <w:multiLevelType w:val="hybridMultilevel"/>
    <w:lvl w:ilvl="0">
      <w:lvlJc w:val="left"/>
      <w:lvlText w:val="●"/>
      <w:numFmt w:val="bullet"/>
      <w:start w:val="1"/>
    </w:lvl>
  </w:abstractNum>
  <w:abstractNum w:abstractNumId="119">
    <w:nsid w:val="E3E47A8"/>
    <w:multiLevelType w:val="hybridMultilevel"/>
    <w:lvl w:ilvl="0">
      <w:lvlJc w:val="left"/>
      <w:lvlText w:val="(%1)"/>
      <w:numFmt w:val="lowerRoman"/>
      <w:start w:val="1"/>
    </w:lvl>
  </w:abstractNum>
  <w:abstractNum w:abstractNumId="120">
    <w:nsid w:val="2E48F044"/>
    <w:multiLevelType w:val="hybridMultilevel"/>
    <w:lvl w:ilvl="0">
      <w:lvlJc w:val="left"/>
      <w:lvlText w:val="%1)"/>
      <w:numFmt w:val="lowerLetter"/>
      <w:start w:val="1"/>
    </w:lvl>
  </w:abstractNum>
  <w:abstractNum w:abstractNumId="121">
    <w:nsid w:val="49D0FEAC"/>
    <w:multiLevelType w:val="hybridMultilevel"/>
    <w:lvl w:ilvl="0">
      <w:lvlJc w:val="left"/>
      <w:lvlText w:val="-"/>
      <w:numFmt w:val="bullet"/>
      <w:start w:val="1"/>
    </w:lvl>
  </w:abstractNum>
  <w:abstractNum w:abstractNumId="122">
    <w:nsid w:val="4BEE5A5B"/>
    <w:multiLevelType w:val="hybridMultilevel"/>
    <w:lvl w:ilvl="0">
      <w:lvlJc w:val="left"/>
      <w:lvlText w:val="●"/>
      <w:numFmt w:val="bullet"/>
      <w:start w:val="1"/>
    </w:lvl>
    <w:lvl w:ilvl="1">
      <w:lvlJc w:val="left"/>
      <w:lvlText w:val="●"/>
      <w:numFmt w:val="bullet"/>
      <w:start w:val="1"/>
    </w:lvl>
  </w:abstractNum>
  <w:abstractNum w:abstractNumId="123">
    <w:nsid w:val="5551B9F3"/>
    <w:multiLevelType w:val="hybridMultilevel"/>
    <w:lvl w:ilvl="0">
      <w:lvlJc w:val="left"/>
      <w:lvlText w:val="●"/>
      <w:numFmt w:val="bullet"/>
      <w:start w:val="1"/>
    </w:lvl>
  </w:abstractNum>
  <w:abstractNum w:abstractNumId="124">
    <w:nsid w:val="24F6AB8E"/>
    <w:multiLevelType w:val="hybridMultilevel"/>
    <w:lvl w:ilvl="0">
      <w:lvlJc w:val="left"/>
      <w:lvlText w:val="●"/>
      <w:numFmt w:val="bullet"/>
      <w:start w:val="1"/>
    </w:lvl>
  </w:abstractNum>
  <w:abstractNum w:abstractNumId="125">
    <w:nsid w:val="634C574C"/>
    <w:multiLevelType w:val="hybridMultilevel"/>
    <w:lvl w:ilvl="0">
      <w:lvlJc w:val="left"/>
      <w:lvlText w:val="●"/>
      <w:numFmt w:val="bullet"/>
      <w:start w:val="1"/>
    </w:lvl>
  </w:abstractNum>
  <w:abstractNum w:abstractNumId="126">
    <w:nsid w:val="24E99DD7"/>
    <w:multiLevelType w:val="hybridMultilevel"/>
    <w:lvl w:ilvl="0">
      <w:lvlJc w:val="left"/>
      <w:lvlText w:val="●"/>
      <w:numFmt w:val="bullet"/>
      <w:start w:val="1"/>
    </w:lvl>
  </w:abstractNum>
  <w:abstractNum w:abstractNumId="127">
    <w:nsid w:val="2A31B62D"/>
    <w:multiLevelType w:val="hybridMultilevel"/>
    <w:lvl w:ilvl="0">
      <w:lvlJc w:val="left"/>
      <w:lvlText w:val="●"/>
      <w:numFmt w:val="bullet"/>
      <w:start w:val="1"/>
    </w:lvl>
  </w:abstractNum>
  <w:abstractNum w:abstractNumId="128">
    <w:nsid w:val="1849C29B"/>
    <w:multiLevelType w:val="hybridMultilevel"/>
    <w:lvl w:ilvl="0">
      <w:lvlJc w:val="left"/>
      <w:lvlText w:val="●"/>
      <w:numFmt w:val="bullet"/>
      <w:start w:val="1"/>
    </w:lvl>
  </w:abstractNum>
  <w:abstractNum w:abstractNumId="129">
    <w:nsid w:val="7DFF9D09"/>
    <w:multiLevelType w:val="hybridMultilevel"/>
    <w:lvl w:ilvl="0">
      <w:lvlJc w:val="left"/>
      <w:lvlText w:val="●"/>
      <w:numFmt w:val="bullet"/>
      <w:start w:val="1"/>
    </w:lvl>
  </w:abstractNum>
  <w:abstractNum w:abstractNumId="130">
    <w:nsid w:val="754342"/>
    <w:multiLevelType w:val="hybridMultilevel"/>
    <w:lvl w:ilvl="0">
      <w:lvlJc w:val="left"/>
      <w:lvlText w:val="(%1)"/>
      <w:numFmt w:val="lowerLetter"/>
      <w:start w:val="1"/>
    </w:lvl>
  </w:abstractNum>
  <w:abstractNum w:abstractNumId="131">
    <w:nsid w:val="69E7F3E5"/>
    <w:multiLevelType w:val="hybridMultilevel"/>
    <w:lvl w:ilvl="0">
      <w:lvlJc w:val="left"/>
      <w:lvlText w:val="(%1)"/>
      <w:numFmt w:val="decimal"/>
      <w:start w:val="3"/>
    </w:lvl>
  </w:abstractNum>
  <w:abstractNum w:abstractNumId="132">
    <w:nsid w:val="2A6DE806"/>
    <w:multiLevelType w:val="hybridMultilevel"/>
    <w:lvl w:ilvl="0">
      <w:lvlJc w:val="left"/>
      <w:lvlText w:val="●"/>
      <w:numFmt w:val="bullet"/>
      <w:start w:val="1"/>
    </w:lvl>
  </w:abstractNum>
  <w:abstractNum w:abstractNumId="133">
    <w:nsid w:val="1816F8C4"/>
    <w:multiLevelType w:val="hybridMultilevel"/>
    <w:lvl w:ilvl="0">
      <w:lvlJc w:val="left"/>
      <w:lvlText w:val="●"/>
      <w:numFmt w:val="bullet"/>
      <w:start w:val="1"/>
    </w:lvl>
  </w:abstractNum>
  <w:abstractNum w:abstractNumId="134">
    <w:nsid w:val="37DF2233"/>
    <w:multiLevelType w:val="hybridMultilevel"/>
    <w:lvl w:ilvl="0">
      <w:lvlJc w:val="left"/>
      <w:lvlText w:val="●"/>
      <w:numFmt w:val="bullet"/>
      <w:start w:val="1"/>
    </w:lvl>
  </w:abstractNum>
  <w:abstractNum w:abstractNumId="135">
    <w:nsid w:val="7AB49DAF"/>
    <w:multiLevelType w:val="hybridMultilevel"/>
    <w:lvl w:ilvl="0">
      <w:lvlJc w:val="left"/>
      <w:lvlText w:val="●"/>
      <w:numFmt w:val="bullet"/>
      <w:start w:val="1"/>
    </w:lvl>
  </w:abstractNum>
  <w:abstractNum w:abstractNumId="136">
    <w:nsid w:val="759F82CD"/>
    <w:multiLevelType w:val="hybridMultilevel"/>
    <w:lvl w:ilvl="0">
      <w:lvlJc w:val="left"/>
      <w:lvlText w:val="●"/>
      <w:numFmt w:val="bullet"/>
      <w:start w:val="1"/>
    </w:lvl>
  </w:abstractNum>
  <w:abstractNum w:abstractNumId="137">
    <w:nsid w:val="61E74EA3"/>
    <w:multiLevelType w:val="hybridMultilevel"/>
    <w:lvl w:ilvl="0">
      <w:lvlJc w:val="left"/>
      <w:lvlText w:val="%1)"/>
      <w:numFmt w:val="lowerLetter"/>
      <w:start w:val="1"/>
    </w:lvl>
  </w:abstractNum>
  <w:abstractNum w:abstractNumId="138">
    <w:nsid w:val="597B4D84"/>
    <w:multiLevelType w:val="hybridMultilevel"/>
    <w:lvl w:ilvl="0">
      <w:lvlJc w:val="left"/>
      <w:lvlText w:val="●"/>
      <w:numFmt w:val="bullet"/>
      <w:start w:val="1"/>
    </w:lvl>
  </w:abstractNum>
  <w:abstractNum w:abstractNumId="139">
    <w:nsid w:val="F819E7F"/>
    <w:multiLevelType w:val="hybridMultilevel"/>
    <w:lvl w:ilvl="0">
      <w:lvlJc w:val="left"/>
      <w:lvlText w:val="%1)"/>
      <w:numFmt w:val="lowerLetter"/>
      <w:start w:val="17"/>
    </w:lvl>
  </w:abstractNum>
  <w:abstractNum w:abstractNumId="140">
    <w:nsid w:val="57C7D42D"/>
    <w:multiLevelType w:val="hybridMultilevel"/>
    <w:lvl w:ilvl="0">
      <w:lvlJc w:val="left"/>
      <w:lvlText w:val="●"/>
      <w:numFmt w:val="bullet"/>
      <w:start w:val="1"/>
    </w:lvl>
  </w:abstractNum>
  <w:abstractNum w:abstractNumId="141">
    <w:nsid w:val="312167AD"/>
    <w:multiLevelType w:val="hybridMultilevel"/>
    <w:lvl w:ilvl="0">
      <w:lvlJc w:val="left"/>
      <w:lvlText w:val="-"/>
      <w:numFmt w:val="bullet"/>
      <w:start w:val="1"/>
    </w:lvl>
  </w:abstractNum>
  <w:abstractNum w:abstractNumId="142">
    <w:nsid w:val="631B64D4"/>
    <w:multiLevelType w:val="hybridMultilevel"/>
    <w:lvl w:ilvl="0">
      <w:lvlJc w:val="left"/>
      <w:lvlText w:val="●"/>
      <w:numFmt w:val="bullet"/>
      <w:start w:val="1"/>
    </w:lvl>
  </w:abstractNum>
  <w:abstractNum w:abstractNumId="143">
    <w:nsid w:val="78B5E776"/>
    <w:multiLevelType w:val="hybridMultilevel"/>
    <w:lvl w:ilvl="0">
      <w:lvlJc w:val="left"/>
      <w:lvlText w:val="%1."/>
      <w:numFmt w:val="decimal"/>
      <w:start w:val="10"/>
    </w:lvl>
    <w:lvl w:ilvl="1">
      <w:lvlJc w:val="left"/>
      <w:lvlText w:val="●"/>
      <w:numFmt w:val="bullet"/>
      <w:start w:val="1"/>
    </w:lvl>
  </w:abstractNum>
  <w:abstractNum w:abstractNumId="144">
    <w:nsid w:val="75486E47"/>
    <w:multiLevelType w:val="hybridMultilevel"/>
    <w:lvl w:ilvl="0">
      <w:lvlJc w:val="left"/>
      <w:lvlText w:val="●"/>
      <w:numFmt w:val="bullet"/>
      <w:start w:val="1"/>
    </w:lvl>
  </w:abstractNum>
  <w:abstractNum w:abstractNumId="145">
    <w:nsid w:val="6E534CDE"/>
    <w:multiLevelType w:val="hybridMultilevel"/>
    <w:lvl w:ilvl="0">
      <w:lvlJc w:val="left"/>
      <w:lvlText w:val="●"/>
      <w:numFmt w:val="bullet"/>
      <w:start w:val="1"/>
    </w:lvl>
  </w:abstractNum>
  <w:abstractNum w:abstractNumId="146">
    <w:nsid w:val="1A0DDE32"/>
    <w:multiLevelType w:val="hybridMultilevel"/>
    <w:lvl w:ilvl="0">
      <w:lvlJc w:val="left"/>
      <w:lvlText w:val="%1)"/>
      <w:numFmt w:val="lowerLetter"/>
      <w:start w:val="1"/>
    </w:lvl>
  </w:abstractNum>
  <w:abstractNum w:abstractNumId="147">
    <w:nsid w:val="65968C1C"/>
    <w:multiLevelType w:val="hybridMultilevel"/>
    <w:lvl w:ilvl="0">
      <w:lvlJc w:val="left"/>
      <w:lvlText w:val="●"/>
      <w:numFmt w:val="bullet"/>
      <w:start w:val="1"/>
    </w:lvl>
  </w:abstractNum>
  <w:abstractNum w:abstractNumId="148">
    <w:nsid w:val="46263DEC"/>
    <w:multiLevelType w:val="hybridMultilevel"/>
    <w:lvl w:ilvl="0">
      <w:lvlJc w:val="left"/>
      <w:lvlText w:val="●"/>
      <w:numFmt w:val="bullet"/>
      <w:start w:val="1"/>
    </w:lvl>
  </w:abstractNum>
  <w:abstractNum w:abstractNumId="149">
    <w:nsid w:val="260D8C4A"/>
    <w:multiLevelType w:val="hybridMultilevel"/>
    <w:lvl w:ilvl="0">
      <w:lvlJc w:val="left"/>
      <w:lvlText w:val="●"/>
      <w:numFmt w:val="bullet"/>
      <w:start w:val="1"/>
    </w:lvl>
  </w:abstractNum>
  <w:abstractNum w:abstractNumId="150">
    <w:nsid w:val="73D4D3C4"/>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2021-11-10T01:12:51Z</dcterms:created>
  <dcterms:modified xsi:type="dcterms:W3CDTF">2021-11-10T01:12:51Z</dcterms:modified>
</cp:coreProperties>
</file>