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12(g)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Genenta Science S.p.A.</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180" w:type="dxa"/>
            <w:vAlign w:val="bottom"/>
            <w:tcBorders>
              <w:bottom w:val="single" w:sz="8" w:color="auto"/>
            </w:tcBorders>
            <w:gridSpan w:val="2"/>
          </w:tcPr>
          <w:p>
            <w:pPr>
              <w:jc w:val="center"/>
              <w:ind w:left="270"/>
              <w:spacing w:after="0"/>
              <w:rPr>
                <w:sz w:val="20"/>
                <w:szCs w:val="20"/>
                <w:color w:val="auto"/>
              </w:rPr>
            </w:pPr>
            <w:r>
              <w:rPr>
                <w:rFonts w:ascii="Arial" w:cs="Arial" w:eastAsia="Arial" w:hAnsi="Arial"/>
                <w:sz w:val="18"/>
                <w:szCs w:val="18"/>
                <w:color w:val="auto"/>
                <w:w w:val="95"/>
              </w:rPr>
              <w:t>Republic of Italy</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Not Applicable</w:t>
            </w:r>
          </w:p>
        </w:tc>
      </w:tr>
      <w:tr>
        <w:trPr>
          <w:trHeight w:val="202"/>
        </w:trPr>
        <w:tc>
          <w:tcPr>
            <w:tcW w:w="5180" w:type="dxa"/>
            <w:vAlign w:val="bottom"/>
            <w:gridSpan w:val="2"/>
          </w:tcPr>
          <w:p>
            <w:pPr>
              <w:jc w:val="center"/>
              <w:ind w:left="250"/>
              <w:spacing w:after="0" w:line="201" w:lineRule="exact"/>
              <w:rPr>
                <w:sz w:val="20"/>
                <w:szCs w:val="20"/>
                <w:color w:val="auto"/>
              </w:rPr>
            </w:pPr>
            <w:r>
              <w:rPr>
                <w:rFonts w:ascii="Arial" w:cs="Arial" w:eastAsia="Arial" w:hAnsi="Arial"/>
                <w:sz w:val="18"/>
                <w:szCs w:val="18"/>
                <w:color w:val="auto"/>
                <w:w w:val="92"/>
              </w:rPr>
              <w:t>(State of incorporation</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180" w:type="dxa"/>
            <w:vAlign w:val="bottom"/>
            <w:gridSpan w:val="2"/>
          </w:tcPr>
          <w:p>
            <w:pPr>
              <w:jc w:val="center"/>
              <w:ind w:left="250"/>
              <w:spacing w:after="0"/>
              <w:rPr>
                <w:sz w:val="20"/>
                <w:szCs w:val="20"/>
                <w:color w:val="auto"/>
              </w:rPr>
            </w:pPr>
            <w:r>
              <w:rPr>
                <w:rFonts w:ascii="Arial" w:cs="Arial" w:eastAsia="Arial" w:hAnsi="Arial"/>
                <w:sz w:val="18"/>
                <w:szCs w:val="18"/>
                <w:color w:val="auto"/>
                <w:w w:val="92"/>
              </w:rPr>
              <w:t>or organization)</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180" w:type="dxa"/>
            <w:vAlign w:val="bottom"/>
            <w:gridSpan w:val="2"/>
          </w:tcPr>
          <w:p>
            <w:pPr>
              <w:jc w:val="center"/>
              <w:ind w:left="270"/>
              <w:spacing w:after="0"/>
              <w:rPr>
                <w:sz w:val="20"/>
                <w:szCs w:val="20"/>
                <w:color w:val="auto"/>
              </w:rPr>
            </w:pPr>
            <w:r>
              <w:rPr>
                <w:rFonts w:ascii="Arial" w:cs="Arial" w:eastAsia="Arial" w:hAnsi="Arial"/>
                <w:sz w:val="18"/>
                <w:szCs w:val="18"/>
                <w:color w:val="auto"/>
                <w:w w:val="93"/>
              </w:rPr>
              <w:t>Via Olgettina No. 58</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37"/>
        </w:trPr>
        <w:tc>
          <w:tcPr>
            <w:tcW w:w="5180" w:type="dxa"/>
            <w:vAlign w:val="bottom"/>
            <w:gridSpan w:val="2"/>
          </w:tcPr>
          <w:p>
            <w:pPr>
              <w:jc w:val="center"/>
              <w:ind w:left="250"/>
              <w:spacing w:after="0"/>
              <w:rPr>
                <w:sz w:val="20"/>
                <w:szCs w:val="20"/>
                <w:color w:val="auto"/>
              </w:rPr>
            </w:pPr>
            <w:r>
              <w:rPr>
                <w:rFonts w:ascii="Arial" w:cs="Arial" w:eastAsia="Arial" w:hAnsi="Arial"/>
                <w:sz w:val="18"/>
                <w:szCs w:val="18"/>
                <w:color w:val="auto"/>
                <w:w w:val="97"/>
              </w:rPr>
              <w:t>Milan, Italy</w:t>
            </w:r>
          </w:p>
        </w:tc>
        <w:tc>
          <w:tcPr>
            <w:tcW w:w="6060" w:type="dxa"/>
            <w:vAlign w:val="bottom"/>
            <w:gridSpan w:val="3"/>
          </w:tcPr>
          <w:p>
            <w:pPr>
              <w:jc w:val="center"/>
              <w:ind w:left="470"/>
              <w:spacing w:after="0"/>
              <w:rPr>
                <w:sz w:val="20"/>
                <w:szCs w:val="20"/>
                <w:color w:val="auto"/>
              </w:rPr>
            </w:pPr>
            <w:r>
              <w:rPr>
                <w:rFonts w:ascii="Arial" w:cs="Arial" w:eastAsia="Arial" w:hAnsi="Arial"/>
                <w:sz w:val="18"/>
                <w:szCs w:val="18"/>
                <w:color w:val="auto"/>
                <w:w w:val="91"/>
              </w:rPr>
              <w:t>20132</w:t>
            </w:r>
          </w:p>
        </w:tc>
      </w:tr>
      <w:tr>
        <w:trPr>
          <w:trHeight w:val="230"/>
        </w:trPr>
        <w:tc>
          <w:tcPr>
            <w:tcW w:w="5180" w:type="dxa"/>
            <w:vAlign w:val="bottom"/>
            <w:tcBorders>
              <w:top w:val="single" w:sz="8" w:color="auto"/>
            </w:tcBorders>
            <w:gridSpan w:val="2"/>
          </w:tcPr>
          <w:p>
            <w:pPr>
              <w:jc w:val="center"/>
              <w:ind w:left="250"/>
              <w:spacing w:after="0"/>
              <w:rPr>
                <w:sz w:val="20"/>
                <w:szCs w:val="20"/>
                <w:color w:val="auto"/>
              </w:rPr>
            </w:pPr>
            <w:r>
              <w:rPr>
                <w:rFonts w:ascii="Arial" w:cs="Arial" w:eastAsia="Arial" w:hAnsi="Arial"/>
                <w:sz w:val="18"/>
                <w:szCs w:val="18"/>
                <w:color w:val="auto"/>
                <w:w w:val="92"/>
              </w:rPr>
              <w:t>(Address of Principal Executive Offices)</w:t>
            </w:r>
          </w:p>
        </w:tc>
        <w:tc>
          <w:tcPr>
            <w:tcW w:w="3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r>
        <w:trPr>
          <w:trHeight w:val="418"/>
        </w:trPr>
        <w:tc>
          <w:tcPr>
            <w:tcW w:w="5180" w:type="dxa"/>
            <w:vAlign w:val="bottom"/>
            <w:gridSpan w:val="2"/>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52"/>
        </w:trPr>
        <w:tc>
          <w:tcPr>
            <w:tcW w:w="5180" w:type="dxa"/>
            <w:vAlign w:val="bottom"/>
            <w:gridSpan w:val="2"/>
          </w:tcPr>
          <w:p>
            <w:pPr>
              <w:spacing w:after="0"/>
              <w:rPr>
                <w:sz w:val="20"/>
                <w:szCs w:val="20"/>
                <w:color w:val="auto"/>
              </w:rPr>
            </w:pPr>
            <w:r>
              <w:rPr>
                <w:rFonts w:ascii="Arial" w:cs="Arial" w:eastAsia="Arial" w:hAnsi="Arial"/>
                <w:sz w:val="18"/>
                <w:szCs w:val="18"/>
                <w:color w:val="auto"/>
              </w:rPr>
              <w:t>Title of each class to be so registered</w:t>
            </w:r>
          </w:p>
        </w:tc>
        <w:tc>
          <w:tcPr>
            <w:tcW w:w="6060" w:type="dxa"/>
            <w:vAlign w:val="bottom"/>
            <w:gridSpan w:val="3"/>
          </w:tcPr>
          <w:p>
            <w:pPr>
              <w:spacing w:after="0"/>
              <w:rPr>
                <w:sz w:val="20"/>
                <w:szCs w:val="20"/>
                <w:color w:val="auto"/>
              </w:rPr>
            </w:pPr>
            <w:r>
              <w:rPr>
                <w:rFonts w:ascii="Arial" w:cs="Arial" w:eastAsia="Arial" w:hAnsi="Arial"/>
                <w:sz w:val="18"/>
                <w:szCs w:val="18"/>
                <w:color w:val="auto"/>
              </w:rPr>
              <w:t>Name of each exchange on which each class is to be registered</w:t>
            </w:r>
          </w:p>
        </w:tc>
      </w:tr>
      <w:tr>
        <w:trPr>
          <w:trHeight w:val="202"/>
        </w:trPr>
        <w:tc>
          <w:tcPr>
            <w:tcW w:w="4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American Depositary Shares (“ADSs”), each representing one</w:t>
            </w:r>
          </w:p>
        </w:tc>
        <w:tc>
          <w:tcPr>
            <w:tcW w:w="220" w:type="dxa"/>
            <w:vAlign w:val="bottom"/>
          </w:tcPr>
          <w:p>
            <w:pPr>
              <w:spacing w:after="0"/>
              <w:rPr>
                <w:sz w:val="17"/>
                <w:szCs w:val="17"/>
                <w:color w:val="auto"/>
              </w:rPr>
            </w:pPr>
          </w:p>
        </w:tc>
        <w:tc>
          <w:tcPr>
            <w:tcW w:w="60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The Nasdaq Stock Market, LLC</w:t>
            </w: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ordinary share</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5180" w:type="dxa"/>
            <w:vAlign w:val="bottom"/>
            <w:gridSpan w:val="2"/>
          </w:tcPr>
          <w:p>
            <w:pPr>
              <w:spacing w:after="0"/>
              <w:rPr>
                <w:sz w:val="20"/>
                <w:szCs w:val="20"/>
                <w:color w:val="auto"/>
              </w:rPr>
            </w:pPr>
            <w:r>
              <w:rPr>
                <w:rFonts w:ascii="Arial" w:cs="Arial" w:eastAsia="Arial" w:hAnsi="Arial"/>
                <w:sz w:val="18"/>
                <w:szCs w:val="18"/>
                <w:color w:val="auto"/>
              </w:rPr>
              <w:t>Ordinary shares, with no par value per share*</w:t>
            </w:r>
          </w:p>
        </w:tc>
        <w:tc>
          <w:tcPr>
            <w:tcW w:w="6060" w:type="dxa"/>
            <w:vAlign w:val="bottom"/>
            <w:gridSpan w:val="3"/>
          </w:tcPr>
          <w:p>
            <w:pPr>
              <w:spacing w:after="0"/>
              <w:rPr>
                <w:sz w:val="20"/>
                <w:szCs w:val="20"/>
                <w:color w:val="auto"/>
              </w:rPr>
            </w:pPr>
            <w:r>
              <w:rPr>
                <w:rFonts w:ascii="Arial" w:cs="Arial" w:eastAsia="Arial" w:hAnsi="Arial"/>
                <w:sz w:val="18"/>
                <w:szCs w:val="18"/>
                <w:color w:val="auto"/>
              </w:rPr>
              <w:t>The Nasdaq Stock Market, LLC*</w:t>
            </w:r>
          </w:p>
        </w:tc>
      </w:tr>
    </w:tbl>
    <w:p>
      <w:pPr>
        <w:spacing w:after="0" w:line="202" w:lineRule="exact"/>
        <w:rPr>
          <w:sz w:val="24"/>
          <w:szCs w:val="24"/>
          <w:color w:val="auto"/>
        </w:rPr>
      </w:pPr>
    </w:p>
    <w:p>
      <w:pPr>
        <w:jc w:val="both"/>
        <w:ind w:firstLine="8"/>
        <w:spacing w:after="0" w:line="311" w:lineRule="auto"/>
        <w:tabs>
          <w:tab w:leader="none" w:pos="141" w:val="left"/>
        </w:tabs>
        <w:numPr>
          <w:ilvl w:val="0"/>
          <w:numId w:val="1"/>
        </w:numPr>
        <w:rPr>
          <w:rFonts w:ascii="Arial" w:cs="Arial" w:eastAsia="Arial" w:hAnsi="Arial"/>
          <w:sz w:val="16"/>
          <w:szCs w:val="16"/>
          <w:color w:val="auto"/>
        </w:rPr>
      </w:pPr>
      <w:r>
        <w:rPr>
          <w:rFonts w:ascii="Arial" w:cs="Arial" w:eastAsia="Arial" w:hAnsi="Arial"/>
          <w:sz w:val="16"/>
          <w:szCs w:val="16"/>
          <w:color w:val="auto"/>
        </w:rPr>
        <w:t>Not for trading, but only in connection with the listing of the ADSs on the Nasdaq Capital Market. The ADSs represent the right to receive the ordinary shares and are being registered under the Securities Act of 1933, as amended pursuant to a separate Registration Statement on Form F-6. Accordingly, the ADSs are exempt from registration under Section 12(b) of the Securities Exchange Act of 1934, as amended, pursuant to Rule 12a-8 thereunder.</w:t>
      </w:r>
    </w:p>
    <w:p>
      <w:pPr>
        <w:spacing w:after="0" w:line="14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please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number or Regulation A offering statement number to which this form relates: </w:t>
      </w:r>
      <w:r>
        <w:rPr>
          <w:rFonts w:ascii="Arial" w:cs="Arial" w:eastAsia="Arial" w:hAnsi="Arial"/>
          <w:sz w:val="18"/>
          <w:szCs w:val="18"/>
          <w:u w:val="single" w:color="auto"/>
          <w:color w:val="auto"/>
        </w:rPr>
        <w:t>333-260923</w:t>
      </w:r>
      <w:r>
        <w:rPr>
          <w:rFonts w:ascii="Arial" w:cs="Arial" w:eastAsia="Arial" w:hAnsi="Arial"/>
          <w:sz w:val="18"/>
          <w:szCs w:val="18"/>
          <w:color w:val="auto"/>
        </w:rPr>
        <w:t xml:space="preserve"> (if applicable)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description of the securities being registered pursuant to this Form 8-A will be contained in a prospectus that forms a part of the registrant’s Registration Statement on Form F-1 (Registration No. 333-260923, the “Registration Statement”) and is incorporated by reference into this Form 8-A. Any form of prospectus or prospectus supplement subsequently filed pursuant to the Securities Act of 1933, as amended, or the rules and regulations of the Securities and Exchange Commission promulgated thereunder relating to the Registration Statement that includes such descriptions are also incorporated by reference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Instructions as to Exhibits for Form 8-A, no exhibits are required to be filed with this Form 8-A because no other securities of the registrant are registered on The Nasdaq Stock Market LLC and the securities registered pursuant to this Form 8-A are not being registered pursuant to Section 12(g) of the Securities Exchange Act of 1934, as amended.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GENENTA SCIENCE S.P.A.</w:t>
      </w:r>
    </w:p>
    <w:p>
      <w:pPr>
        <w:spacing w:after="0" w:line="225"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December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Richard Slansky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Richard Slansky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66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2021-12-01T15:14:53Z</dcterms:created>
  <dcterms:modified xsi:type="dcterms:W3CDTF">2021-12-01T15:14:53Z</dcterms:modified>
</cp:coreProperties>
</file>