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29,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Republic of Italy</w:t>
            </w:r>
          </w:p>
        </w:tc>
        <w:tc>
          <w:tcPr>
            <w:tcW w:w="35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Pierluigi Paracchi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+39-02-2643-4681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 2025 Stock Option Plan</w:t>
      </w:r>
    </w:p>
    <w:p>
      <w:pPr>
        <w:spacing w:after="0" w:line="3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+1.800.221.0102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 B. Chilstrom,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Fenwick &amp; West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902 Broadway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430-2600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90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relates to the registration of ordinary shares with no par value per share of Genenta Science S.p.A. (the “Registrant”) issuable under the Registrant’s 2021 – 2025 Stock Option Plan (the “Plan”). The ordinary shares may be represented by American depositary shares (“ADSs”), each representing one ordinary share. ADSs issuable upon deposit of the ordinary shares registered hereby have been registered pursuant to a separate registration statement on Form F-6 (File No. 333-261223).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filing in accordance with the provisions of Rule 428 under the Securities Act of 1933, as amended (the “Securities Act”), and the instructions to Form S-8. The documents containing the information specified in Part I will be delivered to the participants of the Plan as required by Rule 428(b)(1) under the Securities Act, and such documents are not being filed with the Securities and Exchange Commission (the “Commission”) either as part of this Registration Statement or as prospectuses or prospectus supplements pursuant to Rule 424 of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pursuant to the Securities Act and the Securities Exchange Act of 1934, as amended (the “Exchange Act”), are incorporated herein by reference:</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Commission on March 29, 2024;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descriptions of the Registrant’s ordinary shares and ADSs contained in </w:t>
      </w:r>
      <w:hyperlink r:id="rId23">
        <w:r>
          <w:rPr>
            <w:rFonts w:ascii="Times New Roman" w:cs="Times New Roman" w:eastAsia="Times New Roman" w:hAnsi="Times New Roman"/>
            <w:sz w:val="18"/>
            <w:szCs w:val="18"/>
            <w:u w:val="single" w:color="auto"/>
            <w:color w:val="0000EE"/>
          </w:rPr>
          <w:t>Exhibit 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its Annual Report on Form 20-F for the year ended December 31, 2021 filed by the Registrant with the Commission on March May 2, 2022, including any amendment or report filed to update such description and any subsequent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unless expressly incorporated by reference, any information provided in documents that is furnished (rather than filed) or is otherwise not deemed to be filed under applicable Commission rules shall not be deemed to be incorporated by reference in this Registration Statement.</w:t>
      </w:r>
    </w:p>
    <w:p>
      <w:pPr>
        <w:spacing w:after="0" w:line="187"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provide enhanced liability protection for its directors and to attract and retain highly qualified individuals to act as directors, the Registrant’s board of directors has agreed to indemnify each current and future member of the board of directors to the maximum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Registrant and (iii) officers and directors are held liable towards the Registrant.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Index to Exhibits attached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69"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1292" w:right="20" w:firstLine="4"/>
        <w:spacing w:after="0" w:line="282" w:lineRule="auto"/>
        <w:tabs>
          <w:tab w:leader="none" w:pos="16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33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periodic reports filed with or furnished to the Commission by the Registrant pursuant to Section 13 or Section 15(d) of the Exchange Act that are incorporated by reference herein.</w:t>
      </w:r>
    </w:p>
    <w:p>
      <w:pPr>
        <w:spacing w:after="0" w:line="175" w:lineRule="exact"/>
        <w:rPr>
          <w:sz w:val="20"/>
          <w:szCs w:val="20"/>
          <w:color w:val="auto"/>
        </w:rPr>
      </w:pPr>
    </w:p>
    <w:p>
      <w:pPr>
        <w:jc w:val="both"/>
        <w:ind w:left="332" w:hanging="8"/>
        <w:spacing w:after="0" w:line="266" w:lineRule="auto"/>
        <w:tabs>
          <w:tab w:leader="none" w:pos="6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32" w:right="20" w:hanging="8"/>
        <w:spacing w:after="0" w:line="282" w:lineRule="auto"/>
        <w:tabs>
          <w:tab w:leader="none" w:pos="58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60" w:type="dxa"/>
            <w:vAlign w:val="bottom"/>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4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3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Deed of Incorporation of Genenta Science S.p.A. (incorporated by reference to Exhibit 3.1 to the Registrant’s Registration Statement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F-1 (File No. 333-260923))</w:t>
              </w:r>
            </w:hyperlink>
          </w:p>
        </w:tc>
        <w:tc>
          <w:tcPr>
            <w:tcW w:w="772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Bylaws of Genenta Science S.p.A. (incorporated by reference to Exhibit 3.2 to the Registrant’s Annual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20-F for the year ended December 31,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Deposit Agreement dated December 17, 2021 between the Registrant and The Bank of New York Mellon, as depositary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reference to Exhibit 4.1 to the Registrant’s Registration Statement on Form F-1 (File No. 333-260923))</w:t>
              </w:r>
            </w:hyperlink>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4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American Depositary Receipt (included in Exhibit 4.1)</w:t>
              </w:r>
            </w:hyperlink>
          </w:p>
        </w:tc>
        <w:tc>
          <w:tcPr>
            <w:tcW w:w="27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Giovanelli and Associates, Italian counsel to the Registrant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Genenta Science S.p.A. 2021 – 2025 Stock Option Plan (incorporated by reference to Exhibit 10.8 to the Registrant’s Registration Statement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on Form F-1 (File No. 333-260923))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Dannible &amp; McKee, LLP.</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Giovanelli and Associates (included in Exhibit 5.1)</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3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the signature page)</w:t>
            </w:r>
          </w:p>
        </w:tc>
        <w:tc>
          <w:tcPr>
            <w:tcW w:w="800" w:type="dxa"/>
            <w:vAlign w:val="bottom"/>
            <w:tcBorders>
              <w:top w:val="single" w:sz="8" w:color="0000EE"/>
            </w:tcBorders>
          </w:tcPr>
          <w:p>
            <w:pPr>
              <w:spacing w:after="0"/>
              <w:rPr>
                <w:sz w:val="24"/>
                <w:szCs w:val="24"/>
                <w:color w:val="auto"/>
              </w:rPr>
            </w:pPr>
          </w:p>
        </w:tc>
        <w:tc>
          <w:tcPr>
            <w:tcW w:w="5560" w:type="dxa"/>
            <w:vAlign w:val="bottom"/>
            <w:gridSpan w:val="3"/>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57"/>
        </w:trPr>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top w:val="single" w:sz="8" w:color="0000EE"/>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r>
    </w:tbl>
    <w:p>
      <w:pPr>
        <w:spacing w:after="0" w:line="21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Milan, Italy on the 29th day of March,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Pierluigi Paracchi and Richard Slansky,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40" w:type="dxa"/>
            <w:vAlign w:val="bottom"/>
          </w:tcPr>
          <w:p>
            <w:pPr>
              <w:spacing w:after="0"/>
              <w:rPr>
                <w:sz w:val="22"/>
                <w:szCs w:val="22"/>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2"/>
                <w:szCs w:val="22"/>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53"/>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2024</w:t>
            </w:r>
          </w:p>
        </w:tc>
      </w:tr>
      <w:tr>
        <w:trPr>
          <w:trHeight w:val="234"/>
        </w:trPr>
        <w:tc>
          <w:tcPr>
            <w:tcW w:w="340" w:type="dxa"/>
            <w:vAlign w:val="bottom"/>
          </w:tcPr>
          <w:p>
            <w:pPr>
              <w:spacing w:after="0"/>
              <w:rPr>
                <w:sz w:val="20"/>
                <w:szCs w:val="20"/>
                <w:color w:val="auto"/>
              </w:rPr>
            </w:pPr>
          </w:p>
        </w:tc>
        <w:tc>
          <w:tcPr>
            <w:tcW w:w="3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240" w:type="dxa"/>
            <w:vAlign w:val="bottom"/>
          </w:tcPr>
          <w:p>
            <w:pPr>
              <w:spacing w:after="0"/>
              <w:rPr>
                <w:sz w:val="20"/>
                <w:szCs w:val="20"/>
                <w:color w:val="auto"/>
              </w:rPr>
            </w:pPr>
          </w:p>
        </w:tc>
        <w:tc>
          <w:tcPr>
            <w:tcW w:w="37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9"/>
              </w:rPr>
              <w:t>(Principal Executive Officer)</w:t>
            </w:r>
          </w:p>
        </w:tc>
        <w:tc>
          <w:tcPr>
            <w:tcW w:w="3460" w:type="dxa"/>
            <w:vAlign w:val="bottom"/>
          </w:tcPr>
          <w:p>
            <w:pPr>
              <w:spacing w:after="0"/>
              <w:rPr>
                <w:sz w:val="20"/>
                <w:szCs w:val="20"/>
                <w:color w:val="auto"/>
              </w:rPr>
            </w:pPr>
          </w:p>
        </w:tc>
      </w:tr>
      <w:tr>
        <w:trPr>
          <w:trHeight w:val="43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Richard B. Slansky</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2024</w:t>
            </w:r>
          </w:p>
        </w:tc>
      </w:tr>
      <w:tr>
        <w:trPr>
          <w:trHeight w:val="184"/>
        </w:trPr>
        <w:tc>
          <w:tcPr>
            <w:tcW w:w="340" w:type="dxa"/>
            <w:vAlign w:val="bottom"/>
          </w:tcPr>
          <w:p>
            <w:pPr>
              <w:spacing w:after="0"/>
              <w:rPr>
                <w:sz w:val="16"/>
                <w:szCs w:val="16"/>
                <w:color w:val="auto"/>
              </w:rPr>
            </w:pPr>
          </w:p>
        </w:tc>
        <w:tc>
          <w:tcPr>
            <w:tcW w:w="3480" w:type="dxa"/>
            <w:vAlign w:val="bottom"/>
            <w:tcBorders>
              <w:top w:val="single" w:sz="8" w:color="auto"/>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Richard B. Slansky</w:t>
            </w:r>
          </w:p>
        </w:tc>
        <w:tc>
          <w:tcPr>
            <w:tcW w:w="240" w:type="dxa"/>
            <w:vAlign w:val="bottom"/>
          </w:tcPr>
          <w:p>
            <w:pPr>
              <w:spacing w:after="0"/>
              <w:rPr>
                <w:sz w:val="16"/>
                <w:szCs w:val="16"/>
                <w:color w:val="auto"/>
              </w:rPr>
            </w:pPr>
          </w:p>
        </w:tc>
        <w:tc>
          <w:tcPr>
            <w:tcW w:w="37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34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460" w:type="dxa"/>
            <w:vAlign w:val="bottom"/>
          </w:tcPr>
          <w:p>
            <w:pPr>
              <w:spacing w:after="0"/>
              <w:rPr>
                <w:sz w:val="20"/>
                <w:szCs w:val="20"/>
                <w:color w:val="auto"/>
              </w:rPr>
            </w:pPr>
          </w:p>
        </w:tc>
      </w:tr>
      <w:tr>
        <w:trPr>
          <w:trHeight w:val="453"/>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Sirgo</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2024</w:t>
            </w:r>
          </w:p>
        </w:tc>
      </w:tr>
      <w:tr>
        <w:trPr>
          <w:trHeight w:val="234"/>
        </w:trPr>
        <w:tc>
          <w:tcPr>
            <w:tcW w:w="340" w:type="dxa"/>
            <w:vAlign w:val="bottom"/>
          </w:tcPr>
          <w:p>
            <w:pPr>
              <w:spacing w:after="0"/>
              <w:rPr>
                <w:sz w:val="20"/>
                <w:szCs w:val="20"/>
                <w:color w:val="auto"/>
              </w:rPr>
            </w:pPr>
          </w:p>
        </w:tc>
        <w:tc>
          <w:tcPr>
            <w:tcW w:w="3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Mark Sirgo</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Roger Abravanel</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2024</w:t>
            </w:r>
          </w:p>
        </w:tc>
      </w:tr>
      <w:tr>
        <w:trPr>
          <w:trHeight w:val="234"/>
        </w:trPr>
        <w:tc>
          <w:tcPr>
            <w:tcW w:w="340" w:type="dxa"/>
            <w:vAlign w:val="bottom"/>
          </w:tcPr>
          <w:p>
            <w:pPr>
              <w:spacing w:after="0"/>
              <w:rPr>
                <w:sz w:val="20"/>
                <w:szCs w:val="20"/>
                <w:color w:val="auto"/>
              </w:rPr>
            </w:pPr>
          </w:p>
        </w:tc>
        <w:tc>
          <w:tcPr>
            <w:tcW w:w="3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Roger Abravanel</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Guido Guidi</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2024</w:t>
            </w:r>
          </w:p>
        </w:tc>
      </w:tr>
      <w:tr>
        <w:trPr>
          <w:trHeight w:val="234"/>
        </w:trPr>
        <w:tc>
          <w:tcPr>
            <w:tcW w:w="340" w:type="dxa"/>
            <w:vAlign w:val="bottom"/>
          </w:tcPr>
          <w:p>
            <w:pPr>
              <w:spacing w:after="0"/>
              <w:rPr>
                <w:sz w:val="20"/>
                <w:szCs w:val="20"/>
                <w:color w:val="auto"/>
              </w:rPr>
            </w:pPr>
          </w:p>
        </w:tc>
        <w:tc>
          <w:tcPr>
            <w:tcW w:w="3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Guido Guidi</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Anthony Marucci</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2024</w:t>
            </w:r>
          </w:p>
        </w:tc>
      </w:tr>
      <w:tr>
        <w:trPr>
          <w:trHeight w:val="234"/>
        </w:trPr>
        <w:tc>
          <w:tcPr>
            <w:tcW w:w="340" w:type="dxa"/>
            <w:vAlign w:val="bottom"/>
          </w:tcPr>
          <w:p>
            <w:pPr>
              <w:spacing w:after="0"/>
              <w:rPr>
                <w:sz w:val="20"/>
                <w:szCs w:val="20"/>
                <w:color w:val="auto"/>
              </w:rPr>
            </w:pPr>
          </w:p>
        </w:tc>
        <w:tc>
          <w:tcPr>
            <w:tcW w:w="3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Marucci</w:t>
            </w:r>
          </w:p>
        </w:tc>
        <w:tc>
          <w:tcPr>
            <w:tcW w:w="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21"/>
        </w:trPr>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the undersigned, Cogency Global Inc., the duly authorized representative in the United States of Genenta Science S.p.A., has signed this Registration Statement on March 29,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Colleen A. De Vries</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156845</wp:posOffset>
            </wp:positionV>
            <wp:extent cx="2263140" cy="65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22631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Olgettina, 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20132 - Milan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Genenta Science S.p.A. – Registration Statement on Form S-8</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We have acted as Italian legal advisers to Genenta Science S.p.A., a joint stock company incorporated under Italian law with its registered office at Via Olgettina 58, 20132, Milan, Italy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of 2,700,000 ordinary shares without par value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be issued by the Company under the “</w:t>
      </w:r>
      <w:r>
        <w:rPr>
          <w:rFonts w:ascii="Times New Roman" w:cs="Times New Roman" w:eastAsia="Times New Roman" w:hAnsi="Times New Roman"/>
          <w:sz w:val="18"/>
          <w:szCs w:val="18"/>
          <w:i w:val="1"/>
          <w:iCs w:val="1"/>
          <w:color w:val="auto"/>
        </w:rPr>
        <w:t>2021 – 2025 Equity Incentive Plan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This opinion is being furnished 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by the Company today with the Securities and Exchange Commission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promulgated thereunder.</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For the purpose of giving the opinion set forth below, we have examined the following documents (the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160" w:hanging="50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currently effective bylaws;</w:t>
      </w:r>
    </w:p>
    <w:p>
      <w:pPr>
        <w:spacing w:after="0" w:line="225"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160" w:hanging="504"/>
        <w:spacing w:after="0" w:line="28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copy of the resolutions passed by the extraordinary shareholders’ meeting of the Company on May 20, 2021 pursuant to which it was resolved,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increase the share capital of the Company to the service of the Plan (the “</w:t>
      </w:r>
      <w:r>
        <w:rPr>
          <w:rFonts w:ascii="Times New Roman" w:cs="Times New Roman" w:eastAsia="Times New Roman" w:hAnsi="Times New Roman"/>
          <w:sz w:val="18"/>
          <w:szCs w:val="18"/>
          <w:b w:val="1"/>
          <w:bCs w:val="1"/>
          <w:color w:val="auto"/>
        </w:rPr>
        <w:t>Capital Increase Resolution</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160" w:hanging="504"/>
        <w:spacing w:after="0" w:line="284"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copy of the resolutions passed by the Board of Directors meeting of the Company on May 20, 2021 pursuant to which it was resolved,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to adopt the regulation of the Plan (the “</w:t>
      </w:r>
      <w:r>
        <w:rPr>
          <w:rFonts w:ascii="Times New Roman" w:cs="Times New Roman" w:eastAsia="Times New Roman" w:hAnsi="Times New Roman"/>
          <w:sz w:val="18"/>
          <w:szCs w:val="18"/>
          <w:b w:val="1"/>
          <w:bCs w:val="1"/>
          <w:color w:val="auto"/>
        </w:rPr>
        <w:t>Plan Resolution</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left="1160" w:hanging="504"/>
        <w:spacing w:after="0" w:line="266"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copy of the resolutions passed by the extraordinary shareholders’ meeting of the Company on June 13, 2023 pursuant to which it was resolved,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extend the final term of the capital increase to the service of the Plan from December 31, 2025 to December 31, 2035 (the “</w:t>
      </w:r>
      <w:r>
        <w:rPr>
          <w:rFonts w:ascii="Times New Roman" w:cs="Times New Roman" w:eastAsia="Times New Roman" w:hAnsi="Times New Roman"/>
          <w:sz w:val="18"/>
          <w:szCs w:val="18"/>
          <w:b w:val="1"/>
          <w:bCs w:val="1"/>
          <w:color w:val="auto"/>
        </w:rPr>
        <w:t>Capital Increase Extension Resolution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160" w:hanging="504"/>
        <w:spacing w:after="0" w:line="261"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copy of the resolutions passed by the Board of Directors meeting of the Company on March 28, 2024 pursuant to which it was resolved,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amend the regulation of the Plan to allow issuance of stock options having an exercise period of 10 years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Amendment Resolution</w:t>
      </w:r>
      <w:r>
        <w:rPr>
          <w:rFonts w:ascii="Times New Roman" w:cs="Times New Roman" w:eastAsia="Times New Roman" w:hAnsi="Times New Roman"/>
          <w:sz w:val="18"/>
          <w:szCs w:val="18"/>
          <w:color w:val="auto"/>
        </w:rPr>
        <w:t>”, and, together with the Capital Increase Resolution, the Plan Resolution and the Capital Increase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VIA DEI BOSSI, 4 – 20121 MILANO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TEL.: +39 02 9769 7800 – FAX: +39 02 8718 1445</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CODICE FISCALE E P.IVA (VAT NO.): 08347040969</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448945</wp:posOffset>
            </wp:positionV>
            <wp:extent cx="2263140" cy="651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263140" cy="651510"/>
                    </a:xfrm>
                    <a:prstGeom prst="rect">
                      <a:avLst/>
                    </a:prstGeom>
                    <a:noFill/>
                  </pic:spPr>
                </pic:pic>
              </a:graphicData>
            </a:graphic>
          </wp:anchor>
        </w:drawing>
      </w:r>
    </w:p>
    <w:p>
      <w:pPr>
        <w:spacing w:after="0" w:line="291" w:lineRule="exact"/>
        <w:rPr>
          <w:sz w:val="20"/>
          <w:szCs w:val="20"/>
          <w:color w:val="auto"/>
        </w:rPr>
      </w:pPr>
    </w:p>
    <w:p>
      <w:pPr>
        <w:ind w:left="1160" w:hanging="504"/>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of the Plan as last amended according to the Plan Amendment Resolution.</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We have made no searches or enquiries concerning the Company or any other person or entity, and we have examined no corporate records of the foresaid, save for those searches, enquiries, instruments, documents, or corporate records expressly specified as being made or examined in this opinion. Subject to the foregoing, we have reviewed exclusively those provisions of the law of the Republic of Italy that we have considered appropriate for the purpose of this opinion.</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p>
      <w:pPr>
        <w:spacing w:after="0" w:line="17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giving this opinion, we have assumed that:</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w:t>
        <w:tab/>
        <w:t>all Documents submitted to us as copy or specimen documents are conformed to their originals, and the originals are genuine, updated and complete;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 signatures stamps and seals on the originals of all Documents submitted to us are genuine;</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2.1.3.</w:t>
        <w:tab/>
        <w:t>where a Document has been examined by us in draft, specimen or certificated form, it has been or will be executed in the form of that draft, specimen or certificate;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2.1.4.</w:t>
        <w:tab/>
        <w:t>the accuracy as to factual matters of each Document we have reviewed;</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2.1.5.</w:t>
        <w:tab/>
        <w:t>all statements contained in the Registration Statement and in the Documents were true and accurate when made and remain true and accurate;</w:t>
      </w:r>
    </w:p>
    <w:p>
      <w:pPr>
        <w:spacing w:after="0" w:line="16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2.1.6.</w:t>
        <w:tab/>
        <w:t>where a document is required to be delivered, each party to it has delivered the same without it being subject to any escrow or other similar arrangement;</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2.1.7.</w:t>
        <w:tab/>
        <w:t>each director of the Company has disclosed any interest which he or she may have in the transactions contemplated by the Resolutions in accordance with the provisions of Article 2391 of the Italian Civil Code;</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2.1.8.</w:t>
        <w:tab/>
        <w:t>the meeting of the Company’s Board of Directors and the extraordinary shareholders’ meeting of the Company referred to above were duly convened and held and all formalities required to be fulfilled prior to the convening of such meetings were fulfilled, and the Resolutions have been duly passed and up to the date hereof has not been revoked, superseded, challenged, or amended, in full or in part, and is still in force</w:t>
      </w:r>
    </w:p>
    <w:p>
      <w:pPr>
        <w:spacing w:after="0" w:line="180" w:lineRule="exact"/>
        <w:rPr>
          <w:sz w:val="20"/>
          <w:szCs w:val="20"/>
          <w:color w:val="auto"/>
        </w:rPr>
      </w:pPr>
    </w:p>
    <w:tbl>
      <w:tblPr>
        <w:tblLayout w:type="fixed"/>
        <w:tblInd w:w="4320" w:type="dxa"/>
        <w:tblCellMar>
          <w:top w:w="0" w:type="dxa"/>
          <w:left w:w="0" w:type="dxa"/>
          <w:bottom w:w="0" w:type="dxa"/>
          <w:right w:w="0" w:type="dxa"/>
        </w:tblCellMar>
      </w:tblP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VIA DEI BOSSI, 4 – 20121 MILANO</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jc w:val="center"/>
        <w:ind w:right="100"/>
        <w:spacing w:after="0"/>
        <w:rPr>
          <w:sz w:val="20"/>
          <w:szCs w:val="20"/>
          <w:color w:val="auto"/>
        </w:rPr>
      </w:pPr>
      <w:r>
        <w:rPr>
          <w:rFonts w:ascii="Times New Roman" w:cs="Times New Roman" w:eastAsia="Times New Roman" w:hAnsi="Times New Roman"/>
          <w:sz w:val="16"/>
          <w:szCs w:val="16"/>
          <w:color w:val="auto"/>
        </w:rPr>
        <w:t>TEL.: +39 02 9769 7800 – FAX: +39 02 8718 1445</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CODICE FISCALE E P.IVA (VAT NO.): 08347040969</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448945</wp:posOffset>
            </wp:positionV>
            <wp:extent cx="2263140" cy="651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263140" cy="651510"/>
                    </a:xfrm>
                    <a:prstGeom prst="rect">
                      <a:avLst/>
                    </a:prstGeom>
                    <a:noFill/>
                  </pic:spPr>
                </pic:pic>
              </a:graphicData>
            </a:graphic>
          </wp:anchor>
        </w:drawing>
      </w:r>
    </w:p>
    <w:p>
      <w:pPr>
        <w:spacing w:after="0" w:line="291"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2.1.9.</w:t>
        <w:tab/>
        <w:t>the Ordinary Shares are and will be issued to the beneficiaries of the Plan in accordance with the Resolutions and the Board of Directors will duly adopt any resolutions and/or activities necessary to carry out the authorized capital increase, in one or more tranches, for the issuance of the Ordinary Shares to the beneficiaries of the Plan in accordance with the Capital Increase Resolution, as amended by the Capital Increase Extension Resolution;</w:t>
      </w:r>
    </w:p>
    <w:p>
      <w:pPr>
        <w:spacing w:after="0" w:line="18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2.1.10.</w:t>
        <w:tab/>
        <w:t>no offer whatsoever of Ordinary Shares will take place in the Republic of Italy and/or in the European Union or, in the event such offer takes place in the Republic of Italy and/or in the European Union, the same will not be qualified as offer to the public, pursuant to article 100 of Legislative Decree 58/1998, article 34-</w:t>
      </w:r>
      <w:r>
        <w:rPr>
          <w:rFonts w:ascii="Times New Roman" w:cs="Times New Roman" w:eastAsia="Times New Roman" w:hAnsi="Times New Roman"/>
          <w:sz w:val="18"/>
          <w:szCs w:val="18"/>
          <w:i w:val="1"/>
          <w:iCs w:val="1"/>
          <w:color w:val="auto"/>
        </w:rPr>
        <w:t>ter</w:t>
      </w:r>
      <w:r>
        <w:rPr>
          <w:rFonts w:ascii="Times New Roman" w:cs="Times New Roman" w:eastAsia="Times New Roman" w:hAnsi="Times New Roman"/>
          <w:sz w:val="18"/>
          <w:szCs w:val="18"/>
          <w:color w:val="auto"/>
        </w:rPr>
        <w:t xml:space="preserve"> of the Consob Regulations 11971/99 and article 1, paragraph 4, of Regulation (EU) 2017/1129, as amended from time to time;</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2.1.11.</w:t>
        <w:tab/>
        <w:t>for the purposes of this opinion, the term “non-assessable” used under paragraph 3.1 below means that the owner of the Ordinary Shares cannot be required by the Company to pay additional amounts for its Ordinary Shares once the subscription price is fully and duly paid; and</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2.1.12.</w:t>
        <w:tab/>
        <w:t>there are no facts, documents, circumstances or matters which may be material to the opinions set out herein and which have not been disclosed to us by the Company, notwithstanding our reasonable inquiry.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We express no opinion as to any laws other than the laws of Italy in force at the date hereof and we have assumed that none of the opinions expressed below will be affected by the laws of any jurisdiction other than the Republic of Italy.</w:t>
      </w:r>
    </w:p>
    <w:p>
      <w:pPr>
        <w:spacing w:after="0" w:line="15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Based and relying upon the foregoing and subject to the assumptions, qualifications and reservations contained herein and to any matter not disclosed to us, we are of the opinion that the extraordinary shareholders’ meetings of the Company which adopted the Capital Increase Resolution and the Capital Increase Extension Resolution have duly authorized the issuance of the Ordinary Shares and, upon exercise by the Company’s Board of Directors of the powers delegated to it by such extraordinary shareholders’ meetings to carry out the authorized capital increase in one or more tranches, the Ordinary Shares, if and when issued and paid for in accordance with the terms of the Plan, will be validly issued, fully paid and non-assessable.</w:t>
      </w:r>
    </w:p>
    <w:p>
      <w:pPr>
        <w:spacing w:after="0" w:line="18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are giving no opinion either as to (i) the contents of the Registration Statement (including any documents incorporated by reference therein), or</w:t>
      </w:r>
    </w:p>
    <w:p>
      <w:pPr>
        <w:spacing w:after="0" w:line="27" w:lineRule="exact"/>
        <w:rPr>
          <w:sz w:val="20"/>
          <w:szCs w:val="20"/>
          <w:color w:val="auto"/>
        </w:rPr>
      </w:pPr>
    </w:p>
    <w:p>
      <w:pPr>
        <w:ind w:left="660" w:hanging="4"/>
        <w:spacing w:after="0" w:line="260" w:lineRule="auto"/>
        <w:tabs>
          <w:tab w:leader="none" w:pos="9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liquidation, reorganization moratorium and similar laws of general applicability relating to or affecting the rights of creditors of the Company in general.</w:t>
      </w:r>
    </w:p>
    <w:p>
      <w:pPr>
        <w:spacing w:after="0" w:line="18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It should be understood that (i) the opinions expressed above are based upon our examination of the Documents listed under point 1.3 above, as applicable, and (ii) we have not been responsible for investigating or verifying the accuracy of the facts or statements of foreign law or that no material facts have been omitted from them and express no opinion with respect thereto.</w:t>
      </w:r>
    </w:p>
    <w:p>
      <w:pPr>
        <w:spacing w:after="0" w:line="176" w:lineRule="exact"/>
        <w:rPr>
          <w:sz w:val="20"/>
          <w:szCs w:val="20"/>
          <w:color w:val="auto"/>
        </w:rPr>
      </w:pPr>
    </w:p>
    <w:tbl>
      <w:tblPr>
        <w:tblLayout w:type="fixed"/>
        <w:tblInd w:w="4320" w:type="dxa"/>
        <w:tblCellMar>
          <w:top w:w="0" w:type="dxa"/>
          <w:left w:w="0" w:type="dxa"/>
          <w:bottom w:w="0" w:type="dxa"/>
          <w:right w:w="0" w:type="dxa"/>
        </w:tblCellMar>
      </w:tblP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VIA DEI BOSSI, 4 – 20121 MILANO</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jc w:val="center"/>
        <w:ind w:right="100"/>
        <w:spacing w:after="0"/>
        <w:rPr>
          <w:sz w:val="20"/>
          <w:szCs w:val="20"/>
          <w:color w:val="auto"/>
        </w:rPr>
      </w:pPr>
      <w:r>
        <w:rPr>
          <w:rFonts w:ascii="Times New Roman" w:cs="Times New Roman" w:eastAsia="Times New Roman" w:hAnsi="Times New Roman"/>
          <w:sz w:val="16"/>
          <w:szCs w:val="16"/>
          <w:color w:val="auto"/>
        </w:rPr>
        <w:t>TEL.: +39 02 9769 7800 – FAX: +39 02 8718 1445</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CODICE FISCALE E P.IVA (VAT NO.): 08347040969</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448945</wp:posOffset>
            </wp:positionV>
            <wp:extent cx="2263140" cy="651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263140" cy="651510"/>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 given on the basis that there will be no amendment to or termination or replacement of the Documents, referred to above and on the basis of the laws of Italy in force as at the date of this opinion. This opinion is also given on the basis that we undertake no responsibility to notify any addressee of this opinion of any change in the laws of Italy after the date of this opinion. We also disclaim any obligation to advise you of facts, circumstances, events or developments which hereafter may be brought to our attention and which may alter, affect or modify the opinion expressed herein.</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This opinion speaks as of its date and is addressed to you solely for your benefit in connection with the obligations of the Company arising from the offer of the Securities. We consent to the filing of this opinion letter as Exhibit 5.1 to the Registration Statement.</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Any issue of liability connected with our rendering this opinion shall be solely subject to the substantive laws of Italy regardless of any reference to the laws of another jurisdiction pursuant to any applicable rule governing conflicts of laws. Any dispute shall be subject to the exclusive jurisdiction of the Court of Milan.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Giovannelli e Associati</w:t>
      </w:r>
    </w:p>
    <w:p>
      <w:pPr>
        <w:spacing w:after="0" w:line="229" w:lineRule="exact"/>
        <w:rPr>
          <w:sz w:val="20"/>
          <w:szCs w:val="20"/>
          <w:color w:val="auto"/>
        </w:rPr>
      </w:pPr>
    </w:p>
    <w:tbl>
      <w:tblPr>
        <w:tblLayout w:type="fixed"/>
        <w:tblInd w:w="4320" w:type="dxa"/>
        <w:tblCellMar>
          <w:top w:w="0" w:type="dxa"/>
          <w:left w:w="0" w:type="dxa"/>
          <w:bottom w:w="0" w:type="dxa"/>
          <w:right w:w="0" w:type="dxa"/>
        </w:tblCellMar>
      </w:tblP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VIA DEI BOSSI, 4 – 20121 MILANO</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jc w:val="center"/>
        <w:ind w:right="100"/>
        <w:spacing w:after="0"/>
        <w:rPr>
          <w:sz w:val="20"/>
          <w:szCs w:val="20"/>
          <w:color w:val="auto"/>
        </w:rPr>
      </w:pPr>
      <w:r>
        <w:rPr>
          <w:rFonts w:ascii="Times New Roman" w:cs="Times New Roman" w:eastAsia="Times New Roman" w:hAnsi="Times New Roman"/>
          <w:sz w:val="16"/>
          <w:szCs w:val="16"/>
          <w:color w:val="auto"/>
        </w:rPr>
        <w:t>TEL.: +39 02 9769 7800 – FAX: +39 02 8718 1445</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CODICE FISCALE E P.IVA (VAT NO.): 08347040969</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156845</wp:posOffset>
            </wp:positionV>
            <wp:extent cx="5743575" cy="591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74357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29, 2024, relating to the consolidated financial statements of Genenta Science S.p.A appearing on Form 20-F of Genenta Science S.p.A for the year ended December 31, 2023.</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Dannible &amp; McKee,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Dannible &amp; McKee, LLP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Syracuse, New York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142875</wp:posOffset>
            </wp:positionV>
            <wp:extent cx="175704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757045" cy="3003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Registration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0" w:type="dxa"/>
            <w:vAlign w:val="bottom"/>
            <w:gridSpan w:val="7"/>
          </w:tcPr>
          <w:p>
            <w:pPr>
              <w:jc w:val="right"/>
              <w:ind w:right="245"/>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Proposed</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Security Class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Maximum</w:t>
            </w:r>
          </w:p>
        </w:tc>
        <w:tc>
          <w:tcPr>
            <w:tcW w:w="4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Maximum</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Fee Calculation</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rPr>
              <w:t>Offering Price</w:t>
            </w:r>
          </w:p>
        </w:tc>
        <w:tc>
          <w:tcPr>
            <w:tcW w:w="440" w:type="dxa"/>
            <w:vAlign w:val="bottom"/>
          </w:tcPr>
          <w:p>
            <w:pPr>
              <w:spacing w:after="0"/>
              <w:rPr>
                <w:sz w:val="15"/>
                <w:szCs w:val="15"/>
                <w:color w:val="auto"/>
              </w:rPr>
            </w:pPr>
          </w:p>
        </w:tc>
        <w:tc>
          <w:tcPr>
            <w:tcW w:w="14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8"/>
                <w:szCs w:val="18"/>
                <w:color w:val="auto"/>
                <w:w w:val="98"/>
              </w:rPr>
              <w:t>Aggregate</w:t>
            </w:r>
          </w:p>
        </w:tc>
        <w:tc>
          <w:tcPr>
            <w:tcW w:w="134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8"/>
                <w:szCs w:val="18"/>
                <w:color w:val="auto"/>
                <w:w w:val="99"/>
              </w:rPr>
              <w:t>Fee</w:t>
            </w:r>
          </w:p>
        </w:tc>
        <w:tc>
          <w:tcPr>
            <w:tcW w:w="110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7"/>
              </w:rPr>
              <w:t>Registration</w:t>
            </w:r>
          </w:p>
        </w:tc>
        <w:tc>
          <w:tcPr>
            <w:tcW w:w="0" w:type="dxa"/>
            <w:vAlign w:val="bottom"/>
          </w:tcPr>
          <w:p>
            <w:pPr>
              <w:spacing w:after="0"/>
              <w:rPr>
                <w:sz w:val="1"/>
                <w:szCs w:val="1"/>
                <w:color w:val="auto"/>
              </w:rPr>
            </w:pPr>
          </w:p>
        </w:tc>
      </w:tr>
      <w:tr>
        <w:trPr>
          <w:trHeight w:val="277"/>
        </w:trPr>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Security Type</w:t>
            </w:r>
          </w:p>
        </w:tc>
        <w:tc>
          <w:tcPr>
            <w:tcW w:w="1360" w:type="dxa"/>
            <w:vAlign w:val="bottom"/>
            <w:gridSpan w:val="2"/>
          </w:tcPr>
          <w:p>
            <w:pPr>
              <w:jc w:val="center"/>
              <w:ind w:right="240"/>
              <w:spacing w:after="0" w:line="270" w:lineRule="exact"/>
              <w:rPr>
                <w:sz w:val="20"/>
                <w:szCs w:val="20"/>
                <w:color w:val="auto"/>
              </w:rPr>
            </w:pPr>
            <w:r>
              <w:rPr>
                <w:rFonts w:ascii="Times New Roman" w:cs="Times New Roman" w:eastAsia="Times New Roman" w:hAnsi="Times New Roman"/>
                <w:sz w:val="18"/>
                <w:szCs w:val="18"/>
                <w:color w:val="auto"/>
                <w:w w:val="91"/>
              </w:rPr>
              <w:t>Title</w:t>
            </w:r>
            <w:r>
              <w:rPr>
                <w:rFonts w:ascii="Times New Roman" w:cs="Times New Roman" w:eastAsia="Times New Roman" w:hAnsi="Times New Roman"/>
                <w:sz w:val="29"/>
                <w:szCs w:val="29"/>
                <w:color w:val="auto"/>
                <w:w w:val="91"/>
                <w:vertAlign w:val="superscript"/>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220" w:type="dxa"/>
            <w:vAlign w:val="bottom"/>
          </w:tcPr>
          <w:p>
            <w:pPr>
              <w:spacing w:after="0"/>
              <w:rPr>
                <w:sz w:val="24"/>
                <w:szCs w:val="24"/>
                <w:color w:val="auto"/>
              </w:rPr>
            </w:pPr>
          </w:p>
        </w:tc>
        <w:tc>
          <w:tcPr>
            <w:tcW w:w="114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color w:val="auto"/>
                <w:w w:val="94"/>
              </w:rPr>
              <w:t>Registered</w:t>
            </w:r>
            <w:r>
              <w:rPr>
                <w:rFonts w:ascii="Times New Roman" w:cs="Times New Roman" w:eastAsia="Times New Roman" w:hAnsi="Times New Roman"/>
                <w:sz w:val="29"/>
                <w:szCs w:val="29"/>
                <w:color w:val="auto"/>
                <w:w w:val="94"/>
                <w:vertAlign w:val="superscript"/>
              </w:rPr>
              <w:t>(2)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Per Unit</w:t>
            </w:r>
          </w:p>
        </w:tc>
        <w:tc>
          <w:tcPr>
            <w:tcW w:w="44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Offering Price</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tcPr>
          <w:p>
            <w:pPr>
              <w:spacing w:after="0"/>
              <w:rPr>
                <w:sz w:val="24"/>
                <w:szCs w:val="24"/>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Ordinary</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Equity</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shares, no par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320" w:type="dxa"/>
            <w:vAlign w:val="bottom"/>
            <w:shd w:val="clear" w:color="auto" w:fill="CCEEFF"/>
          </w:tcPr>
          <w:p>
            <w:pPr>
              <w:spacing w:after="0"/>
              <w:rPr>
                <w:sz w:val="18"/>
                <w:szCs w:val="18"/>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4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$ 9,666,000.00</w:t>
            </w:r>
          </w:p>
        </w:tc>
        <w:tc>
          <w:tcPr>
            <w:tcW w:w="1340" w:type="dxa"/>
            <w:vAlign w:val="bottom"/>
            <w:gridSpan w:val="2"/>
            <w:vMerge w:val="restart"/>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$ 0.00014760</w:t>
            </w:r>
          </w:p>
        </w:tc>
        <w:tc>
          <w:tcPr>
            <w:tcW w:w="22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1,426.71</w:t>
            </w:r>
          </w:p>
        </w:tc>
        <w:tc>
          <w:tcPr>
            <w:tcW w:w="0" w:type="dxa"/>
            <w:vAlign w:val="bottom"/>
          </w:tcPr>
          <w:p>
            <w:pPr>
              <w:spacing w:after="0"/>
              <w:rPr>
                <w:sz w:val="1"/>
                <w:szCs w:val="1"/>
                <w:color w:val="auto"/>
              </w:rPr>
            </w:pPr>
          </w:p>
        </w:tc>
      </w:tr>
      <w:tr>
        <w:trPr>
          <w:trHeight w:val="167"/>
        </w:trPr>
        <w:tc>
          <w:tcPr>
            <w:tcW w:w="1380" w:type="dxa"/>
            <w:vAlign w:val="bottom"/>
            <w:gridSpan w:val="2"/>
            <w:vMerge w:val="continue"/>
            <w:shd w:val="clear" w:color="auto" w:fill="CCEEFF"/>
          </w:tcPr>
          <w:p>
            <w:pPr>
              <w:spacing w:after="0"/>
              <w:rPr>
                <w:sz w:val="14"/>
                <w:szCs w:val="14"/>
                <w:color w:val="auto"/>
              </w:rPr>
            </w:pPr>
          </w:p>
        </w:tc>
        <w:tc>
          <w:tcPr>
            <w:tcW w:w="1360" w:type="dxa"/>
            <w:vAlign w:val="bottom"/>
            <w:gridSpan w:val="2"/>
            <w:shd w:val="clear" w:color="auto" w:fill="CCEEFF"/>
          </w:tcPr>
          <w:p>
            <w:pPr>
              <w:jc w:val="center"/>
              <w:ind w:right="240"/>
              <w:spacing w:after="0" w:line="167" w:lineRule="exact"/>
              <w:rPr>
                <w:sz w:val="20"/>
                <w:szCs w:val="20"/>
                <w:color w:val="auto"/>
              </w:rPr>
            </w:pPr>
            <w:r>
              <w:rPr>
                <w:rFonts w:ascii="Times New Roman" w:cs="Times New Roman" w:eastAsia="Times New Roman" w:hAnsi="Times New Roman"/>
                <w:sz w:val="18"/>
                <w:szCs w:val="18"/>
                <w:color w:val="auto"/>
              </w:rPr>
              <w:t>value</w:t>
            </w:r>
          </w:p>
        </w:tc>
        <w:tc>
          <w:tcPr>
            <w:tcW w:w="124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8"/>
                <w:szCs w:val="18"/>
                <w:color w:val="auto"/>
                <w:w w:val="99"/>
              </w:rPr>
              <w:t>Rule 457(h)</w:t>
            </w:r>
          </w:p>
        </w:tc>
        <w:tc>
          <w:tcPr>
            <w:tcW w:w="1360" w:type="dxa"/>
            <w:vAlign w:val="bottom"/>
            <w:gridSpan w:val="2"/>
            <w:vMerge w:val="continue"/>
            <w:shd w:val="clear" w:color="auto" w:fill="CCEEFF"/>
          </w:tcPr>
          <w:p>
            <w:pPr>
              <w:spacing w:after="0"/>
              <w:rPr>
                <w:sz w:val="14"/>
                <w:szCs w:val="14"/>
                <w:color w:val="auto"/>
              </w:rPr>
            </w:pPr>
          </w:p>
        </w:tc>
        <w:tc>
          <w:tcPr>
            <w:tcW w:w="32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91"/>
              </w:rPr>
              <w:t>(3)</w:t>
            </w:r>
          </w:p>
        </w:tc>
        <w:tc>
          <w:tcPr>
            <w:tcW w:w="2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440" w:type="dxa"/>
            <w:vAlign w:val="bottom"/>
            <w:vMerge w:val="restart"/>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79"/>
              </w:rPr>
              <w:t>(3)</w:t>
            </w:r>
          </w:p>
        </w:tc>
        <w:tc>
          <w:tcPr>
            <w:tcW w:w="142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2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$ 9,666,000.00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1,426.71</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1,426.71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40" w:hanging="332"/>
        <w:spacing w:after="0" w:line="26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with no par value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of Genenta Science S.p.A.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registered hereby may be represented by American depositary shares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 each representing one Ordinary Share. The ADSs issuable upon deposit of the Ordinary Shares registered hereby have been registered under a registration statement on Form F-6 (File No. 333-261223).</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registers the maximum amount of Ordinary Shares issuable pursuant to the Registrant’s 2021 – 2025 Stock Option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In accordance with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also covers an indeterminate number of additional Ordinary Shares that may be offered and issued to prevent dilution from share splits, share dividends, or similar transactions as provided for in the Plan. Any Ordinary Shares covered by an option granted under the Plan (or portion of an option) that terminates, expires, or lapses for any reason will be deemed not to have been issued for purposes of determining the maximum aggregate number of Ordinary Shares that may be issued under the Plan.</w:t>
      </w:r>
    </w:p>
    <w:p>
      <w:pPr>
        <w:spacing w:after="0" w:line="18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2,700,000 Ordinary Shares issuable upon exercise of options granted under the Plan. The corresponding proposed maximum offering price per share, which is estimated solely for the purposes of calculating the registration fee under Rule 457(h) and Rule 457(c) under the Securities Act, is based on the average of the high and low prices of the ADSs as quoted on the Nasdaq Capital Market on March 28, 2024, a date within five business days prior to the filing date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5BD062C2"/>
    <w:multiLevelType w:val="hybridMultilevel"/>
    <w:lvl w:ilvl="0">
      <w:lvlJc w:val="left"/>
      <w:lvlText w:val="(%1)"/>
      <w:numFmt w:val="lowerRoman"/>
      <w:start w:val="3"/>
    </w:lvl>
  </w:abstractNum>
  <w:abstractNum w:abstractNumId="3">
    <w:nsid w:val="12200854"/>
    <w:multiLevelType w:val="hybridMultilevel"/>
    <w:lvl w:ilvl="0">
      <w:lvlJc w:val="left"/>
      <w:lvlText w:val="%1"/>
      <w:numFmt w:val="lowerLetter"/>
      <w:start w:val="1"/>
    </w:lvl>
    <w:lvl w:ilvl="1">
      <w:lvlJc w:val="left"/>
      <w:lvlText w:val="(%2)"/>
      <w:numFmt w:val="decimal"/>
      <w:start w:val="2"/>
    </w:lvl>
  </w:abstractNum>
  <w:abstractNum w:abstractNumId="4">
    <w:nsid w:val="4DB127F8"/>
    <w:multiLevelType w:val="hybridMultilevel"/>
    <w:lvl w:ilvl="0">
      <w:lvlJc w:val="left"/>
      <w:lvlText w:val="(%1)"/>
      <w:numFmt w:val="lowerLetter"/>
      <w:start w:val="2"/>
    </w:lvl>
    <w:lvl w:ilvl="1">
      <w:lvlJc w:val="left"/>
      <w:lvlText w:val="%2"/>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Roman"/>
      <w:start w:val="7"/>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4"/>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decimal"/>
      <w:start w:val="5"/>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jpeg"/><Relationship Id="rId40" Type="http://schemas.openxmlformats.org/officeDocument/2006/relationships/image" Target="media/image27.png"/><Relationship Id="rId41" Type="http://schemas.openxmlformats.org/officeDocument/2006/relationships/image" Target="media/image28.jpeg"/><Relationship Id="rId42" Type="http://schemas.openxmlformats.org/officeDocument/2006/relationships/image" Target="media/image29.png"/><Relationship Id="rId43" Type="http://schemas.openxmlformats.org/officeDocument/2006/relationships/image" Target="media/image30.jpeg"/><Relationship Id="rId44" Type="http://schemas.openxmlformats.org/officeDocument/2006/relationships/image" Target="media/image31.png"/><Relationship Id="rId45" Type="http://schemas.openxmlformats.org/officeDocument/2006/relationships/image" Target="media/image32.jpeg"/><Relationship Id="rId46" Type="http://schemas.openxmlformats.org/officeDocument/2006/relationships/image" Target="media/image33.png"/><Relationship Id="rId22" Type="http://schemas.openxmlformats.org/officeDocument/2006/relationships/hyperlink" Target="https://www.sec.gov/Archives/edgar/data/1838716/000149315224011999/form20-f.htm" TargetMode="External"/><Relationship Id="rId23" Type="http://schemas.openxmlformats.org/officeDocument/2006/relationships/hyperlink" Target="https://www.sec.gov/Archives/edgar/data/1838716/000149315222011671/ex2-4.htm" TargetMode="External"/><Relationship Id="rId27" Type="http://schemas.openxmlformats.org/officeDocument/2006/relationships/hyperlink" Target="https://www.sec.gov/Archives/edgar/data/1838716/000149315221027683/ex3-1.htm" TargetMode="External"/><Relationship Id="rId28" Type="http://schemas.openxmlformats.org/officeDocument/2006/relationships/hyperlink" Target="https://www.sec.gov/Archives/edgar/data/1838716/000149315223013272/ex3-2.htm" TargetMode="External"/><Relationship Id="rId29" Type="http://schemas.openxmlformats.org/officeDocument/2006/relationships/hyperlink" Target="https://www.sec.gov/Archives/edgar/data/1838716/000149315221027683/ex4-1.htm" TargetMode="External"/><Relationship Id="rId30" Type="http://schemas.openxmlformats.org/officeDocument/2006/relationships/hyperlink" Target="https://www.sec.gov/Archives/edgar/data/1838716/000149315221027683/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2024-03-29T15:57:30Z</dcterms:created>
  <dcterms:modified xsi:type="dcterms:W3CDTF">2024-03-29T15:57:30Z</dcterms:modified>
</cp:coreProperties>
</file>