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333-260923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333-261653</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3,120,114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174625</wp:posOffset>
            </wp:positionV>
            <wp:extent cx="428625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(Including 2,400,000 Ordinary Shares in the Form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60" w:firstLine="648"/>
        <w:spacing w:after="0" w:line="293" w:lineRule="auto"/>
        <w:rPr>
          <w:sz w:val="20"/>
          <w:szCs w:val="20"/>
          <w:color w:val="auto"/>
        </w:rPr>
      </w:pPr>
      <w:r>
        <w:rPr>
          <w:rFonts w:ascii="Arial" w:cs="Arial" w:eastAsia="Arial" w:hAnsi="Arial"/>
          <w:sz w:val="16"/>
          <w:szCs w:val="16"/>
          <w:color w:val="auto"/>
        </w:rPr>
        <w:t>This is a public offering of 3,120,114 ordinary shares with no par value, or ordinary shares, of Genenta S.p.A., which consists of (i) an initial public offering of 2,400,000 ordinary shares in the form of American Depositary Shares, or ADSs, each representing one of our ordinary shares, which we refer to as the “ADS offering,” and (ii) a concurrent offering of 720,114 ordinary shares exclusively offered to existing shareholders in Italy, as a mitigant for the exclusion of pre-emptive rights as resolved by the general shareholders meeting of the company in accordance with Italian corporate law and our by-laws, which we refer to as the “Reserved Offering”. We refer in this prospectus to the ADS offering and the Reserved Offering collectively as the “offering.” Ordinary shares may be offered directly or in the form of ADSs, which likewise may be evidenced by American Depositary Receipts, or ADRs.</w:t>
      </w:r>
    </w:p>
    <w:p>
      <w:pPr>
        <w:spacing w:after="0" w:line="191" w:lineRule="exact"/>
        <w:rPr>
          <w:sz w:val="24"/>
          <w:szCs w:val="24"/>
          <w:color w:val="auto"/>
        </w:rPr>
      </w:pPr>
    </w:p>
    <w:p>
      <w:pPr>
        <w:ind w:right="620" w:firstLine="648"/>
        <w:spacing w:after="0" w:line="277" w:lineRule="auto"/>
        <w:rPr>
          <w:sz w:val="20"/>
          <w:szCs w:val="20"/>
          <w:color w:val="auto"/>
        </w:rPr>
      </w:pPr>
      <w:r>
        <w:rPr>
          <w:rFonts w:ascii="Arial" w:cs="Arial" w:eastAsia="Arial" w:hAnsi="Arial"/>
          <w:sz w:val="18"/>
          <w:szCs w:val="18"/>
          <w:color w:val="auto"/>
        </w:rPr>
        <w:t>No public market currently exists for the ADSs or ordinary shares. We refer to the ADSs, including the underlying ordinary shares and the ordinary shares being offered hereby, collectively, as the “securities.”</w:t>
      </w:r>
    </w:p>
    <w:p>
      <w:pPr>
        <w:spacing w:after="0" w:line="197"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Our ADSs have been approved for listing on the Nasdaq Capital Market, or Nasdaq, under the symbol “GNTA,” subject to official notice of issuance.</w:t>
      </w:r>
    </w:p>
    <w:p>
      <w:pPr>
        <w:spacing w:after="0" w:line="197" w:lineRule="exact"/>
        <w:rPr>
          <w:sz w:val="24"/>
          <w:szCs w:val="24"/>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4"/>
          <w:szCs w:val="24"/>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security</w:t>
            </w:r>
          </w:p>
        </w:tc>
        <w:tc>
          <w:tcPr>
            <w:tcW w:w="36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 of ADSs - ADS Offering</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of ordinary shares - Reserved Offering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8,281,311</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offering proceeds to us (before expenses, underwriting discounts and commissions, and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advisory fees)</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35,881,311</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Underwriting discounts and commissions on ADSs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0.805</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1,932,000</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offering proceeds to us (before expenses and advisory fees)(2)</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33,949,311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4" w:lineRule="exact"/>
        <w:rPr>
          <w:sz w:val="24"/>
          <w:szCs w:val="24"/>
          <w:color w:val="auto"/>
        </w:rPr>
      </w:pPr>
    </w:p>
    <w:p>
      <w:pPr>
        <w:ind w:left="380" w:right="100" w:hanging="332"/>
        <w:spacing w:after="0" w:line="253" w:lineRule="auto"/>
        <w:tabs>
          <w:tab w:leader="none" w:pos="380" w:val="left"/>
        </w:tabs>
        <w:numPr>
          <w:ilvl w:val="0"/>
          <w:numId w:val="1"/>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Underwriting discounts and commissions at a reduced rate apply to certain investors. See “Underwriting” beginning on page 191 of this prospectus for additional disclosure regarding underwriter compensation and offering expenses.</w:t>
      </w:r>
    </w:p>
    <w:p>
      <w:pPr>
        <w:spacing w:after="0" w:line="106" w:lineRule="exact"/>
        <w:rPr>
          <w:rFonts w:ascii="Arial" w:cs="Arial" w:eastAsia="Arial" w:hAnsi="Arial"/>
          <w:sz w:val="12"/>
          <w:szCs w:val="12"/>
          <w:color w:val="auto"/>
        </w:rPr>
      </w:pPr>
    </w:p>
    <w:p>
      <w:pPr>
        <w:ind w:left="380" w:right="280" w:hanging="332"/>
        <w:spacing w:after="0" w:line="238" w:lineRule="auto"/>
        <w:tabs>
          <w:tab w:leader="none" w:pos="380" w:val="left"/>
        </w:tabs>
        <w:numPr>
          <w:ilvl w:val="0"/>
          <w:numId w:val="1"/>
        </w:numPr>
        <w:rPr>
          <w:rFonts w:ascii="Arial" w:cs="Arial" w:eastAsia="Arial" w:hAnsi="Arial"/>
          <w:sz w:val="12"/>
          <w:szCs w:val="12"/>
          <w:color w:val="auto"/>
        </w:rPr>
      </w:pPr>
      <w:r>
        <w:rPr>
          <w:rFonts w:ascii="Arial" w:cs="Arial" w:eastAsia="Arial" w:hAnsi="Arial"/>
          <w:sz w:val="14"/>
          <w:szCs w:val="14"/>
          <w:color w:val="auto"/>
        </w:rPr>
        <w:t>Certain of our existing shareholders in Italy are expected to purchase ordinary shares directly from us concurrently with the closing of this offering for which we will not incur any underwriting discount or commission but will owe an advisory fee to the underwriters. See “Underwriting” beginning on page 191 of this prospectus for additional disclosure regarding underwriter compensation and offering expenses</w:t>
      </w:r>
    </w:p>
    <w:p>
      <w:pPr>
        <w:spacing w:after="0" w:line="214"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360,000 ADSs to cover over-allotments, if any.</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ADSs will be made on or about December 17, 2021, subject to customary closing conditions.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ectPr>
          <w:pgSz w:w="11900" w:h="16838" w:orient="portrait"/>
          <w:cols w:equalWidth="0" w:num="1">
            <w:col w:w="11240"/>
          </w:cols>
          <w:pgMar w:left="320" w:top="472"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Maxim Group LLC</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5">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6"/>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78">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0">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07">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07">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07">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08">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$1.1309, based on the euro foreign exchange reference rate provided by the European Central Bank on December 14,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50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950835"/>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intend to complete patient enrollment by the second quarter of 2022 and to use the preliminary results of our Phase 1/2a clinical trial to support a Clinical Trial Application to conduct in Europe a multicenter Phase 2 trial in uMGMT-GBM, which we currently intend to</w:t>
      </w:r>
    </w:p>
    <w:p>
      <w:pPr>
        <w:spacing w:after="0" w:line="4" w:lineRule="exact"/>
        <w:rPr>
          <w:sz w:val="20"/>
          <w:szCs w:val="20"/>
          <w:color w:val="auto"/>
        </w:rPr>
      </w:pPr>
    </w:p>
    <w:p>
      <w:pPr>
        <w:ind w:right="460"/>
        <w:spacing w:after="0" w:line="209" w:lineRule="auto"/>
        <w:rPr>
          <w:sz w:val="20"/>
          <w:szCs w:val="20"/>
          <w:color w:val="auto"/>
        </w:rPr>
      </w:pPr>
      <w:r>
        <w:rPr>
          <w:rFonts w:ascii="Arial" w:cs="Arial" w:eastAsia="Arial" w:hAnsi="Arial"/>
          <w:sz w:val="18"/>
          <w:szCs w:val="18"/>
          <w:color w:val="auto"/>
        </w:rPr>
        <w:t>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administered Temferon to a total of 15 patients in clinical trials. The preliminary results to date show that Temferon was generally well tolerated with no dose limiting toxicities identified so far.</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5" w:name="page6"/>
    <w:bookmarkEnd w:id="5"/>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411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524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52487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currently conducting a Phase 1/2a dose-escalation study to primarily evaluate the safety and tolerability of Temferon in up to 21 uMGMT-GBM patients, following radiotherapy treatment. In the fourth quarter of 2022, we intend to file the regulatory package required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7" w:name="page8"/>
    <w:bookmarkEnd w:id="7"/>
    <w:p>
      <w:pPr>
        <w:ind w:left="660" w:right="80" w:hanging="331"/>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8" w:name="page9"/>
    <w:bookmarkEnd w:id="8"/>
    <w:p>
      <w:pPr>
        <w:ind w:left="340" w:right="180" w:hanging="331"/>
        <w:spacing w:after="0" w:line="28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559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7110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0" w:name="page11"/>
    <w:bookmarkEnd w:id="10"/>
    <w:p>
      <w:pPr>
        <w:ind w:left="660" w:hanging="331"/>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right="180" w:hanging="331"/>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Chief Executive Officer, directors and shareholders who own more than 5% of our outstanding ordinary shares before this offering currently own approximately 47.1% of our outstanding ordinary shares and will own approximately 39.03% of our ordinary shares upon the completion of this offering and will therefore be able to exert significant control over matters submitted to our shareholders for approval.</w:t>
      </w:r>
    </w:p>
    <w:p>
      <w:pPr>
        <w:spacing w:after="0" w:line="108" w:lineRule="exact"/>
        <w:rPr>
          <w:rFonts w:ascii="Arial" w:cs="Arial" w:eastAsia="Arial" w:hAnsi="Arial"/>
          <w:sz w:val="16"/>
          <w:szCs w:val="16"/>
          <w:color w:val="auto"/>
        </w:rPr>
      </w:pPr>
    </w:p>
    <w:p>
      <w:pPr>
        <w:ind w:left="660" w:right="980" w:hanging="331"/>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483"/>
        </w:trPr>
        <w:tc>
          <w:tcPr>
            <w:tcW w:w="40" w:type="dxa"/>
            <w:vAlign w:val="bottom"/>
            <w:tcBorders>
              <w:right w:val="single" w:sz="8" w:color="auto"/>
            </w:tcBorders>
          </w:tcPr>
          <w:p>
            <w:pPr>
              <w:spacing w:after="0"/>
              <w:rPr>
                <w:sz w:val="24"/>
                <w:szCs w:val="24"/>
                <w:color w:val="auto"/>
              </w:rPr>
            </w:pPr>
          </w:p>
        </w:tc>
        <w:tc>
          <w:tcPr>
            <w:tcW w:w="4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Securities offered by us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3,120,114, including ADSs representing 2,400,000 ordinary shares</w:t>
            </w:r>
          </w:p>
        </w:tc>
      </w:tr>
      <w:tr>
        <w:trPr>
          <w:trHeight w:val="432"/>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w w:val="92"/>
              </w:rPr>
              <w:t>Ordinary shares issued and outstanding prior to this 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15,000,000 ordinary shares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Ordinary shares to be issued and outstanding after this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18,120,114 ordinary shares (or 18,480,114 ordinary shares if the underwriters exercise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their option to purchase additional ADSs within 30 days of the date of this prospectus</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from us in full) (includes ordinary shares represented by the ADSs)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Reserved Offering</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At our request, 720,114 ordinary shares covered by the registration statement of which</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this prospectus is part have been reserved for sale, at the initial public offering price, by</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the Company, directly or through agents, in the Reserved Offering to existing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shareholders of the Company, as a mitigant for the exclusion of pre-emptive rights as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resolved by the general shareholders meeting of the Company in accordance with Italian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corporate law and our by-laws. The Reserved Offering will be effected in compliance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with the laws of Italy, at the same price to investors as the offering of ADSs. We will</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receive the full proceeds from the Reserved Offering and will not pay any underwriting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discounts or commissions with respect to ordinary shares that we sell in the Reserved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Offering but have agreed to pay an advisory fee to the underwriters with respect to such</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sales. The offer and sale of ordinary shares in the Reserved Offering (i) is contingent</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upon the completion of the offering of ADSs and will commence and be consummated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concurrently with such offering of ADSs, (ii) has been registered for purposes of the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securities laws of the United States under the registration statement of which this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prospectus is part, and (iii) is conducted in Italy under applicable exemptions from</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Italian and European regulations concerning prospectus.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The ADSs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Each ADS represents one of our ordinary shares, with no par value. The ADSs may be</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evidenced by American Depositary Receipts, or ADRs. The depositary will hold in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custody the ordinary shares underlying the ADSs and you will have the rights of an ADS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holder as provided in the deposit agreement among us, the depositary and owners and</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holders of ADSs from time to time.</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To better understand the terms of the ADSs, you should carefully read the “Description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of American Depository Shares” section of this prospectus. We also encourage you to</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read the deposit agreement, which is incorporated by reference as an exhibit to the</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registration statement that includes this prospectus.</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Over-allotment option</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We have granted to the underwriters an option exercisable for a period of 30 days after</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the date of this prospectus to purchase up to 360,000 additional ADSs from us solely to</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cover over-allotments, if any. If the underwriters exercise all or part of this option, it will</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purchase securities covered by the option at the public offering price per ADS, less the</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underwriting discounts and advisory fees. See “Underwriting.”</w:t>
            </w:r>
          </w:p>
        </w:tc>
      </w:tr>
      <w:tr>
        <w:trPr>
          <w:trHeight w:val="418"/>
        </w:trPr>
        <w:tc>
          <w:tcPr>
            <w:tcW w:w="40" w:type="dxa"/>
            <w:vAlign w:val="bottom"/>
            <w:tcBorders>
              <w:right w:val="single" w:sz="8" w:color="auto"/>
            </w:tcBorders>
          </w:tcPr>
          <w:p>
            <w:pPr>
              <w:spacing w:after="0"/>
              <w:rPr>
                <w:sz w:val="24"/>
                <w:szCs w:val="24"/>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3"/>
              </w:rPr>
              <w:t>We estimate that the net proceeds from our issuance and sale of 3,120,114 securities in</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this offering will be approximately $32.3 million, and after deducting underwriting</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discounts and commissions and offering expenses payable by us. If the underwriters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exercise the over-allotment option in full, we estimate that the net proceeds from this</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offering will be approximately $36.2 million, after deducting underwriting discounts and</w:t>
            </w:r>
          </w:p>
        </w:tc>
      </w:tr>
      <w:tr>
        <w:trPr>
          <w:trHeight w:val="216"/>
        </w:trPr>
        <w:tc>
          <w:tcPr>
            <w:tcW w:w="40" w:type="dxa"/>
            <w:vAlign w:val="bottom"/>
            <w:tcBorders>
              <w:right w:val="single" w:sz="8" w:color="auto"/>
            </w:tcBorders>
          </w:tcPr>
          <w:p>
            <w:pPr>
              <w:spacing w:after="0"/>
              <w:rPr>
                <w:sz w:val="18"/>
                <w:szCs w:val="18"/>
                <w:color w:val="auto"/>
              </w:rPr>
            </w:pPr>
          </w:p>
        </w:tc>
        <w:tc>
          <w:tcPr>
            <w:tcW w:w="4540" w:type="dxa"/>
            <w:vAlign w:val="bottom"/>
          </w:tcPr>
          <w:p>
            <w:pPr>
              <w:spacing w:after="0"/>
              <w:rPr>
                <w:sz w:val="18"/>
                <w:szCs w:val="18"/>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commissions and offering expenses payable by us. We currently expect to use the net</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proceeds from this offering:</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to conduct a clinical trial in selected cancer patient populations;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9"/>
              </w:rPr>
              <w:t>to support the ongoing Temferon TEM-GBM 001 trial and its long term follow</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w w:val="95"/>
              </w:rPr>
              <w:t>up;</w:t>
            </w:r>
          </w:p>
        </w:tc>
        <w:tc>
          <w:tcPr>
            <w:tcW w:w="6340" w:type="dxa"/>
            <w:vAlign w:val="bottom"/>
            <w:tcBorders>
              <w:right w:val="single" w:sz="8" w:color="auto"/>
            </w:tcBorders>
          </w:tcPr>
          <w:p>
            <w:pPr>
              <w:spacing w:after="0"/>
              <w:rPr>
                <w:sz w:val="20"/>
                <w:szCs w:val="20"/>
                <w:color w:val="auto"/>
              </w:rPr>
            </w:pP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to fund further preclinical research for the development of Temferon across broad</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cancer indications;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to fund Temferon manufacturing activities including LVV manufacturing, stability</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and process scalability studies, and tech transfer activities; and</w:t>
            </w:r>
          </w:p>
        </w:tc>
      </w:tr>
      <w:tr>
        <w:trPr>
          <w:trHeight w:val="459"/>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working capital and general corporate purposes.</w:t>
            </w:r>
          </w:p>
        </w:tc>
      </w:tr>
      <w:tr>
        <w:trPr>
          <w:trHeight w:val="445"/>
        </w:trPr>
        <w:tc>
          <w:tcPr>
            <w:tcW w:w="40" w:type="dxa"/>
            <w:vAlign w:val="bottom"/>
            <w:tcBorders>
              <w:right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See “Use of Proceeds” for additional information. See “Use of Proceeds” for additional</w:t>
            </w:r>
          </w:p>
        </w:tc>
      </w:tr>
      <w:tr>
        <w:trPr>
          <w:trHeight w:val="230"/>
        </w:trPr>
        <w:tc>
          <w:tcPr>
            <w:tcW w:w="40" w:type="dxa"/>
            <w:vAlign w:val="bottom"/>
            <w:tcBorders>
              <w:right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66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information.</w:t>
            </w:r>
          </w:p>
        </w:tc>
      </w:tr>
      <w:tr>
        <w:trPr>
          <w:trHeight w:val="247"/>
        </w:trPr>
        <w:tc>
          <w:tcPr>
            <w:tcW w:w="40" w:type="dxa"/>
            <w:vAlign w:val="bottom"/>
            <w:tcBorders>
              <w:right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340" w:type="dxa"/>
            <w:vAlign w:val="bottom"/>
            <w:tcBorders>
              <w:bottom w:val="single" w:sz="8" w:color="auto"/>
              <w:right w:val="single" w:sz="8" w:color="auto"/>
            </w:tcBorders>
          </w:tcPr>
          <w:p>
            <w:pPr>
              <w:spacing w:after="0"/>
              <w:rPr>
                <w:sz w:val="21"/>
                <w:szCs w:val="21"/>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320" w:top="717" w:right="3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510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3510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Our ADSs have been approved for listing on the Nasdaq Capital Market under the symbol “GNTA,” subject to official notice of issuance.</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jc w:val="both"/>
        <w:ind w:right="360" w:firstLine="648"/>
        <w:spacing w:after="0" w:line="263" w:lineRule="auto"/>
        <w:rPr>
          <w:sz w:val="20"/>
          <w:szCs w:val="20"/>
          <w:color w:val="auto"/>
        </w:rPr>
      </w:pPr>
      <w:r>
        <w:rPr>
          <w:rFonts w:ascii="Arial" w:cs="Arial" w:eastAsia="Arial" w:hAnsi="Arial"/>
          <w:sz w:val="18"/>
          <w:szCs w:val="18"/>
          <w:color w:val="auto"/>
        </w:rPr>
        <w:t>The number of our ordinary shares that are and will be outstanding immediately before and after this offering as shown above is based on 15,000,000 ordinary shares, with no par value, outstanding as of June 30, 2021, and excludes ordinary shares that are available for future issuance under our 2021-2025 Equity Incentive Plan.</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Unless otherwise indicated, this prospectus reflects and assumes no exercise by the underwriters of their over-allotment option or the warrants to purchase ADSs at an exercise price per share equal to 125% of the initial public offering price per ADS or $14.375, that will be issued to the underwriters in connection with this offering (the “Underwriters’ Warrants”).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350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350760"/>
                    </a:xfrm>
                    <a:prstGeom prst="rect">
                      <a:avLst/>
                    </a:prstGeom>
                    <a:noFill/>
                  </pic:spPr>
                </pic:pic>
              </a:graphicData>
            </a:graphic>
          </wp:anchor>
        </w:drawing>
        <w:t>SUMMARY FINANCIAL DATA</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derived the following summary statements of operations data for the years ended December 31, 2020 and 2019, and the six months ended June 30, 2021 and 2020, and summary balance sheet data as of June 30, 2021 from our audited and unaudited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87"/>
              <w:spacing w:after="0"/>
              <w:rPr>
                <w:sz w:val="20"/>
                <w:szCs w:val="20"/>
                <w:color w:val="auto"/>
              </w:rPr>
            </w:pPr>
            <w:r>
              <w:rPr>
                <w:rFonts w:ascii="Arial" w:cs="Arial" w:eastAsia="Arial" w:hAnsi="Arial"/>
                <w:sz w:val="18"/>
                <w:szCs w:val="18"/>
                <w:color w:val="auto"/>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12,651,158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14,420,904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100" w:hanging="315"/>
        <w:spacing w:after="0" w:line="231" w:lineRule="auto"/>
        <w:tabs>
          <w:tab w:leader="none" w:pos="3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for the years ended December 31, 2020 and 2019 and the six months ended June 30, 2021 and 2020, which consists of our historical loss attributable to Genenta Science S.r.l., divided by the pro forma basic and diluted weighted average number of shares outstanding after giving effect to the Corporate Conversion. See Notes 2 and 10 to our interim financial statements and our Management Discussion and Analysis included elsewhere in this prospectus for additional information regarding the method used to calculate the pro forma basic and diluted loss per share and the pro forma weighted average number of shares used in the computation of the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center"/>
              <w:ind w:left="918"/>
              <w:spacing w:after="0"/>
              <w:rPr>
                <w:sz w:val="20"/>
                <w:szCs w:val="20"/>
                <w:color w:val="auto"/>
              </w:rPr>
            </w:pPr>
            <w:r>
              <w:rPr>
                <w:rFonts w:ascii="Arial" w:cs="Arial" w:eastAsia="Arial" w:hAnsi="Arial"/>
                <w:sz w:val="14"/>
                <w:szCs w:val="14"/>
                <w:b w:val="1"/>
                <w:bCs w:val="1"/>
                <w:color w:val="auto"/>
                <w:w w:val="91"/>
              </w:rPr>
              <w:t>As of</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4"/>
          </w:tcPr>
          <w:p>
            <w:pPr>
              <w:jc w:val="center"/>
              <w:ind w:left="918"/>
              <w:spacing w:after="0" w:line="149" w:lineRule="exact"/>
              <w:rPr>
                <w:sz w:val="20"/>
                <w:szCs w:val="20"/>
                <w:color w:val="auto"/>
              </w:rPr>
            </w:pPr>
            <w:r>
              <w:rPr>
                <w:rFonts w:ascii="Arial" w:cs="Arial" w:eastAsia="Arial" w:hAnsi="Arial"/>
                <w:sz w:val="14"/>
                <w:szCs w:val="14"/>
                <w:b w:val="1"/>
                <w:bCs w:val="1"/>
                <w:color w:val="auto"/>
                <w:w w:val="92"/>
              </w:rPr>
              <w:t>June 30, 2021</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5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left="898"/>
              <w:spacing w:after="0"/>
              <w:rPr>
                <w:sz w:val="20"/>
                <w:szCs w:val="20"/>
                <w:color w:val="auto"/>
              </w:rPr>
            </w:pPr>
            <w:r>
              <w:rPr>
                <w:rFonts w:ascii="Arial" w:cs="Arial" w:eastAsia="Arial" w:hAnsi="Arial"/>
                <w:sz w:val="14"/>
                <w:szCs w:val="14"/>
                <w:b w:val="1"/>
                <w:bCs w:val="1"/>
                <w:color w:val="auto"/>
                <w:w w:val="95"/>
              </w:rPr>
              <w:t>(Unaudited)</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6"/>
        </w:trPr>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jc w:val="right"/>
              <w:ind w:right="435"/>
              <w:spacing w:after="0" w:line="136" w:lineRule="exact"/>
              <w:rPr>
                <w:sz w:val="20"/>
                <w:szCs w:val="20"/>
                <w:color w:val="auto"/>
              </w:rPr>
            </w:pPr>
            <w:r>
              <w:rPr>
                <w:rFonts w:ascii="Arial" w:cs="Arial" w:eastAsia="Arial" w:hAnsi="Arial"/>
                <w:sz w:val="14"/>
                <w:szCs w:val="14"/>
                <w:b w:val="1"/>
                <w:bCs w:val="1"/>
                <w:color w:val="auto"/>
              </w:rPr>
              <w:t>Proforma</w:t>
            </w:r>
          </w:p>
        </w:tc>
        <w:tc>
          <w:tcPr>
            <w:tcW w:w="100" w:type="dxa"/>
            <w:vAlign w:val="bottom"/>
          </w:tcPr>
          <w:p>
            <w:pPr>
              <w:spacing w:after="0"/>
              <w:rPr>
                <w:sz w:val="11"/>
                <w:szCs w:val="11"/>
                <w:color w:val="auto"/>
              </w:rPr>
            </w:pPr>
          </w:p>
        </w:tc>
      </w:tr>
      <w:tr>
        <w:trPr>
          <w:trHeight w:val="209"/>
        </w:trPr>
        <w:tc>
          <w:tcPr>
            <w:tcW w:w="5900" w:type="dxa"/>
            <w:vAlign w:val="bottom"/>
          </w:tcPr>
          <w:p>
            <w:pPr>
              <w:ind w:left="2700"/>
              <w:spacing w:after="0"/>
              <w:rPr>
                <w:sz w:val="20"/>
                <w:szCs w:val="20"/>
                <w:color w:val="auto"/>
              </w:rPr>
            </w:pPr>
            <w:r>
              <w:rPr>
                <w:rFonts w:ascii="Arial" w:cs="Arial" w:eastAsia="Arial" w:hAnsi="Arial"/>
                <w:sz w:val="14"/>
                <w:szCs w:val="14"/>
                <w:b w:val="1"/>
                <w:bCs w:val="1"/>
                <w:i w:val="1"/>
                <w:iCs w:val="1"/>
                <w:color w:val="auto"/>
              </w:rPr>
              <w:t>in Euros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3"/>
                <w:szCs w:val="23"/>
                <w:b w:val="1"/>
                <w:bCs w:val="1"/>
                <w:color w:val="auto"/>
                <w:w w:val="93"/>
                <w:vertAlign w:val="superscript"/>
              </w:rPr>
              <w:t>(1)</w:t>
            </w: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39,089,861</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41,826,964</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21,645</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(25,538,377)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(25,538,377)</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40,137,009</w:t>
            </w:r>
          </w:p>
        </w:tc>
        <w:tc>
          <w:tcPr>
            <w:tcW w:w="100" w:type="dxa"/>
            <w:vAlign w:val="bottom"/>
          </w:tcPr>
          <w:p>
            <w:pPr>
              <w:spacing w:after="0"/>
              <w:rPr>
                <w:sz w:val="20"/>
                <w:szCs w:val="20"/>
                <w:color w:val="auto"/>
              </w:rPr>
            </w:pPr>
          </w:p>
        </w:tc>
      </w:tr>
    </w:tbl>
    <w:p>
      <w:pPr>
        <w:spacing w:after="0" w:line="250" w:lineRule="exact"/>
        <w:rPr>
          <w:sz w:val="20"/>
          <w:szCs w:val="20"/>
          <w:color w:val="auto"/>
        </w:rPr>
      </w:pPr>
    </w:p>
    <w:p>
      <w:pPr>
        <w:ind w:left="320" w:right="180" w:hanging="315"/>
        <w:spacing w:after="0" w:line="253" w:lineRule="auto"/>
        <w:tabs>
          <w:tab w:leader="none" w:pos="3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The as adjusted balance sheet data gives effect to the issuance and sale 3,120,114 securities, including ADSs, representing 2,400,000 ordinary shares, in this offering, after deducting the estimated underwriting discounts, estimated advisory fees and estimated offering expenses payable by us.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6" w:name="page17"/>
    <w:bookmarkEnd w:id="16"/>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 w:name="page18"/>
    <w:bookmarkEnd w:id="17"/>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0" w:name="page21"/>
    <w:bookmarkEnd w:id="20"/>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1" w:name="page22"/>
    <w:bookmarkEnd w:id="21"/>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2" w:name="page23"/>
    <w:bookmarkEnd w:id="22"/>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3" w:name="page24"/>
    <w:bookmarkEnd w:id="23"/>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7" w:name="page28"/>
    <w:bookmarkEnd w:id="27"/>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8" w:name="page29"/>
    <w:bookmarkEnd w:id="28"/>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9" w:name="page30"/>
    <w:bookmarkEnd w:id="29"/>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0" w:name="page31"/>
    <w:bookmarkEnd w:id="30"/>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1" w:name="page32"/>
    <w:bookmarkEnd w:id="31"/>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2" w:name="page33"/>
    <w:bookmarkEnd w:id="32"/>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3" w:name="page34"/>
    <w:bookmarkEnd w:id="33"/>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4" w:name="page35"/>
    <w:bookmarkEnd w:id="34"/>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38" w:name="page39"/>
    <w:bookmarkEnd w:id="38"/>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9" w:name="page40"/>
    <w:bookmarkEnd w:id="39"/>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3" w:name="page44"/>
    <w:bookmarkEnd w:id="43"/>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5" w:name="page46"/>
    <w:bookmarkEnd w:id="45"/>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6" w:name="page47"/>
    <w:bookmarkEnd w:id="46"/>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8" w:name="page49"/>
    <w:bookmarkEnd w:id="48"/>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9" w:name="page50"/>
    <w:bookmarkEnd w:id="49"/>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ind w:left="660" w:right="4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4" w:name="page55"/>
    <w:bookmarkEnd w:id="54"/>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5" w:name="page56"/>
    <w:bookmarkEnd w:id="55"/>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57" w:name="page58"/>
    <w:bookmarkEnd w:id="57"/>
    <w:p>
      <w:pPr>
        <w:ind w:left="660" w:right="40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8" w:name="page59"/>
    <w:bookmarkEnd w:id="58"/>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9" w:name="page60"/>
    <w:bookmarkEnd w:id="59"/>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0" w:name="page61"/>
    <w:bookmarkEnd w:id="60"/>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If you purchase the securities in this offering, you will incur immediate and substantial dilution in the book value of the securities.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Because the price per security being offered is substantially higher than our net tangible book value per ADS or ordinary share, you will suffer substantial dilution in the net tangible book value of any ADSs or ordinary shares you purchase in this offering. After giving effect to the sale by us of securities in this offering, based on the public offering price of $11.50 per security, after deducting underwriting discounts, estimated advisory fees and offering expenses payable by us, our as adjusted net tangible book value of the securities would be approximately €40.1 million, or approximately $2.51 per ADS or ordinary share, as of June 30, 2021. If you purchase ADSs or ordinary shares in this offering, you will suffer immediate and substantial dilution of our as adjusted net tangible book value of approximately $8.99 per ADS or ordinary share. As a result of this dilution, investors purchasing shares in this offering may receive significantly less than the purchase price paid in this offering in the event of liquidation. See “Dilution” for additional information.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color w:val="auto"/>
        </w:rPr>
        <w:t>We may sell in this offering securities representing 2,400,000 ADSs and 720,114 ordinary shares, or approximately 21%, of our outstanding securities as of June 30, 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securities sold to non-affiliates in this offering will be freely tradable in the public market, substantially all of the securities owned prior to this offering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3" w:name="page64"/>
    <w:bookmarkEnd w:id="63"/>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4" w:name="page65"/>
    <w:bookmarkEnd w:id="64"/>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47.14% of our outstanding ordinary shares and will own approximately 39.03%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39.03%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6" w:name="page67"/>
    <w:bookmarkEnd w:id="66"/>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7" w:name="page68"/>
    <w:bookmarkEnd w:id="67"/>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Governing Documents” and “Comparison of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69" w:name="page70"/>
    <w:bookmarkEnd w:id="69"/>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2" w:name="page73"/>
    <w:bookmarkEnd w:id="72"/>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estimate that the net proceeds to us in this offering will be approximately $32.3 million, after deducting the estimated underwriting discounts, estimated advisory fees and estimated offering expenses payable by us, based on 720,114 ordinary shares being sold in the Reserved Offering and</w:t>
      </w:r>
    </w:p>
    <w:p>
      <w:pPr>
        <w:ind w:right="20"/>
        <w:spacing w:after="0" w:line="255" w:lineRule="auto"/>
        <w:rPr>
          <w:sz w:val="20"/>
          <w:szCs w:val="20"/>
          <w:color w:val="auto"/>
        </w:rPr>
      </w:pPr>
      <w:r>
        <w:rPr>
          <w:rFonts w:ascii="Arial" w:cs="Arial" w:eastAsia="Arial" w:hAnsi="Arial"/>
          <w:sz w:val="18"/>
          <w:szCs w:val="18"/>
          <w:color w:val="auto"/>
        </w:rPr>
        <w:t>2,400,000 ADS being sold in the public offering. If the underwriters exercise their option to purchase additional ADSs in full, we estimate that the net proceeds to us from this offering will be approximately $36.2 million, after deducting the estimated underwriting discounts and estimated offering expenses payable by us.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currently expect that we will use the net proceeds from this offering, together with our existing cash and cash equivalents, as follows:</w:t>
      </w:r>
    </w:p>
    <w:p>
      <w:pPr>
        <w:spacing w:after="0" w:line="225" w:lineRule="exact"/>
        <w:rPr>
          <w:sz w:val="20"/>
          <w:szCs w:val="20"/>
          <w:color w:val="auto"/>
        </w:rPr>
      </w:pPr>
    </w:p>
    <w:p>
      <w:pPr>
        <w:ind w:left="660" w:right="10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$5.3 million to complete our current Temferon TEM-GBM 001 trial, which is expected to enroll its last patient in the second quarter of 2022, and has been designed to establish clinical proof of concept and determine a therapeutic dosage of Temferon that is safe and well tolerated for patients in order to advance our GBM clinical program to Phase 2;</w:t>
      </w:r>
    </w:p>
    <w:p>
      <w:pPr>
        <w:spacing w:after="0" w:line="183"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$0.6 million to support long-term monitoring of the patients in the Temferon TEM-GBM 001 trial required by applicable regulations, which is expected to run through 2029;</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$1.0 million to fund preclinical research performed in the laboratories of our founders, Professor Naldini and Dr. Gentner at OSR. The aims of the research programs include the development of Temferon across a broad range of cancer indications, second generation switchable Temferon, additional payloads and combination therapies. We have exclusive licensing options extending over the scope of supported research pursuant to existing arrangements;</w:t>
      </w:r>
    </w:p>
    <w:p>
      <w:pPr>
        <w:spacing w:after="0" w:line="18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$11.2 million to conduct an Italian clinical Phase 2 synthetic controlled study of Temferon in approximately thirty (30) uMGMT-GBM patients expected to take place from early 2023 to late 2025, with the objectives of safety, tolerability and efficacy of a single dose compared to matched patients in the synthetic arm receiving standard of care. The results of this study could help us develop an adaptive study design for the registration of Temferon in newly diagnosed GBM patients;</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$7.2 million to fund Temferon manufacturing activities for the Phase 2 trial, including LVV manufacturing, stability and process scalability studies and technology transfer activities;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envision the future development of Temferon for the treatment of other solid tumor indications and we have already identified locally advanced hepatocellular carcinoma (HCC) and intra-hepatic cholangiocarcinoma (ICC) as appropriate additional target indications; however, the funding of this future development is not expected to be covered by the net proceeds we will receive from this offering. We expect additional capital would need to be raised, either through additional equity financings through future offerings of the Company’s ADSs, a strategic funding event or an alternative funding strategy to begin work on these other solid tumor indications.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4" w:name="page75"/>
    <w:bookmarkEnd w:id="74"/>
    <w:p>
      <w:pPr>
        <w:ind w:right="2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we believe that the expected net proceeds from this offering, together with our existing cash and cash equivalents, will be sufficient to enable us to fund the development of Temferon through Phase 2 and our other operating expenses until 2025. While we have based this estimate on assumptions that we believe to be reasonable, there can be no assurance that those assumptions will not be proven wrong by future events, including the ongoing effects of the COVID 19 pandemic and related issues. Therefore we could deplete our available capital resources more quickly than we currently expect.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may invest or raise additional capital to begin a new Temferon clinical program in a second solid tumor indication.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the amounts and timing of our actual expenditures may vary significantly depending on numerous factors, many of which are beyond our control, including the progress of our development, the status of and results from clinical trials, the availability of manufacturing capabilities, any collaborations that we may enter into with third parties for our product candidates and any unforeseen cash needs. As a result, although we currently intend to focus on the development of Temferon in uMGMT-GBM in a clinical Phase 2 trial to be performed in Italy, we will retain broad discretion over the allocation of the net proceeds from this offering.</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84" w:lineRule="exact"/>
        <w:rPr>
          <w:rFonts w:ascii="Arial" w:cs="Arial" w:eastAsia="Arial" w:hAnsi="Arial"/>
          <w:sz w:val="18"/>
          <w:szCs w:val="18"/>
          <w:color w:val="auto"/>
        </w:rPr>
      </w:pPr>
    </w:p>
    <w:p>
      <w:pPr>
        <w:ind w:left="660" w:right="440" w:hanging="328"/>
        <w:spacing w:after="0" w:line="311"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an as adjusted basis to give effect to the issuance and sale of 3,120,114 securities (720,114 ordinary shares and 2,400,000 ADSs) in this offering, after deducting estimated underwriting discounts, estimated advisory fees and estimated offering expenses payable by us, and to the application of the net proceeds as described in “Use of Proceeds,” as if the sale of the securities had occurred on June 30, 2021.</w:t>
      </w:r>
    </w:p>
    <w:p>
      <w:pPr>
        <w:spacing w:after="0" w:line="176"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ectPr>
          <w:pgSz w:w="11900" w:h="16838" w:orient="portrait"/>
          <w:cols w:equalWidth="0" w:num="1">
            <w:col w:w="11240"/>
          </w:cols>
          <w:pgMar w:left="320" w:top="7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i w:val="1"/>
          <w:iCs w:val="1"/>
          <w:color w:val="auto"/>
        </w:rPr>
        <w:t>in Euros,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44234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23410" cy="171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with no par value, 59,700,000 shares authorized: 15,000,000 shares issued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18,120,114 shares,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(deficit)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As of</w:t>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June 30, 2021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2"/>
            <w:vMerge w:val="restart"/>
          </w:tcPr>
          <w:p>
            <w:pPr>
              <w:ind w:left="300"/>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02"/>
              <w:spacing w:after="0" w:line="133" w:lineRule="exact"/>
              <w:rPr>
                <w:sz w:val="20"/>
                <w:szCs w:val="20"/>
                <w:color w:val="auto"/>
              </w:rPr>
            </w:pPr>
            <w:r>
              <w:rPr>
                <w:rFonts w:ascii="Arial" w:cs="Arial" w:eastAsia="Arial" w:hAnsi="Arial"/>
                <w:sz w:val="14"/>
                <w:szCs w:val="14"/>
                <w:b w:val="1"/>
                <w:bCs w:val="1"/>
                <w:color w:val="auto"/>
                <w:w w:val="95"/>
              </w:rPr>
              <w:t>Proforma 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229"/>
        </w:trPr>
        <w:tc>
          <w:tcPr>
            <w:tcW w:w="40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3"/>
          </w:tcPr>
          <w:p>
            <w:pPr>
              <w:ind w:left="1140"/>
              <w:spacing w:after="0"/>
              <w:rPr>
                <w:sz w:val="20"/>
                <w:szCs w:val="20"/>
                <w:color w:val="auto"/>
              </w:rPr>
            </w:pPr>
            <w:r>
              <w:rPr>
                <w:rFonts w:ascii="Arial" w:cs="Arial" w:eastAsia="Arial" w:hAnsi="Arial"/>
                <w:sz w:val="18"/>
                <w:szCs w:val="18"/>
                <w:color w:val="auto"/>
              </w:rPr>
              <w:t>(Unaudited)</w:t>
            </w: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10,553,906</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39,089,861</w:t>
            </w:r>
          </w:p>
        </w:tc>
        <w:tc>
          <w:tcPr>
            <w:tcW w:w="0" w:type="dxa"/>
            <w:vAlign w:val="bottom"/>
          </w:tcPr>
          <w:p>
            <w:pPr>
              <w:spacing w:after="0"/>
              <w:rPr>
                <w:sz w:val="1"/>
                <w:szCs w:val="1"/>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0"/>
        <w:spacing w:after="0"/>
        <w:tabs>
          <w:tab w:leader="none" w:pos="3100" w:val="left"/>
        </w:tabs>
        <w:rPr>
          <w:sz w:val="20"/>
          <w:szCs w:val="20"/>
          <w:color w:val="auto"/>
        </w:rPr>
      </w:pPr>
      <w:r>
        <w:rPr>
          <w:rFonts w:ascii="Arial" w:cs="Arial" w:eastAsia="Arial" w:hAnsi="Arial"/>
          <w:sz w:val="17"/>
          <w:szCs w:val="17"/>
          <w:color w:val="auto"/>
        </w:rPr>
        <w:t>37,139,431</w:t>
      </w:r>
      <w:r>
        <w:rPr>
          <w:sz w:val="20"/>
          <w:szCs w:val="20"/>
          <w:color w:val="auto"/>
        </w:rPr>
        <w:tab/>
      </w:r>
      <w:r>
        <w:rPr>
          <w:rFonts w:ascii="Arial" w:cs="Arial" w:eastAsia="Arial" w:hAnsi="Arial"/>
          <w:sz w:val="17"/>
          <w:szCs w:val="17"/>
          <w:color w:val="auto"/>
        </w:rPr>
        <w:t>65,675,386</w:t>
      </w:r>
    </w:p>
    <w:p>
      <w:pPr>
        <w:spacing w:after="0" w:line="35"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(25,538,377)</w:t>
      </w:r>
      <w:r>
        <w:rPr>
          <w:sz w:val="20"/>
          <w:szCs w:val="20"/>
          <w:color w:val="auto"/>
        </w:rPr>
        <w:tab/>
      </w:r>
      <w:r>
        <w:rPr>
          <w:rFonts w:ascii="Arial" w:cs="Arial" w:eastAsia="Arial" w:hAnsi="Arial"/>
          <w:sz w:val="16"/>
          <w:szCs w:val="16"/>
          <w:color w:val="auto"/>
        </w:rPr>
        <w:t>(25,538,377)</w:t>
      </w:r>
    </w:p>
    <w:p>
      <w:pPr>
        <w:spacing w:after="0" w:line="35" w:lineRule="exact"/>
        <w:rPr>
          <w:sz w:val="20"/>
          <w:szCs w:val="20"/>
          <w:color w:val="auto"/>
        </w:rPr>
      </w:pPr>
    </w:p>
    <w:p>
      <w:pPr>
        <w:ind w:left="1000"/>
        <w:spacing w:after="0"/>
        <w:tabs>
          <w:tab w:leader="none" w:pos="3100" w:val="left"/>
        </w:tabs>
        <w:rPr>
          <w:sz w:val="20"/>
          <w:szCs w:val="20"/>
          <w:color w:val="auto"/>
        </w:rPr>
      </w:pPr>
      <w:r>
        <w:rPr>
          <w:rFonts w:ascii="Arial" w:cs="Arial" w:eastAsia="Arial" w:hAnsi="Arial"/>
          <w:sz w:val="17"/>
          <w:szCs w:val="17"/>
          <w:color w:val="auto"/>
        </w:rPr>
        <w:t>11,601,054</w:t>
      </w:r>
      <w:r>
        <w:rPr>
          <w:sz w:val="20"/>
          <w:szCs w:val="20"/>
          <w:color w:val="auto"/>
        </w:rPr>
        <w:tab/>
      </w:r>
      <w:r>
        <w:rPr>
          <w:rFonts w:ascii="Arial" w:cs="Arial" w:eastAsia="Arial" w:hAnsi="Arial"/>
          <w:sz w:val="17"/>
          <w:szCs w:val="17"/>
          <w:color w:val="auto"/>
        </w:rPr>
        <w:t>40,137,009</w:t>
      </w:r>
    </w:p>
    <w:p>
      <w:pPr>
        <w:spacing w:after="0" w:line="250" w:lineRule="exact"/>
        <w:rPr>
          <w:sz w:val="20"/>
          <w:szCs w:val="20"/>
          <w:color w:val="auto"/>
        </w:rPr>
      </w:pPr>
    </w:p>
    <w:p>
      <w:pPr>
        <w:spacing w:after="0"/>
        <w:tabs>
          <w:tab w:leader="none" w:pos="980" w:val="left"/>
          <w:tab w:leader="none" w:pos="2140" w:val="left"/>
          <w:tab w:leader="none" w:pos="3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11,601,054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40,137,009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942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300"/>
            <w:col w:w="4040"/>
          </w:cols>
          <w:pgMar w:left="320" w:top="715" w:right="339" w:bottom="1440" w:gutter="0" w:footer="0" w:header="0"/>
          <w:type w:val="continuous"/>
        </w:sectPr>
      </w:pP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securities to be outstanding immediately after this offering is 18,120,114 based on 15,000,000 ordinary shares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after the Corporate Conversion, plus 720,114 ordinary shares and 2,400,000 ADSs sold in this offering and excludes:</w:t>
      </w:r>
    </w:p>
    <w:p>
      <w:pPr>
        <w:spacing w:after="0" w:line="23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issuable upon exercise of the Underwriters’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you invest in our securities, your interest will be diluted immediately to the extent of the difference between the public offering price per security you will pay in this offering and the pro forma net tangible book value per security after the offering. At June 30, 2021, we had net tangible book value of approximately €11.6 million, corresponding to a net tangible book value of approximately €0.77 per ordinary share or $0.87 per ordinary share (using the ratio of one ordinary share to one ADS). Net tangible book value per ordinary share or per ADS represents the amount of our total tangible assets less our total liabilities, divided by 15.0 million, the total number of ordinary shares outstanding at June 30, 2021, or 15.0 million, the total number of ADSs that would represent such total number of shares based on an ordinary share-to-ADS ratio of one-to-one.</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After giving pro forma effect to the Corporate Conversion and the sale of the securities offered by us in this offering and after deducting the estimated underwriting discounts, estimated advisory fees and estimated offering expenses payable by us, our pro forma estimated net tangible book value at June 30, 2021 would have been approximately €40.1 million, representing €2.22 per security or $2.51 per security. This represents an immediate increase in pro forma net tangible book value of €1.44 per security or $1.64 per security to existing shareholders and an immediate dilution in pro forma net tangible book value of €7.95 per security or $8.99 per security to purchasers of ADSs or ordinary shares in this offering. Dilution for this purpose represents the difference between the price per security paid by these purchasers and pro forma net tangible book value per security immediately after the completion of this offering.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security basis to purchasers of securities in this offering: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security, set forth on the cover page of this prospectus</w:t>
            </w:r>
          </w:p>
        </w:tc>
        <w:tc>
          <w:tcPr>
            <w:tcW w:w="1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Historical net tangible book value (deficit) per security as of June 30, 2021</w:t>
            </w: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0.87</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6"/>
              </w:rPr>
              <w:t>Increase in net tangible book value per security attributable to new investors in this offering</w:t>
            </w:r>
          </w:p>
        </w:tc>
        <w:tc>
          <w:tcPr>
            <w:tcW w:w="11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Pro forma as adjusted net tangible book value per security after offering</w:t>
            </w:r>
          </w:p>
        </w:tc>
        <w:tc>
          <w:tcPr>
            <w:tcW w:w="1140" w:type="dxa"/>
            <w:vAlign w:val="bottom"/>
          </w:tcPr>
          <w:p>
            <w:pPr>
              <w:spacing w:after="0"/>
              <w:rPr>
                <w:sz w:val="19"/>
                <w:szCs w:val="19"/>
                <w:color w:val="auto"/>
              </w:rPr>
            </w:pPr>
          </w:p>
        </w:tc>
        <w:tc>
          <w:tcPr>
            <w:tcW w:w="1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tangible book value per security to new investors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Percentage of dilution in net tangible book value per security for new investors</w:t>
            </w: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in full, the pro forma net tangible book value per security after this offering would be $2.67 per security, and the dilution in pro forma as adjusted net tangible book value per security to new investors purchasing securities in this offering would be $8.83 per security, after deducting estimated underwriting discounts, estimated advisory fees and estimated offering expenses payable by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8" w:name="page79"/>
    <w:bookmarkEnd w:id="78"/>
    <w:p>
      <w:pPr>
        <w:ind w:right="80" w:firstLine="648"/>
        <w:spacing w:after="0" w:line="263" w:lineRule="auto"/>
        <w:rPr>
          <w:sz w:val="20"/>
          <w:szCs w:val="20"/>
          <w:color w:val="auto"/>
        </w:rPr>
      </w:pPr>
      <w:r>
        <w:rPr>
          <w:rFonts w:ascii="Arial" w:cs="Arial" w:eastAsia="Arial" w:hAnsi="Arial"/>
          <w:sz w:val="18"/>
          <w:szCs w:val="18"/>
          <w:color w:val="auto"/>
        </w:rPr>
        <w:t>The following table summarizes, on an as adjusted basis as of June 30, 2021, the differences between the number of securities acquired from us, the total amount paid and the average price per security paid by the existing holders of our ordinary shares and by investors in this offering and based upon the public offering price of $11.50 per security.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760" w:type="dxa"/>
            <w:vAlign w:val="bottom"/>
            <w:gridSpan w:val="3"/>
            <w:vMerge w:val="restart"/>
          </w:tcPr>
          <w:p>
            <w:pPr>
              <w:ind w:left="112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Total Consideration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Per Ordinary</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0"/>
              </w:rPr>
              <w:t>Percent</w:t>
            </w: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37,990,193</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New investors</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3,120,114</w:t>
            </w:r>
          </w:p>
        </w:tc>
        <w:tc>
          <w:tcPr>
            <w:tcW w:w="220" w:type="dxa"/>
            <w:vAlign w:val="bottom"/>
          </w:tcPr>
          <w:p>
            <w:pPr>
              <w:spacing w:after="0"/>
              <w:rPr>
                <w:sz w:val="21"/>
                <w:szCs w:val="21"/>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35,881,311</w:t>
            </w:r>
          </w:p>
        </w:tc>
        <w:tc>
          <w:tcPr>
            <w:tcW w:w="94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18,120,114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73,871,504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our securities to be outstanding immediately after this offering is 18,120,114 based on 15.0 million ordinary shares outstanding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720,114 ordinary shares and 2,400,000 ADSs sold in this offering and excludes:</w:t>
      </w:r>
    </w:p>
    <w:p>
      <w:pPr>
        <w:spacing w:after="0" w:line="23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issuable upon exercise of the Underwriters’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If the representative of the underwriters exercises the over-allotment option to purchase additional ADSs in full in this offering, the number of securities held by new investors will increase from 3,120,114, or 17% to 3,480,114, or 19% of the total number of securities outstanding after this offering and the percentage of ordinary shares held by existing shareholders will decrease from 83% to 81% of the total securities outstanding.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€33.6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0" w:name="page81"/>
    <w:bookmarkEnd w:id="80"/>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-334010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55"/>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3" w:name="page84"/>
    <w:bookmarkEnd w:id="83"/>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4" w:name="page85"/>
    <w:bookmarkEnd w:id="84"/>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(similar to a stock split transaction) using the same conversion rate of 300 common shares per weighted average quota percentage of ownership during the six months ended June 30, 2021 and 2020, respectively,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ind w:right="1141"/>
              <w:spacing w:after="0"/>
              <w:rPr>
                <w:sz w:val="20"/>
                <w:szCs w:val="20"/>
                <w:color w:val="auto"/>
              </w:rPr>
            </w:pPr>
            <w:r>
              <w:rPr>
                <w:rFonts w:ascii="Arial" w:cs="Arial" w:eastAsia="Arial" w:hAnsi="Arial"/>
                <w:sz w:val="18"/>
                <w:szCs w:val="18"/>
                <w:color w:val="auto"/>
              </w:rPr>
              <w:t>Year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ind w:left="13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4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loss per share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pro forma number of shares outstanding - basic and diluted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14,539,534</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12,651,158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vMerge w:val="restart"/>
          </w:tcPr>
          <w:p>
            <w:pPr>
              <w:ind w:left="496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87" w:name="page88"/>
    <w:bookmarkEnd w:id="87"/>
    <w:p>
      <w:pPr>
        <w:ind w:firstLine="648"/>
        <w:spacing w:after="0" w:line="253" w:lineRule="auto"/>
        <w:rPr>
          <w:sz w:val="20"/>
          <w:szCs w:val="20"/>
          <w:color w:val="auto"/>
        </w:rPr>
      </w:pPr>
      <w:r>
        <w:rPr>
          <w:rFonts w:ascii="Arial" w:cs="Arial" w:eastAsia="Arial" w:hAnsi="Arial"/>
          <w:sz w:val="18"/>
          <w:szCs w:val="18"/>
          <w:color w:val="auto"/>
        </w:rPr>
        <w:t>We have presented pro forma basic and diluted loss per share at December 31, 2020 and 2019, respectively, which consists of our historical loss attributable to Genenta Science S.r.l., divided by the pro forma basic and diluted weighted average number of ordinary shares outstanding, on an “as converted” basis, after giving effect to the Corporate Conversion, which occurred on June 18, 2021. See our disclosures in this prospectus for additional information regarding the method used to calculate the pro forma basic and diluted loss per ordinary share and the pro forma weighted average number of ordinary shares used in the computation of the per share amounts. We did not present basic and diluted loss per share for the years ended December 31, 2020 and 2019 in our audited Statements of Operations, since we were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us and not actual shares. We did not believe that representing loss per quota was meaningful.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€33.6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€1.1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1" w:name="page92"/>
    <w:bookmarkEnd w:id="91"/>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2" w:name="page93"/>
    <w:bookmarkEnd w:id="92"/>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3" w:name="page94"/>
    <w:bookmarkEnd w:id="93"/>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4" w:name="page95"/>
    <w:bookmarkEnd w:id="94"/>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w:t>
      </w:r>
    </w:p>
    <w:p>
      <w:pPr>
        <w:spacing w:after="0" w:line="5"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which we currently intend to conduct primarily in Italy.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dosed a total of 15 patients. The preliminary results show that Temferon has been generally well tolerated, with no dose limiting toxicities identified so far.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96" w:name="page97"/>
    <w:bookmarkEnd w:id="96"/>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0" w:name="page101"/>
    <w:bookmarkEnd w:id="100"/>
    <w:p>
      <w:pPr>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2" w:name="page103"/>
    <w:bookmarkEnd w:id="102"/>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6"/>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3" w:name="page104"/>
    <w:bookmarkEnd w:id="103"/>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4" w:name="page105"/>
    <w:bookmarkEnd w:id="104"/>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6" w:name="page107"/>
    <w:bookmarkEnd w:id="106"/>
    <w:p>
      <w:pPr>
        <w:ind w:left="660" w:hanging="328"/>
        <w:spacing w:after="0" w:line="286" w:lineRule="auto"/>
        <w:tabs>
          <w:tab w:leader="none" w:pos="660"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8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357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08" w:name="page109"/>
    <w:bookmarkEnd w:id="108"/>
    <w:p>
      <w:pPr>
        <w:jc w:val="both"/>
        <w:ind w:left="660" w:right="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9" w:name="page110"/>
    <w:bookmarkEnd w:id="109"/>
    <w:p>
      <w:pPr>
        <w:ind w:left="660" w:hanging="328"/>
        <w:spacing w:after="0" w:line="29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0" w:name="page111"/>
    <w:bookmarkEnd w:id="110"/>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6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 7). The Clinical Protocol amendment was submitted on July 20</w:t>
      </w:r>
      <w:r>
        <w:rPr>
          <w:rFonts w:ascii="Arial" w:cs="Arial" w:eastAsia="Arial" w:hAnsi="Arial"/>
          <w:sz w:val="26"/>
          <w:szCs w:val="26"/>
          <w:color w:val="auto"/>
          <w:vertAlign w:val="superscript"/>
        </w:rPr>
        <w:t>th</w:t>
      </w:r>
      <w:r>
        <w:rPr>
          <w:rFonts w:ascii="Arial" w:cs="Arial" w:eastAsia="Arial" w:hAnsi="Arial"/>
          <w:sz w:val="16"/>
          <w:szCs w:val="16"/>
          <w:color w:val="auto"/>
        </w:rPr>
        <w:t>, 2021 to the Italian Competent Authorities, and approved by AIFA in September 2021.</w:t>
      </w:r>
    </w:p>
    <w:p>
      <w:pPr>
        <w:spacing w:after="0" w:line="2"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466090</wp:posOffset>
            </wp:positionV>
            <wp:extent cx="5743575" cy="3291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ind w:right="10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status of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151765</wp:posOffset>
            </wp:positionV>
            <wp:extent cx="5743575" cy="908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435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6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137795</wp:posOffset>
            </wp:positionV>
            <wp:extent cx="5357495" cy="1997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5749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9"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last evaluable disease status as assessed by immunotherapy response assessment for neuro-oncology (iRANO) criteria as of November 15</w:t>
      </w:r>
      <w:r>
        <w:rPr>
          <w:rFonts w:ascii="Arial" w:cs="Arial" w:eastAsia="Arial" w:hAnsi="Arial"/>
          <w:sz w:val="29"/>
          <w:szCs w:val="29"/>
          <w:color w:val="auto"/>
          <w:vertAlign w:val="superscript"/>
        </w:rPr>
        <w:t>th</w:t>
      </w:r>
      <w:r>
        <w:rPr>
          <w:rFonts w:ascii="Arial" w:cs="Arial" w:eastAsia="Arial" w:hAnsi="Arial"/>
          <w:sz w:val="18"/>
          <w:szCs w:val="18"/>
          <w:color w:val="auto"/>
        </w:rPr>
        <w:t>, 2021, the last evaluable time point for all 15 treated patients (prior to death, where applicable), was as follows: six patients had shown stable disease (SD), two patients had demonstrated partial response, seven patients had shown progressive disease (PD).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20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intend to submit the CTA for a Temferon Phase 2 study for uMGMT-GBM</w:t>
      </w:r>
    </w:p>
    <w:p>
      <w:pPr>
        <w:sectPr>
          <w:pgSz w:w="11900" w:h="16904" w:orient="portrait"/>
          <w:cols w:equalWidth="0" w:num="1">
            <w:col w:w="11240"/>
          </w:cols>
          <w:pgMar w:left="320" w:top="719" w:right="339" w:bottom="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patients by the fourth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6" w:name="page117"/>
    <w:bookmarkEnd w:id="116"/>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8" w:name="page119"/>
    <w:bookmarkEnd w:id="118"/>
    <w:p>
      <w:pPr>
        <w:ind w:left="660" w:right="60" w:hanging="328"/>
        <w:spacing w:after="0" w:line="301"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19" w:name="page120"/>
    <w:bookmarkEnd w:id="119"/>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4" w:name="page125"/>
    <w:bookmarkEnd w:id="124"/>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5" w:name="page126"/>
    <w:bookmarkEnd w:id="125"/>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6" w:name="page127"/>
    <w:bookmarkEnd w:id="126"/>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left="660" w:hanging="328"/>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29" w:name="page130"/>
    <w:bookmarkEnd w:id="129"/>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0" w:name="page131"/>
    <w:bookmarkEnd w:id="130"/>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2" w:name="page133"/>
    <w:bookmarkEnd w:id="132"/>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4" w:name="page135"/>
    <w:bookmarkEnd w:id="134"/>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6" w:name="page137"/>
    <w:bookmarkEnd w:id="136"/>
    <w:p>
      <w:pPr>
        <w:ind w:left="660" w:right="38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7" w:name="page138"/>
    <w:bookmarkEnd w:id="137"/>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8" w:name="page139"/>
    <w:bookmarkEnd w:id="138"/>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5" w:name="page146"/>
    <w:bookmarkEnd w:id="145"/>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9" w:name="page150"/>
    <w:bookmarkEnd w:id="149"/>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2" w:name="page153"/>
    <w:bookmarkEnd w:id="152"/>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December 12, 2021 by:</w:t>
      </w:r>
    </w:p>
    <w:p>
      <w:pPr>
        <w:spacing w:after="0" w:line="252"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Percentage of shares beneficially owned before this offering is based on 15,000,000 shares outstanding on December 12, 2021. The number of ordinary shares deemed outstanding after this offering includes the ordinary shares being offered for sale in this offering but assumes no exercise by the representative of the underwriters of the over-allotment option.</w:t>
      </w:r>
    </w:p>
    <w:p>
      <w:pPr>
        <w:spacing w:after="0" w:line="214"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 of Shares</w:t>
            </w:r>
          </w:p>
        </w:tc>
        <w:tc>
          <w:tcPr>
            <w:tcW w:w="206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2220" w:type="dxa"/>
            <w:vAlign w:val="bottom"/>
            <w:gridSpan w:val="2"/>
            <w:vMerge w:val="restart"/>
          </w:tcPr>
          <w:p>
            <w:pPr>
              <w:jc w:val="center"/>
              <w:ind w:right="60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20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2060" w:type="dxa"/>
            <w:vAlign w:val="bottom"/>
            <w:gridSpan w:val="2"/>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Owned</w:t>
            </w: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Prior to this</w:t>
            </w: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Before this</w:t>
            </w:r>
          </w:p>
        </w:tc>
        <w:tc>
          <w:tcPr>
            <w:tcW w:w="22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After this</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4"/>
                <w:szCs w:val="2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2060" w:type="dxa"/>
            <w:vAlign w:val="bottom"/>
            <w:gridSpan w:val="2"/>
          </w:tcPr>
          <w:p>
            <w:pPr>
              <w:jc w:val="center"/>
              <w:ind w:right="380"/>
              <w:spacing w:after="0" w:line="270" w:lineRule="exact"/>
              <w:rPr>
                <w:sz w:val="20"/>
                <w:szCs w:val="20"/>
                <w:color w:val="auto"/>
              </w:rPr>
            </w:pPr>
            <w:r>
              <w:rPr>
                <w:rFonts w:ascii="Arial" w:cs="Arial" w:eastAsia="Arial" w:hAnsi="Arial"/>
                <w:sz w:val="18"/>
                <w:szCs w:val="18"/>
                <w:b w:val="1"/>
                <w:bCs w:val="1"/>
                <w:color w:val="auto"/>
                <w:w w:val="89"/>
              </w:rPr>
              <w:t>Offering</w:t>
            </w:r>
            <w:r>
              <w:rPr>
                <w:rFonts w:ascii="Arial" w:cs="Arial" w:eastAsia="Arial" w:hAnsi="Arial"/>
                <w:sz w:val="29"/>
                <w:szCs w:val="29"/>
                <w:b w:val="1"/>
                <w:bCs w:val="1"/>
                <w:color w:val="auto"/>
                <w:w w:val="89"/>
                <w:vertAlign w:val="superscript"/>
              </w:rPr>
              <w:t>(1)</w:t>
            </w:r>
          </w:p>
        </w:tc>
        <w:tc>
          <w:tcPr>
            <w:tcW w:w="2220" w:type="dxa"/>
            <w:vAlign w:val="bottom"/>
            <w:gridSpan w:val="2"/>
          </w:tcPr>
          <w:p>
            <w:pPr>
              <w:jc w:val="center"/>
              <w:ind w:right="560"/>
              <w:spacing w:after="0" w:line="270" w:lineRule="exact"/>
              <w:rPr>
                <w:sz w:val="20"/>
                <w:szCs w:val="20"/>
                <w:color w:val="auto"/>
              </w:rPr>
            </w:pPr>
            <w:r>
              <w:rPr>
                <w:rFonts w:ascii="Arial" w:cs="Arial" w:eastAsia="Arial" w:hAnsi="Arial"/>
                <w:sz w:val="18"/>
                <w:szCs w:val="18"/>
                <w:b w:val="1"/>
                <w:bCs w:val="1"/>
                <w:color w:val="auto"/>
                <w:w w:val="87"/>
              </w:rPr>
              <w:t>Offering</w:t>
            </w:r>
            <w:r>
              <w:rPr>
                <w:rFonts w:ascii="Arial" w:cs="Arial" w:eastAsia="Arial" w:hAnsi="Arial"/>
                <w:sz w:val="29"/>
                <w:szCs w:val="29"/>
                <w:b w:val="1"/>
                <w:bCs w:val="1"/>
                <w:color w:val="auto"/>
                <w:w w:val="87"/>
                <w:vertAlign w:val="superscript"/>
              </w:rPr>
              <w:t>(3)</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Stephen Squinto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2,275,516</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Arial" w:cs="Arial" w:eastAsia="Arial" w:hAnsi="Arial"/>
                <w:sz w:val="18"/>
                <w:szCs w:val="18"/>
                <w:color w:val="auto"/>
              </w:rPr>
              <w:t>Roger Abravanel</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73,729</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220"/>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16,357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Guido Guidi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61,553</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49,469</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Anthony Marucci</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19,947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Carlo-Russo</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598,417</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1,386,145</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Bernard Gentner</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692,871</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4.62%</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5,174,004</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34.49%</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5% Shareholders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1,896,730</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12.64%</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390"/>
        </w:trPr>
        <w:tc>
          <w:tcPr>
            <w:tcW w:w="496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3,404,688</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22.70%</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December 12,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3"/>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ordinary shares of the Company on behalf of no. 43 beneficial owners (“fiducianti”).</w:t>
      </w:r>
    </w:p>
    <w:p>
      <w:pPr>
        <w:spacing w:after="0" w:line="5" w:lineRule="exact"/>
        <w:rPr>
          <w:rFonts w:ascii="Arial" w:cs="Arial" w:eastAsia="Arial" w:hAnsi="Arial"/>
          <w:sz w:val="29"/>
          <w:szCs w:val="29"/>
          <w:color w:val="auto"/>
          <w:vertAlign w:val="superscript"/>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percentages shown are based on 18,120,114 securities issued and outstanding after this offering.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2,450 ordinary shares that Mr. Abravanel intends to purchase in the Reserved Offering.</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22.70%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12,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808" w:gutter="0" w:footer="0" w:header="0"/>
        </w:sectPr>
      </w:pPr>
    </w:p>
    <w:bookmarkStart w:id="154" w:name="page155"/>
    <w:bookmarkEnd w:id="154"/>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is also eligible to receive an annual cash bonus of up to 20%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04"/>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hanging="712"/>
        <w:spacing w:after="0" w:line="257" w:lineRule="auto"/>
        <w:tabs>
          <w:tab w:leader="none" w:pos="720" w:val="left"/>
        </w:tabs>
        <w:numPr>
          <w:ilvl w:val="0"/>
          <w:numId w:val="104"/>
        </w:numPr>
        <w:rPr>
          <w:rFonts w:ascii="Arial" w:cs="Arial" w:eastAsia="Arial" w:hAnsi="Arial"/>
          <w:sz w:val="18"/>
          <w:szCs w:val="18"/>
          <w:i w:val="1"/>
          <w:iCs w:val="1"/>
          <w:color w:val="auto"/>
        </w:rPr>
      </w:pPr>
      <w:r>
        <w:rPr>
          <w:rFonts w:ascii="Arial" w:cs="Arial" w:eastAsia="Arial" w:hAnsi="Arial"/>
          <w:sz w:val="18"/>
          <w:szCs w:val="18"/>
          <w:color w:val="auto"/>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05"/>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ectPr>
          <w:pgSz w:w="11900" w:h="16838" w:orient="portrait"/>
          <w:cols w:equalWidth="0" w:num="1">
            <w:col w:w="11220"/>
          </w:cols>
          <w:pgMar w:left="320" w:top="715" w:right="359" w:bottom="94" w:gutter="0" w:footer="0" w:header="0"/>
        </w:sectPr>
      </w:pPr>
    </w:p>
    <w:bookmarkStart w:id="155" w:name="page156"/>
    <w:bookmarkEnd w:id="155"/>
    <w:p>
      <w:pPr>
        <w:jc w:val="both"/>
        <w:ind w:right="300"/>
        <w:spacing w:after="0" w:line="263" w:lineRule="auto"/>
        <w:rPr>
          <w:sz w:val="20"/>
          <w:szCs w:val="20"/>
          <w:color w:val="auto"/>
        </w:rPr>
      </w:pPr>
      <w:r>
        <w:rPr>
          <w:rFonts w:ascii="Arial" w:cs="Arial" w:eastAsia="Arial" w:hAnsi="Arial"/>
          <w:sz w:val="18"/>
          <w:szCs w:val="18"/>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 mutual agreement between the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or before the time of effectiveness of this registration statement, an indemnification agreement with our directors and executive officers will be entered into. The indemnification agreement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€33.6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57" w:name="page158"/>
    <w:bookmarkEnd w:id="157"/>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grant to the board of directors the authority to approve the issuance of a maximum number of 0.5 million warrants to be granted free of charge to the Underwriters and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24"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416" w:gutter="0" w:footer="0" w:header="0"/>
        </w:sectPr>
      </w:pPr>
    </w:p>
    <w:bookmarkStart w:id="159" w:name="page160"/>
    <w:bookmarkEnd w:id="159"/>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0" w:name="page161"/>
    <w:bookmarkEnd w:id="160"/>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1" w:name="page162"/>
    <w:bookmarkEnd w:id="161"/>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2" w:name="page163"/>
    <w:bookmarkEnd w:id="162"/>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Mayer Hoffman McCann, P.C. remains the PCAOB-registered, independent registered public accounting firm for the purposes of all of our filings in the United States; however, 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for statutory filings.This is separate and apart from the work of Mayer Hoffman McCann, P.C. The Italian external auditor’s opinion on the financial statements must be published in Italy.</w:t>
      </w:r>
    </w:p>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Italian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Italian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4" w:name="page165"/>
    <w:bookmarkEnd w:id="164"/>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reserved the symbol “GNTA” for purposes of listing the ADSs on the Nasdaq Capital Market.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0" w:name="page171"/>
    <w:bookmarkEnd w:id="170"/>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2" w:name="page173"/>
    <w:bookmarkEnd w:id="172"/>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3" w:name="page174"/>
    <w:bookmarkEnd w:id="173"/>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4" w:name="page175"/>
    <w:bookmarkEnd w:id="174"/>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78" w:name="page179"/>
    <w:bookmarkEnd w:id="17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79" w:name="page180"/>
    <w:bookmarkEnd w:id="17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0" w:name="page181"/>
    <w:bookmarkEnd w:id="18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3" w:name="page194"/>
    <w:bookmarkEnd w:id="193"/>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4" w:name="page195"/>
    <w:bookmarkEnd w:id="194"/>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5" w:name="page196"/>
    <w:bookmarkEnd w:id="195"/>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6" w:name="page197"/>
    <w:bookmarkEnd w:id="196"/>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Roth Capital Partners, LLC is acting as the representative of the underwriters named below. We have entered into an underwriting agreement dated December 14, 2021 with the Representative.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00" w:type="dxa"/>
            <w:vAlign w:val="bottom"/>
            <w:gridSpan w:val="2"/>
          </w:tcPr>
          <w:p>
            <w:pPr>
              <w:ind w:left="4000"/>
              <w:spacing w:after="0"/>
              <w:rPr>
                <w:sz w:val="20"/>
                <w:szCs w:val="20"/>
                <w:color w:val="auto"/>
              </w:rPr>
            </w:pPr>
            <w:r>
              <w:rPr>
                <w:rFonts w:ascii="Arial" w:cs="Arial" w:eastAsia="Arial" w:hAnsi="Arial"/>
                <w:sz w:val="14"/>
                <w:szCs w:val="14"/>
                <w:b w:val="1"/>
                <w:bCs w:val="1"/>
                <w:color w:val="auto"/>
              </w:rPr>
              <w:t>Underwriter</w:t>
            </w:r>
          </w:p>
        </w:tc>
        <w:tc>
          <w:tcPr>
            <w:tcW w:w="2240" w:type="dxa"/>
            <w:vAlign w:val="bottom"/>
            <w:gridSpan w:val="2"/>
          </w:tcPr>
          <w:p>
            <w:pPr>
              <w:ind w:left="540"/>
              <w:spacing w:after="0"/>
              <w:rPr>
                <w:sz w:val="20"/>
                <w:szCs w:val="20"/>
                <w:color w:val="auto"/>
              </w:rPr>
            </w:pPr>
            <w:r>
              <w:rPr>
                <w:rFonts w:ascii="Arial" w:cs="Arial" w:eastAsia="Arial" w:hAnsi="Arial"/>
                <w:sz w:val="14"/>
                <w:szCs w:val="14"/>
                <w:b w:val="1"/>
                <w:bCs w:val="1"/>
                <w:color w:val="auto"/>
              </w:rPr>
              <w:t>Number of ADSs</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2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Maxim Group LLC</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480,000</w:t>
            </w:r>
          </w:p>
        </w:tc>
      </w:tr>
      <w:tr>
        <w:trPr>
          <w:trHeight w:val="216"/>
        </w:trPr>
        <w:tc>
          <w:tcPr>
            <w:tcW w:w="8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2,400,000</w:t>
            </w:r>
          </w:p>
        </w:tc>
      </w:tr>
    </w:tbl>
    <w:p>
      <w:pPr>
        <w:spacing w:after="0" w:line="21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underwriters are committed to purchase all the ADSs offered by the Company, other than those covered by the over-allotment option to purchase additional ADSs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are subject to various representations and warranties and other customary conditions specified in the underwriting agreement, such as receipt by the underwriters of officers’ certificates and legal opinions.</w:t>
      </w:r>
    </w:p>
    <w:p>
      <w:pPr>
        <w:spacing w:after="0" w:line="20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have granted the underwriters an over-allotment option. This option, which is exercisable for up to 30 days after the date of this prospectus, permits the underwriters to purchase up to an aggregate of 360,000 additional ADSs (equal to 15% of the total number of ADSs sold in this offering) at the public offering price per share, less underwriting discounts and commissions, solely to cover over-allotments, if any. If the Representative exercises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Representative has advised us that the underwriters propose to offer the ADSs to the public at the initial public offering price per share set forth on the cover page of this prospectus. The underwriters may offer ADSs to securities dealers at that price less a concession of not more than $0.4025 per ADS. After the initial offering to the public, the public offering price and other selling terms may be changed by the Representative.</w:t>
      </w:r>
    </w:p>
    <w:p>
      <w:pPr>
        <w:spacing w:after="0" w:line="17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advisory fees payable to the underwriters and proceeds, before expenses, to us assuming both no exercise and full exercise by the underwriters of their over-allotment option: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 ADS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Without Option</w:t>
            </w:r>
          </w:p>
        </w:tc>
        <w:tc>
          <w:tcPr>
            <w:tcW w:w="1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35,881,311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40,021,311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0.805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1,932,000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2,221,800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fee (Reserved Offering, 4.5%)</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372,659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10.695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33,576,652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37,426,852</w:t>
            </w:r>
          </w:p>
        </w:tc>
      </w:tr>
      <w:tr>
        <w:trPr>
          <w:trHeight w:val="452"/>
        </w:trPr>
        <w:tc>
          <w:tcPr>
            <w:tcW w:w="50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200" w:name="page201"/>
    <w:bookmarkEnd w:id="200"/>
    <w:p>
      <w:pPr>
        <w:ind w:right="300" w:firstLine="648"/>
        <w:spacing w:after="0" w:line="301" w:lineRule="auto"/>
        <w:rPr>
          <w:sz w:val="20"/>
          <w:szCs w:val="20"/>
          <w:color w:val="auto"/>
        </w:rPr>
      </w:pPr>
      <w:r>
        <w:rPr>
          <w:rFonts w:ascii="Arial" w:cs="Arial" w:eastAsia="Arial" w:hAnsi="Arial"/>
          <w:sz w:val="16"/>
          <w:szCs w:val="16"/>
          <w:color w:val="auto"/>
        </w:rPr>
        <w:t>The underwriters have agreed that the maximum aggregate underwriting discounts and commissions shall not exceed 6.5% of the total gross proceeds from the offering. In addition, we have also agreed to pay the reasonable and documented expenses of the underwriters relating to the offering (including the costs of document preparation, production and distribution (such as printing and binding, and photocopies), and third-party research and database services, and the reasonable fees and disbursements of independent counsel), up to an aggregate of $470,000.</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estimate the expenses of this offering payable by us, not including underwriting discounts and commissions, will be approximately $1.4 million, including a $200,000 cash advisory fee payable to Roth if more than $5 million in gross proceeds are provided by investors from the United States and the United Kingdom.</w:t>
      </w:r>
    </w:p>
    <w:p>
      <w:pPr>
        <w:spacing w:after="0" w:line="2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has granted to Roth Capital Partners, LLC and Maxim Group LLC a right of first refusal to act as underwriters in a future public or private offering by the Company. This right of first refusal complies with FINRA Rule 5110(g)(6) and is deemed to have an underwriting compensation value of 1% of the amount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Warrants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the closing of this offering, we have agreed to issue to the Underwriters’ Warrants, or the Underwriters’ Warrants, to purchase up to 26,080 ADSs equal to 4% of the total number of ADSs sold in this public offering to investors other than (i) non-US retail, family office or institutional investors identified by the Company and mutually agreed with the Representative and (ii) existing investors in the Company. The Underwriters’ Warrants will be exercisable at a per share exercise price equal to 125% of the public offering price per ADS sold in this offering. The Underwriters’ Warrants are exercisable at any time and from time to time, in whole or in part, during the four and one-half year period commencing six months from the deemed effective date of the registration statement related to this offering. The Underwriters’ Warrants provide for customary antidilution provisions and contingent registration rights in compliance with FINRA Rule 5110(g)(8)(D).</w:t>
      </w:r>
    </w:p>
    <w:p>
      <w:pPr>
        <w:spacing w:after="0" w:line="19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Underwriters’ Warrants and the ADSs underlying the Underwriters’ Warrants have been deemed compensation by the Financial Industry Regulatory Authority, or FINRA, and are therefore subject to a 180-day lock-up pursuant to FINRA Rule 5110(g)(1). The holder, or permitted assignees under such rule, may not sell, transfer, assign, pledge, or hypothecate the Underwriters’ Warrants or the ADSs underlying the Underwriters’ Warrants, nor will the holder engage in any hedging, short sale, derivative, put, or call transaction that would result in the effective economic disposition of the Underwriters’ Warrants or the underlying ADSs for a period of 180 days from the deemed effective date of the registration statement. Additionally, the Underwriters’ Warrants may not be sold transferred, assigned, pledged or hypothecated for a 180-day period following the deemed effective date of the registration statement except to any underwriter and selected dealer participating in the offering and their bona fide officers or partners. The Underwriters’ Warrants will provide for adjustment in the number and price of the Underwriters’ Warrants and the ADSs underlying such Underwriters’ Warrants in the event of recapitalization, merger, stock split or other structural transaction, or a future financing undertaken by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Offering/Directed Share Program</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our request, 720,114 ordinary shares covered by the registration statement of which this prospectus is part have been reserved for sale, at the 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proceeds from the Reserved Offering minus an advisory fee payable to the underwriters equal to 4.5% of the offering price of ordinary shares sold to existing shareholders. The offer and sale of ordinary shares in the Reserved Offering (i) is contingent upon the completion of the offering of ADSs and will commence and be consummated concurrently with such offering of ADSs, (ii) 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 for a period of 180 days following the date of this prospectus,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our stockholders at the time of the Corporate Conversion to abide by the restrictions of the lock-up agreement. In addition, each of our directors and executive officers and each beneficial owner of 10% or more of the ADSs or ordinary shares will abide by similar 180-day lock-up agreement with respect to their ordinary shares, ADSs, depositary shares representing the ADSs and securities that are substantially similar to the ADSs or depositary shares representing our ordinary shares, subject to customary exceptions for transfers among affiliates. The restrictions of our lock-up agreement do not apply to: (1) 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ordinary shares purchased from us in the Reserved Offering and ADSs purchased from the underwriters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this offering, there has not been a public market for our securities in the U.S. and the public offering price for the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ADSs have been approved for listing on the Nasdaq Capital Market under the symbol “GNTA,” subject to official notice of issuance.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Penalty bids permit the Representative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3" w:name="page204"/>
    <w:bookmarkEnd w:id="203"/>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no securities have been offered or will be offered pursuant to the offering described in this prospectus to the public in that relevant member state prior to the publication of a prospectus in relation to the securities that has been approved by the competent authority in that relevant member state, all in accordance with the Prospectus Regulation, except that offers of securities may be made to the public in that relevant member state at any time:</w:t>
      </w:r>
    </w:p>
    <w:p>
      <w:pPr>
        <w:spacing w:after="0" w:line="214" w:lineRule="exact"/>
        <w:rPr>
          <w:sz w:val="20"/>
          <w:szCs w:val="20"/>
          <w:color w:val="auto"/>
        </w:rPr>
      </w:pPr>
    </w:p>
    <w:p>
      <w:pPr>
        <w:ind w:left="760" w:hanging="104"/>
        <w:spacing w:after="0"/>
        <w:tabs>
          <w:tab w:leader="none" w:pos="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qualified investors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securities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40"/>
          </w:cols>
          <w:pgMar w:left="320" w:top="715" w:right="339" w:bottom="0"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Nasdaq listing fee</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4,740</w:t>
            </w:r>
          </w:p>
        </w:tc>
        <w:tc>
          <w:tcPr>
            <w:tcW w:w="8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Printer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18"/>
                <w:szCs w:val="18"/>
                <w:color w:val="auto"/>
              </w:rPr>
            </w:pP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1,210,045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7" w:name="page208"/>
    <w:bookmarkEnd w:id="207"/>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7">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8">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09" w:name="page210"/>
    <w:bookmarkEnd w:id="209"/>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6"/>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6"/>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7"/>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5" w:name="page216"/>
    <w:bookmarkEnd w:id="215"/>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the Company and not actual shares. The Company did not believe that representing loss per quota was a meaningful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8" w:name="page219"/>
    <w:bookmarkEnd w:id="218"/>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1" w:name="page222"/>
    <w:bookmarkEnd w:id="221"/>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5" w:name="page226"/>
    <w:bookmarkEnd w:id="225"/>
    <w:p>
      <w:pPr>
        <w:ind w:left="660" w:right="60" w:hanging="328"/>
        <w:spacing w:after="0" w:line="269" w:lineRule="auto"/>
        <w:tabs>
          <w:tab w:leader="none" w:pos="660"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6"/>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7"/>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6" w:name="page227"/>
    <w:bookmarkEnd w:id="226"/>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7" w:name="page228"/>
    <w:bookmarkEnd w:id="227"/>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8" w:name="page229"/>
    <w:bookmarkEnd w:id="228"/>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30"/>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5" w:name="page236"/>
    <w:bookmarkEnd w:id="235"/>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49"/>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Income taxes (Note 5)</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per share information (unaudited):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14,772,610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3"/>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4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ind w:left="260" w:right="7740" w:hanging="252"/>
        <w:spacing w:after="0" w:line="503" w:lineRule="auto"/>
        <w:tabs>
          <w:tab w:leader="none" w:pos="197"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1" w:name="page242"/>
    <w:bookmarkEnd w:id="24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or the interim Statement of Operations and Comprehensive Loss at June 30, 2020 because the Company determined it was not a meaningful or material disclosure due to the Company’s capital structure.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3" w:name="page244"/>
    <w:bookmarkEnd w:id="24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8" w:name="page249"/>
    <w:bookmarkEnd w:id="248"/>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49" w:name="page250"/>
    <w:bookmarkEnd w:id="249"/>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0" w:name="page251"/>
    <w:bookmarkEnd w:id="25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5" w:name="page256"/>
    <w:bookmarkEnd w:id="255"/>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45"/>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47"/>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8" w:name="page259"/>
    <w:bookmarkEnd w:id="25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3" w:name="page264"/>
    <w:bookmarkEnd w:id="263"/>
    <w:p>
      <w:pPr>
        <w:jc w:val="center"/>
        <w:ind w:right="-219"/>
        <w:spacing w:after="0"/>
        <w:rPr>
          <w:sz w:val="20"/>
          <w:szCs w:val="20"/>
          <w:color w:val="auto"/>
        </w:rPr>
      </w:pPr>
      <w:r>
        <w:rPr>
          <w:rFonts w:ascii="Arial" w:cs="Arial" w:eastAsia="Arial" w:hAnsi="Arial"/>
          <w:sz w:val="25"/>
          <w:szCs w:val="25"/>
          <w:b w:val="1"/>
          <w:bCs w:val="1"/>
          <w:color w:val="auto"/>
        </w:rPr>
        <w:t>3,120,114 Ordinary Shares</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(including 2,400,000 Ordinary Shares in the form of American Depository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165735</wp:posOffset>
            </wp:positionV>
            <wp:extent cx="4286250" cy="9683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Maxim Group LLC</w:t>
      </w:r>
    </w:p>
    <w:p>
      <w:pPr>
        <w:spacing w:after="0" w:line="26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December 15,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January 8, 2022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20"/>
      </w:cols>
      <w:pgMar w:left="320" w:top="71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lowerRoman"/>
      <w:start w:val="2"/>
    </w:lvl>
    <w:lvl w:ilvl="1">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1)"/>
      <w:numFmt w:val="decimal"/>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1"/>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
      <w:numFmt w:val="bullet"/>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1."/>
      <w:numFmt w:val="decimal"/>
      <w:start w:val="1"/>
    </w:lvl>
  </w:abstractNum>
  <w:abstractNum w:abstractNumId="68">
    <w:nsid w:val="1D9F6E5F"/>
    <w:multiLevelType w:val="hybridMultilevel"/>
    <w:lvl w:ilvl="0">
      <w:lvlJc w:val="left"/>
      <w:lvlText w:val="%1)"/>
      <w:numFmt w:val="lowerLetter"/>
      <w:start w:val="1"/>
    </w:lvl>
  </w:abstractNum>
  <w:abstractNum w:abstractNumId="69">
    <w:nsid w:val="97E1B4E"/>
    <w:multiLevelType w:val="hybridMultilevel"/>
    <w:lvl w:ilvl="0">
      <w:lvlJc w:val="left"/>
      <w:lvlText w:val="(%1)"/>
      <w:numFmt w:val="decimal"/>
      <w:start w:val="1"/>
    </w:lvl>
  </w:abstractNum>
  <w:abstractNum w:abstractNumId="70">
    <w:nsid w:val="51088277"/>
    <w:multiLevelType w:val="hybridMultilevel"/>
    <w:lvl w:ilvl="0">
      <w:lvlJc w:val="left"/>
      <w:lvlText w:val="(%1)"/>
      <w:numFmt w:val="lowerRoman"/>
      <w:start w:val="1"/>
    </w:lvl>
  </w:abstractNum>
  <w:abstractNum w:abstractNumId="71">
    <w:nsid w:val="1CA0C5FA"/>
    <w:multiLevelType w:val="hybridMultilevel"/>
    <w:lvl w:ilvl="0">
      <w:lvlJc w:val="left"/>
      <w:lvlText w:val="%1"/>
      <w:numFmt w:val="upperLetter"/>
      <w:start w:val="1"/>
    </w:lvl>
    <w:lvl w:ilvl="1">
      <w:lvlJc w:val="left"/>
      <w:lvlText w:val="%2)"/>
      <w:numFmt w:val="upperLetter"/>
      <w:start w:val="1"/>
    </w:lvl>
  </w:abstractNum>
  <w:abstractNum w:abstractNumId="72">
    <w:nsid w:val="53584BCB"/>
    <w:multiLevelType w:val="hybridMultilevel"/>
    <w:lvl w:ilvl="0">
      <w:lvlJc w:val="left"/>
      <w:lvlText w:val="%1)"/>
      <w:numFmt w:val="upperLetter"/>
      <w:start w:val="2"/>
    </w:lvl>
    <w:lvl w:ilvl="1">
      <w:lvlJc w:val="left"/>
      <w:lvlText w:val="%2"/>
      <w:numFmt w:val="upperLetter"/>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lvl w:ilvl="1">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1)"/>
      <w:numFmt w:val="lowerRoman"/>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1)"/>
      <w:numFmt w:val="decimal"/>
      <w:start w:val="1"/>
    </w:lvl>
  </w:abstractNum>
  <w:abstractNum w:abstractNumId="103">
    <w:nsid w:val="2C6E4AFD"/>
    <w:multiLevelType w:val="hybridMultilevel"/>
    <w:lvl w:ilvl="0">
      <w:lvlJc w:val="left"/>
      <w:lvlText w:val="(%1)"/>
      <w:numFmt w:val="lowerLetter"/>
      <w:start w:val="1"/>
    </w:lvl>
  </w:abstractNum>
  <w:abstractNum w:abstractNumId="104">
    <w:nsid w:val="17A1B582"/>
    <w:multiLevelType w:val="hybridMultilevel"/>
    <w:lvl w:ilvl="0">
      <w:lvlJc w:val="left"/>
      <w:lvlText w:val="(%1)"/>
      <w:numFmt w:val="lowerLetter"/>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lowerRoman"/>
      <w:start w:val="1"/>
    </w:lvl>
  </w:abstractNum>
  <w:abstractNum w:abstractNumId="110">
    <w:nsid w:val="19E21BB2"/>
    <w:multiLevelType w:val="hybridMultilevel"/>
    <w:lvl w:ilvl="0">
      <w:lvlJc w:val="left"/>
      <w:lvlText w:val="%1)"/>
      <w:numFmt w:val="lowerLetter"/>
      <w:start w:val="1"/>
    </w:lvl>
    <w:lvl w:ilvl="1">
      <w:lvlJc w:val="left"/>
      <w:lvlText w:val="-"/>
      <w:numFmt w:val="bullet"/>
      <w:start w:val="1"/>
    </w:lvl>
  </w:abstractNum>
  <w:abstractNum w:abstractNumId="111">
    <w:nsid w:val="75E0858A"/>
    <w:multiLevelType w:val="hybridMultilevel"/>
    <w:lvl w:ilvl="0">
      <w:lvlJc w:val="left"/>
      <w:lvlText w:val="●"/>
      <w:numFmt w:val="bullet"/>
      <w:start w:val="1"/>
    </w:lvl>
    <w:lvl w:ilvl="1">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1)"/>
      <w:numFmt w:val="lowerRoman"/>
      <w:start w:val="2"/>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decimal"/>
      <w:start w:val="3"/>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1)"/>
      <w:numFmt w:val="lowerLetter"/>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1)"/>
      <w:numFmt w:val="lowerLetter"/>
      <w:start w:val="17"/>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abstractNum>
  <w:abstractNum w:abstractNumId="130">
    <w:nsid w:val="1849C29B"/>
    <w:multiLevelType w:val="hybridMultilevel"/>
    <w:lvl w:ilvl="0">
      <w:lvlJc w:val="left"/>
      <w:lvlText w:val="%1."/>
      <w:numFmt w:val="decimal"/>
      <w:start w:val="10"/>
    </w:lvl>
    <w:lvl w:ilvl="1">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
      <w:numFmt w:val="bullet"/>
      <w:start w:val="1"/>
    </w:lvl>
  </w:abstractNum>
  <w:abstractNum w:abstractNumId="136">
    <w:nsid w:val="37DF2233"/>
    <w:multiLevelType w:val="hybridMultilevel"/>
    <w:lvl w:ilvl="0">
      <w:lvlJc w:val="left"/>
      <w:lvlText w:val="%1."/>
      <w:numFmt w:val="decimal"/>
      <w:start w:val="2"/>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1)"/>
      <w:numFmt w:val="lowerLetter"/>
      <w:start w:val="17"/>
    </w:lvl>
    <w:lvl w:ilvl="1">
      <w:lvlJc w:val="left"/>
      <w:lvlText w:val="●"/>
      <w:numFmt w:val="bullet"/>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1)"/>
      <w:numFmt w:val="lowerLetter"/>
      <w:start w:val="1"/>
    </w:lvl>
  </w:abstractNum>
  <w:abstractNum w:abstractNumId="145">
    <w:nsid w:val="78B5E776"/>
    <w:multiLevelType w:val="hybridMultilevel"/>
    <w:lvl w:ilvl="0">
      <w:lvlJc w:val="left"/>
      <w:lvlText w:val="●"/>
      <w:numFmt w:val="bullet"/>
      <w:start w:val="1"/>
    </w:lvl>
  </w:abstractNum>
  <w:abstractNum w:abstractNumId="146">
    <w:nsid w:val="75486E47"/>
    <w:multiLevelType w:val="hybridMultilevel"/>
    <w:lvl w:ilvl="0">
      <w:lvlJc w:val="left"/>
      <w:lvlText w:val="1"/>
      <w:numFmt w:val="bullet"/>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2021-12-15T10:33:12Z</dcterms:created>
  <dcterms:modified xsi:type="dcterms:W3CDTF">2021-12-15T10:33:12Z</dcterms:modified>
</cp:coreProperties>
</file>