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November 2024</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001-41115</w:t>
      </w:r>
    </w:p>
    <w:p>
      <w:pPr>
        <w:spacing w:after="0" w:line="200"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32"/>
          <w:szCs w:val="32"/>
          <w:b w:val="1"/>
          <w:bCs w:val="1"/>
          <w:color w:val="auto"/>
        </w:rPr>
        <w:t>GENENTA SCIENCE S.P.A.</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Via Olgettina No. 58</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20132 Milan, Italy</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ind w:right="599"/>
        <w:spacing w:after="0" w:line="353"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This report on Form 6-K is incorporated by reference into the registrant’s registration statement on Form F-3 (File No. 333-271901).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481330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AGC Letter of Intent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October 31, 2024, Genenta Science S.p.A. (“Genenta”) entered into a letter of intent (the “LOI”) with AGC Biologics S.p.A. (“AGC”), pursuant to which Genenta and AGC agreed to negotiate the terms of a development and manufacturing services agreement for Genenta’s cell therapy products (the “Proposed Agreement”) and to execute the Proposed Agreement by December 15, 2024 (the “Negotiation End Date”). Pursuant to the LOI, AGC shall: (i) reserve an exclusive GMP suite (the “EGS”) in accordance with the terms of the LOI; and (ii) commit a dedicated team of five (5) full-time employees where, upon approval of the EGS by the Agenzia Italiana del Farmaco, shall be made available for the exclusive benefit of Genenta for use in connection with the services pursuant to the Proposed Agreement. If the Proposed Agreement is not executed by the Negotiation End Date, Genenta shall pay to AGC: (i) €100,000 for the reservation of the EGS; and (ii) €140,000 per month for twelve (12) months starting from the Negotiation End Date.</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above description of the LOI is qualified in its entirety by reference to the LOI, a copy of which is filed as Exhibit 10.1 hereto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Update Regarding Intellectual Property</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April 2024, Genenta filed a patent application relating to methods of treating solid cancers with Temferon in combination with a checkpoint inhibitor and, in September 2024, Genenta filed a patent application relating to methods of treating renal cell carcinoma with Temferon in combination with a checkpoint inhibitor (together, the “Provisional Patents”). The Provisional Patents are wholly owned by Genenta.</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Genenta’s option rights to include three additional patent families in the license granted to Genenta under the Original License Agreement with San Raffaele Hospital (Ospedale San Raffaele or “OSR”) expired. The expiration of these option rights will not have a material adverse effect on Genenta’s business, financial condition or results of operations. Genenta is able to make Temferon without access to these patent families. The patent families to which Genenta has rights under the Amended and Restated License Agreement (“ARLA”) are set forth in the table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Focus / Family</w:t>
            </w:r>
          </w:p>
        </w:tc>
        <w:tc>
          <w:tcPr>
            <w:tcW w:w="240" w:type="dxa"/>
            <w:vAlign w:val="bottom"/>
          </w:tcPr>
          <w:p>
            <w:pPr>
              <w:spacing w:after="0"/>
              <w:rPr>
                <w:sz w:val="21"/>
                <w:szCs w:val="21"/>
                <w:color w:val="auto"/>
              </w:rPr>
            </w:pP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U.S.</w:t>
            </w:r>
          </w:p>
        </w:tc>
        <w:tc>
          <w:tcPr>
            <w:tcW w:w="200" w:type="dxa"/>
            <w:vAlign w:val="bottom"/>
          </w:tcPr>
          <w:p>
            <w:pPr>
              <w:spacing w:after="0"/>
              <w:rPr>
                <w:sz w:val="21"/>
                <w:szCs w:val="21"/>
                <w:color w:val="auto"/>
              </w:rPr>
            </w:pPr>
          </w:p>
        </w:tc>
        <w:tc>
          <w:tcPr>
            <w:tcW w:w="2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E.U.</w:t>
            </w:r>
          </w:p>
        </w:tc>
        <w:tc>
          <w:tcPr>
            <w:tcW w:w="220" w:type="dxa"/>
            <w:vAlign w:val="bottom"/>
          </w:tcPr>
          <w:p>
            <w:pPr>
              <w:spacing w:after="0"/>
              <w:rPr>
                <w:sz w:val="21"/>
                <w:szCs w:val="21"/>
                <w:color w:val="auto"/>
              </w:rPr>
            </w:pPr>
          </w:p>
        </w:tc>
        <w:tc>
          <w:tcPr>
            <w:tcW w:w="2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0" w:type="dxa"/>
            <w:vAlign w:val="bottom"/>
          </w:tcPr>
          <w:p>
            <w:pPr>
              <w:spacing w:after="0"/>
              <w:rPr>
                <w:sz w:val="1"/>
                <w:szCs w:val="1"/>
                <w:color w:val="auto"/>
              </w:rPr>
            </w:pPr>
          </w:p>
        </w:tc>
      </w:tr>
      <w:tr>
        <w:trPr>
          <w:trHeight w:val="414"/>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 Vector comprising mi-RNA</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USP 10,000,757*</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EP 2002003 B1</w:t>
            </w: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5/26/2026*</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(composition and method of treatment</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USP 9,556,438</w:t>
            </w: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claims)</w:t>
            </w:r>
          </w:p>
        </w:tc>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PCT/IB2006/002266 (WO</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USSN 16/004,394</w:t>
            </w: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2007/000668).</w:t>
            </w:r>
          </w:p>
        </w:tc>
        <w:tc>
          <w:tcPr>
            <w:tcW w:w="240" w:type="dxa"/>
            <w:vAlign w:val="bottom"/>
          </w:tcPr>
          <w:p>
            <w:pPr>
              <w:spacing w:after="0"/>
              <w:rPr>
                <w:sz w:val="20"/>
                <w:szCs w:val="20"/>
                <w:color w:val="auto"/>
              </w:rPr>
            </w:pPr>
          </w:p>
        </w:tc>
        <w:tc>
          <w:tcPr>
            <w:tcW w:w="2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(pending)</w:t>
            </w:r>
          </w:p>
        </w:tc>
        <w:tc>
          <w:tcPr>
            <w:tcW w:w="2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 Vector comprising mi-RNA</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USP 10,287,579</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EP 2424571 B1</w:t>
            </w: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4/30/2030</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(composition and method of treatment</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USP 9,951,328</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EP 20167404.1</w:t>
            </w: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claims)</w:t>
            </w:r>
          </w:p>
        </w:tc>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PCT/IB2010/001166 (WO /</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USSN 16/384,571</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(pending)</w:t>
            </w: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2010/125471)</w:t>
            </w:r>
          </w:p>
        </w:tc>
        <w:tc>
          <w:tcPr>
            <w:tcW w:w="240" w:type="dxa"/>
            <w:vAlign w:val="bottom"/>
          </w:tcPr>
          <w:p>
            <w:pPr>
              <w:spacing w:after="0"/>
              <w:rPr>
                <w:sz w:val="20"/>
                <w:szCs w:val="20"/>
                <w:color w:val="auto"/>
              </w:rPr>
            </w:pPr>
          </w:p>
        </w:tc>
        <w:tc>
          <w:tcPr>
            <w:tcW w:w="2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(pending)</w:t>
            </w:r>
          </w:p>
        </w:tc>
        <w:tc>
          <w:tcPr>
            <w:tcW w:w="2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Type 1 Interferon Gene Therapy</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USSN 16/604,484</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EP 18724470.2</w:t>
            </w: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4/20/2038</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(method of treatment claims)</w:t>
            </w:r>
          </w:p>
        </w:tc>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PCT/EP2018/060238 (WO</w:t>
            </w:r>
          </w:p>
        </w:tc>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2018/193119)</w:t>
            </w:r>
          </w:p>
        </w:tc>
        <w:tc>
          <w:tcPr>
            <w:tcW w:w="2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Later expiration for certain U.S. patents pursuant to patent term adjustment (35 U.S.C. §154(b)).</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No.</w:t>
      </w:r>
      <w:r>
        <w:rPr>
          <w:rFonts w:ascii="Times New Roman" w:cs="Times New Roman" w:eastAsia="Times New Roman" w:hAnsi="Times New Roman"/>
          <w:sz w:val="18"/>
          <w:szCs w:val="18"/>
          <w:b w:val="1"/>
          <w:bCs w:val="1"/>
          <w:color w:val="auto"/>
        </w:rPr>
        <w:t xml:space="preserve">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19685</wp:posOffset>
            </wp:positionV>
            <wp:extent cx="64808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80810" cy="8890"/>
                    </a:xfrm>
                    <a:prstGeom prst="rect">
                      <a:avLst/>
                    </a:prstGeom>
                    <a:noFill/>
                  </pic:spPr>
                </pic:pic>
              </a:graphicData>
            </a:graphic>
          </wp:anchor>
        </w:drawing>
      </w:r>
    </w:p>
    <w:p>
      <w:pPr>
        <w:spacing w:after="0" w:line="22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Letter of Intent, dated October 31, 2024, between AGC Biologics S.p.A. and Genenta Science S.r.l.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4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GENENTA SCIENCE S.P.A.</w:t>
            </w:r>
          </w:p>
        </w:tc>
      </w:tr>
      <w:tr>
        <w:trPr>
          <w:trHeight w:val="43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14, 2024</w:t>
            </w:r>
          </w:p>
        </w:tc>
        <w:tc>
          <w:tcPr>
            <w:tcW w:w="74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Pierluigi Paracchi</w:t>
            </w:r>
          </w:p>
        </w:tc>
      </w:tr>
      <w:tr>
        <w:trPr>
          <w:trHeight w:val="228"/>
        </w:trPr>
        <w:tc>
          <w:tcPr>
            <w:tcW w:w="37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5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Pierluigi Paracchi, Chief Executive Officer</w:t>
            </w:r>
          </w:p>
        </w:tc>
      </w:tr>
      <w:tr>
        <w:trPr>
          <w:trHeight w:val="414"/>
        </w:trPr>
        <w:tc>
          <w:tcPr>
            <w:tcW w:w="37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ind w:left="900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175260</wp:posOffset>
            </wp:positionV>
            <wp:extent cx="7132320" cy="98666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9866630"/>
                    </a:xfrm>
                    <a:prstGeom prst="rect">
                      <a:avLst/>
                    </a:prstGeom>
                    <a:noFill/>
                  </pic:spPr>
                </pic:pic>
              </a:graphicData>
            </a:graphic>
          </wp:anchor>
        </w:drawing>
      </w:r>
    </w:p>
    <w:p>
      <w:pPr>
        <w:sectPr>
          <w:pgSz w:w="11900" w:h="16838" w:orient="portrait"/>
          <w:cols w:equalWidth="0" w:num="1">
            <w:col w:w="10120"/>
          </w:cols>
          <w:pgMar w:left="1440" w:top="351" w:right="3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9098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99098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2024-11-14T15:21:33Z</dcterms:created>
  <dcterms:modified xsi:type="dcterms:W3CDTF">2024-11-14T15:21:33Z</dcterms:modified>
</cp:coreProperties>
</file>