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line="282" w:lineRule="auto"/>
        <w:rPr>
          <w:sz w:val="20"/>
          <w:szCs w:val="20"/>
          <w:color w:val="auto"/>
        </w:rPr>
      </w:pPr>
      <w:r>
        <w:rPr>
          <w:rFonts w:ascii="Arial" w:cs="Arial" w:eastAsia="Arial" w:hAnsi="Arial"/>
          <w:sz w:val="18"/>
          <w:szCs w:val="18"/>
          <w:b w:val="1"/>
          <w:bCs w:val="1"/>
          <w:color w:val="auto"/>
        </w:rPr>
        <w:t>Confidentially submitted to the Securities and Exchange Commission on March 1, 2021. This draft registration statement has not been publicly filed with the Securities and Exchange Commission and all information herein remains strictly confidential.</w:t>
      </w:r>
    </w:p>
    <w:p>
      <w:pPr>
        <w:spacing w:after="0" w:line="189"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S.r.l.</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 ]</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8" w:lineRule="exact"/>
        <w:rPr>
          <w:sz w:val="24"/>
          <w:szCs w:val="24"/>
          <w:color w:val="auto"/>
        </w:rPr>
      </w:pPr>
    </w:p>
    <w:p>
      <w:pPr>
        <w:ind w:left="8620"/>
        <w:spacing w:after="0"/>
        <w:rPr>
          <w:sz w:val="20"/>
          <w:szCs w:val="20"/>
          <w:color w:val="auto"/>
        </w:rPr>
      </w:pPr>
      <w:r>
        <w:rPr>
          <w:rFonts w:ascii="Arial" w:cs="Arial" w:eastAsia="Arial" w:hAnsi="Arial"/>
          <w:sz w:val="14"/>
          <w:szCs w:val="14"/>
          <w:b w:val="1"/>
          <w:bCs w:val="1"/>
          <w:color w:val="auto"/>
        </w:rPr>
        <w:t>Proposed</w:t>
      </w:r>
    </w:p>
    <w:p>
      <w:pPr>
        <w:ind w:left="8600"/>
        <w:spacing w:after="0" w:line="226" w:lineRule="auto"/>
        <w:rPr>
          <w:sz w:val="20"/>
          <w:szCs w:val="20"/>
          <w:color w:val="auto"/>
        </w:rPr>
      </w:pPr>
      <w:r>
        <w:rPr>
          <w:rFonts w:ascii="Arial" w:cs="Arial" w:eastAsia="Arial" w:hAnsi="Arial"/>
          <w:sz w:val="14"/>
          <w:szCs w:val="14"/>
          <w:b w:val="1"/>
          <w:bCs w:val="1"/>
          <w:color w:val="auto"/>
        </w:rPr>
        <w:t>maximum</w:t>
      </w:r>
    </w:p>
    <w:p>
      <w:pPr>
        <w:ind w:left="8600"/>
        <w:spacing w:after="0" w:line="221" w:lineRule="auto"/>
        <w:tabs>
          <w:tab w:leader="none" w:pos="10000" w:val="left"/>
        </w:tabs>
        <w:rPr>
          <w:sz w:val="20"/>
          <w:szCs w:val="20"/>
          <w:color w:val="auto"/>
        </w:rPr>
      </w:pPr>
      <w:r>
        <w:rPr>
          <w:rFonts w:ascii="Arial" w:cs="Arial" w:eastAsia="Arial" w:hAnsi="Arial"/>
          <w:sz w:val="14"/>
          <w:szCs w:val="14"/>
          <w:b w:val="1"/>
          <w:bCs w:val="1"/>
          <w:color w:val="auto"/>
        </w:rPr>
        <w:t>aggregate</w:t>
      </w:r>
      <w:r>
        <w:rPr>
          <w:sz w:val="20"/>
          <w:szCs w:val="20"/>
          <w:color w:val="auto"/>
        </w:rPr>
        <w:tab/>
      </w:r>
      <w:r>
        <w:rPr>
          <w:rFonts w:ascii="Arial" w:cs="Arial" w:eastAsia="Arial" w:hAnsi="Arial"/>
          <w:sz w:val="14"/>
          <w:szCs w:val="14"/>
          <w:b w:val="1"/>
          <w:bCs w:val="1"/>
          <w:color w:val="auto"/>
        </w:rPr>
        <w:t>Amount of</w:t>
      </w:r>
    </w:p>
    <w:p>
      <w:pPr>
        <w:ind w:left="8660"/>
        <w:spacing w:after="0" w:line="234" w:lineRule="auto"/>
        <w:tabs>
          <w:tab w:leader="none" w:pos="998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registration</w:t>
      </w:r>
    </w:p>
    <w:p>
      <w:pPr>
        <w:ind w:left="2640"/>
        <w:spacing w:after="0"/>
        <w:tabs>
          <w:tab w:leader="none" w:pos="8500" w:val="left"/>
          <w:tab w:leader="none" w:pos="10160" w:val="left"/>
        </w:tabs>
        <w:rPr>
          <w:sz w:val="20"/>
          <w:szCs w:val="20"/>
          <w:color w:val="auto"/>
        </w:rPr>
      </w:pPr>
      <w:r>
        <w:rPr>
          <w:rFonts w:ascii="Arial" w:cs="Arial" w:eastAsia="Arial" w:hAnsi="Arial"/>
          <w:sz w:val="14"/>
          <w:szCs w:val="14"/>
          <w:b w:val="1"/>
          <w:bCs w:val="1"/>
          <w:color w:val="auto"/>
        </w:rPr>
        <w:t>Title of each class of securities to be registered</w:t>
      </w:r>
      <w:r>
        <w:rPr>
          <w:sz w:val="20"/>
          <w:szCs w:val="20"/>
          <w:color w:val="auto"/>
        </w:rPr>
        <w:tab/>
      </w:r>
      <w:r>
        <w:rPr>
          <w:rFonts w:ascii="Arial" w:cs="Arial" w:eastAsia="Arial" w:hAnsi="Arial"/>
          <w:sz w:val="14"/>
          <w:szCs w:val="14"/>
          <w:b w:val="1"/>
          <w:bCs w:val="1"/>
          <w:color w:val="auto"/>
        </w:rPr>
        <w:t xml:space="preserve">price </w:t>
      </w:r>
      <w:r>
        <w:rPr>
          <w:rFonts w:ascii="Arial" w:cs="Arial" w:eastAsia="Arial" w:hAnsi="Arial"/>
          <w:sz w:val="23"/>
          <w:szCs w:val="23"/>
          <w:b w:val="1"/>
          <w:bCs w:val="1"/>
          <w:color w:val="auto"/>
          <w:vertAlign w:val="superscript"/>
        </w:rPr>
        <w:t>(1)(2)(3)</w:t>
      </w:r>
      <w:r>
        <w:rPr>
          <w:sz w:val="20"/>
          <w:szCs w:val="20"/>
          <w:color w:val="auto"/>
        </w:rPr>
        <w:tab/>
      </w:r>
      <w:r>
        <w:rPr>
          <w:rFonts w:ascii="Arial" w:cs="Arial" w:eastAsia="Arial" w:hAnsi="Arial"/>
          <w:sz w:val="12"/>
          <w:szCs w:val="12"/>
          <w:b w:val="1"/>
          <w:bCs w:val="1"/>
          <w:color w:val="auto"/>
        </w:rPr>
        <w:t xml:space="preserve">fee </w:t>
      </w:r>
      <w:r>
        <w:rPr>
          <w:rFonts w:ascii="Arial" w:cs="Arial" w:eastAsia="Arial" w:hAnsi="Arial"/>
          <w:sz w:val="18"/>
          <w:szCs w:val="18"/>
          <w:b w:val="1"/>
          <w:bCs w:val="1"/>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25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67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Ordinary shares, par value €  per share, as represented by American Depositary Shares</w:t>
            </w:r>
          </w:p>
        </w:tc>
        <w:tc>
          <w:tcPr>
            <w:tcW w:w="1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spacing w:after="0"/>
              <w:rPr>
                <w:sz w:val="21"/>
                <w:szCs w:val="21"/>
                <w:color w:val="auto"/>
              </w:rPr>
            </w:pPr>
          </w:p>
        </w:tc>
        <w:tc>
          <w:tcPr>
            <w:tcW w:w="4180" w:type="dxa"/>
            <w:vAlign w:val="bottom"/>
          </w:tcPr>
          <w:p>
            <w:pPr>
              <w:spacing w:after="0"/>
              <w:rPr>
                <w:sz w:val="21"/>
                <w:szCs w:val="21"/>
                <w:color w:val="auto"/>
              </w:rPr>
            </w:pPr>
          </w:p>
        </w:tc>
        <w:tc>
          <w:tcPr>
            <w:tcW w:w="4460" w:type="dxa"/>
            <w:vAlign w:val="bottom"/>
            <w:gridSpan w:val="5"/>
          </w:tcPr>
          <w:p>
            <w:pPr>
              <w:spacing w:after="0"/>
              <w:rPr>
                <w:sz w:val="21"/>
                <w:szCs w:val="21"/>
                <w:color w:val="auto"/>
              </w:rPr>
            </w:pPr>
          </w:p>
        </w:tc>
      </w:tr>
      <w:tr>
        <w:trPr>
          <w:trHeight w:val="150"/>
        </w:trPr>
        <w:tc>
          <w:tcPr>
            <w:tcW w:w="280" w:type="dxa"/>
            <w:vAlign w:val="bottom"/>
          </w:tcPr>
          <w:p>
            <w:pPr>
              <w:spacing w:after="0"/>
              <w:rPr>
                <w:sz w:val="20"/>
                <w:szCs w:val="20"/>
                <w:color w:val="auto"/>
              </w:rPr>
            </w:pPr>
            <w:r>
              <w:rPr>
                <w:rFonts w:ascii="Arial" w:cs="Arial" w:eastAsia="Arial" w:hAnsi="Arial"/>
                <w:sz w:val="12"/>
                <w:szCs w:val="12"/>
                <w:color w:val="auto"/>
              </w:rPr>
              <w:t>(1)</w:t>
            </w:r>
          </w:p>
        </w:tc>
        <w:tc>
          <w:tcPr>
            <w:tcW w:w="6500" w:type="dxa"/>
            <w:vAlign w:val="bottom"/>
            <w:gridSpan w:val="3"/>
          </w:tcPr>
          <w:p>
            <w:pPr>
              <w:ind w:left="140"/>
              <w:spacing w:after="0" w:line="151" w:lineRule="exact"/>
              <w:rPr>
                <w:sz w:val="20"/>
                <w:szCs w:val="20"/>
                <w:color w:val="auto"/>
              </w:rPr>
            </w:pPr>
            <w:r>
              <w:rPr>
                <w:rFonts w:ascii="Arial" w:cs="Arial" w:eastAsia="Arial" w:hAnsi="Arial"/>
                <w:sz w:val="14"/>
                <w:szCs w:val="14"/>
                <w:color w:val="auto"/>
                <w:w w:val="94"/>
              </w:rPr>
              <w:t>The ordinary shares will be represented by American Depositary Shares, or ADSs, each of which represents</w:t>
            </w:r>
          </w:p>
        </w:tc>
        <w:tc>
          <w:tcPr>
            <w:tcW w:w="4460" w:type="dxa"/>
            <w:vAlign w:val="bottom"/>
            <w:gridSpan w:val="5"/>
          </w:tcPr>
          <w:p>
            <w:pPr>
              <w:ind w:left="160"/>
              <w:spacing w:after="0" w:line="151" w:lineRule="exact"/>
              <w:rPr>
                <w:sz w:val="20"/>
                <w:szCs w:val="20"/>
                <w:color w:val="auto"/>
              </w:rPr>
            </w:pPr>
            <w:r>
              <w:rPr>
                <w:rFonts w:ascii="Arial" w:cs="Arial" w:eastAsia="Arial" w:hAnsi="Arial"/>
                <w:sz w:val="14"/>
                <w:szCs w:val="14"/>
                <w:color w:val="auto"/>
              </w:rPr>
              <w:t>ordinary shares. A separate Registration Statement on Form F-6</w:t>
            </w:r>
          </w:p>
        </w:tc>
      </w:tr>
      <w:tr>
        <w:trPr>
          <w:trHeight w:val="161"/>
        </w:trPr>
        <w:tc>
          <w:tcPr>
            <w:tcW w:w="280" w:type="dxa"/>
            <w:vAlign w:val="bottom"/>
          </w:tcPr>
          <w:p>
            <w:pPr>
              <w:spacing w:after="0"/>
              <w:rPr>
                <w:sz w:val="13"/>
                <w:szCs w:val="13"/>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(Registration No. 333-</w:t>
            </w:r>
          </w:p>
        </w:tc>
        <w:tc>
          <w:tcPr>
            <w:tcW w:w="7600" w:type="dxa"/>
            <w:vAlign w:val="bottom"/>
            <w:gridSpan w:val="4"/>
          </w:tcPr>
          <w:p>
            <w:pPr>
              <w:jc w:val="right"/>
              <w:ind w:right="2110"/>
              <w:spacing w:after="0"/>
              <w:rPr>
                <w:sz w:val="20"/>
                <w:szCs w:val="20"/>
                <w:color w:val="auto"/>
              </w:rPr>
            </w:pPr>
            <w:r>
              <w:rPr>
                <w:rFonts w:ascii="Arial" w:cs="Arial" w:eastAsia="Arial" w:hAnsi="Arial"/>
                <w:sz w:val="14"/>
                <w:szCs w:val="14"/>
                <w:color w:val="auto"/>
                <w:w w:val="97"/>
              </w:rPr>
              <w:t>) has been filed for the registration of ADSs issuable upon deposit of the ordinary shares.</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r>
    </w:tbl>
    <w:p>
      <w:pPr>
        <w:ind w:left="420" w:right="20" w:hanging="412"/>
        <w:spacing w:after="0" w:line="221"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4"/>
          <w:szCs w:val="14"/>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20" w:right="400" w:hanging="412"/>
        <w:spacing w:after="0" w:line="221"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20" w:hanging="4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9" w:lineRule="exact"/>
        <w:rPr>
          <w:sz w:val="20"/>
          <w:szCs w:val="20"/>
          <w:color w:val="auto"/>
        </w:rPr>
      </w:pPr>
    </w:p>
    <w:p>
      <w:pPr>
        <w:ind w:right="40" w:firstLine="8"/>
        <w:spacing w:after="0" w:line="207" w:lineRule="auto"/>
        <w:tabs>
          <w:tab w:leader="none" w:pos="112"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We intend to change the legal form of our company under Italian law from a limited liability company (società a responsabilità limitata, or S.r.l.) to a joint stock company (società per azioni, or S.p.A.)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Genenta Science S.r.l., the registrant whose name appears on the cover of this registration statement, is an Italian limited liability company (società a responsabilità limitata, or S.r.L.). Prior to the effectiveness of this registration statement, Genenta Science S.r.l. will convert into an Italian joint stock company (società per azioni, or S.p.A.) pursuant to Italian law and change its name to Genenta Science S.p.A. as described in the section “Corporate Conversion” of the prospectus. In the prospectus, we refer to our conversion to a corporation as the “Corporate Conversion.” As a result of the Corporate Conversion, the holders of the different classes of equity, or quotas, of Genenta Science S.r.l. will become holders of ordinary shares of Genenta Science S.p.A. Except as disclosed in the prospectus, the financial statements and selected historical financial data and other financial information included in this registration statement are those of Genenta Science S.r.l. and do not give effect to the Corporate Conversion. Upon the Corporate Conversion, the financial statements and selected historical financial data and other financial information of Genenta Science S.r.l. included in this registration statement will become the financial statements and selected historical financial data and other financial information of Genenta Science S.p.A. Ordinary shares of Genenta Science S.p.A. in the form of American Depositary Shares are being offered by the prospectus.</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audited financial statements for the year ended December 31, 2018 and for the period ended September 30, 2019 because they relate to historical periods that we believe will not be required to be included in the prospectus at the time of the contemplated offering. We intend to amend this registration statement to include all financial information required by Form F-1, including financial statements sufficiently current to comply with the requirements of Item 8.A of Form 20-F, at the date of such amendment before distributing a prospectus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8"/>
          <w:szCs w:val="18"/>
          <w:b w:val="1"/>
          <w:bCs w:val="1"/>
          <w:color w:val="FF0000"/>
        </w:rPr>
        <w:t>SUBJECT TO COMPLETION, DATED FEBRUARY</w:t>
      </w:r>
      <w:r>
        <w:rPr>
          <w:sz w:val="20"/>
          <w:szCs w:val="20"/>
          <w:color w:val="auto"/>
        </w:rPr>
        <w:tab/>
      </w:r>
      <w:r>
        <w:rPr>
          <w:rFonts w:ascii="Arial" w:cs="Arial" w:eastAsia="Arial" w:hAnsi="Arial"/>
          <w:sz w:val="16"/>
          <w:szCs w:val="16"/>
          <w:b w:val="1"/>
          <w:bCs w:val="1"/>
          <w:color w:val="FF0000"/>
        </w:rPr>
        <w:t>,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174625</wp:posOffset>
            </wp:positionV>
            <wp:extent cx="145732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ind w:left="1000"/>
              <w:spacing w:after="0"/>
              <w:rPr>
                <w:sz w:val="20"/>
                <w:szCs w:val="20"/>
                <w:color w:val="auto"/>
              </w:rPr>
            </w:pPr>
            <w:r>
              <w:rPr>
                <w:rFonts w:ascii="Arial" w:cs="Arial" w:eastAsia="Arial" w:hAnsi="Arial"/>
                <w:sz w:val="25"/>
                <w:szCs w:val="25"/>
                <w:b w:val="1"/>
                <w:bCs w:val="1"/>
                <w:color w:val="auto"/>
              </w:rPr>
              <w:t>Representing</w:t>
            </w:r>
          </w:p>
        </w:tc>
        <w:tc>
          <w:tcPr>
            <w:tcW w:w="4320" w:type="dxa"/>
            <w:vAlign w:val="bottom"/>
            <w:gridSpan w:val="2"/>
          </w:tcPr>
          <w:p>
            <w:pPr>
              <w:ind w:left="440"/>
              <w:spacing w:after="0"/>
              <w:rPr>
                <w:sz w:val="20"/>
                <w:szCs w:val="20"/>
                <w:color w:val="auto"/>
              </w:rPr>
            </w:pPr>
            <w:r>
              <w:rPr>
                <w:rFonts w:ascii="Arial" w:cs="Arial" w:eastAsia="Arial" w:hAnsi="Arial"/>
                <w:sz w:val="25"/>
                <w:szCs w:val="25"/>
                <w:b w:val="1"/>
                <w:bCs w:val="1"/>
                <w:color w:val="auto"/>
              </w:rPr>
              <w:t>Ordinary Shares</w:t>
            </w:r>
          </w:p>
        </w:tc>
        <w:tc>
          <w:tcPr>
            <w:tcW w:w="1060" w:type="dxa"/>
            <w:vAlign w:val="bottom"/>
          </w:tcPr>
          <w:p>
            <w:pPr>
              <w:spacing w:after="0"/>
              <w:rPr>
                <w:sz w:val="24"/>
                <w:szCs w:val="24"/>
                <w:color w:val="auto"/>
              </w:rPr>
            </w:pPr>
          </w:p>
        </w:tc>
      </w:tr>
      <w:tr>
        <w:trPr>
          <w:trHeight w:val="235"/>
        </w:trPr>
        <w:tc>
          <w:tcPr>
            <w:tcW w:w="34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2100" w:type="dxa"/>
            <w:vAlign w:val="bottom"/>
          </w:tcPr>
          <w:p>
            <w:pPr>
              <w:spacing w:after="0"/>
              <w:rPr>
                <w:sz w:val="20"/>
                <w:szCs w:val="20"/>
                <w:color w:val="auto"/>
              </w:rPr>
            </w:pPr>
          </w:p>
        </w:tc>
        <w:tc>
          <w:tcPr>
            <w:tcW w:w="1940" w:type="dxa"/>
            <w:vAlign w:val="bottom"/>
            <w:tcBorders>
              <w:bottom w:val="single" w:sz="8" w:color="auto"/>
            </w:tcBorders>
            <w:gridSpan w:val="2"/>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25"/>
        </w:trPr>
        <w:tc>
          <w:tcPr>
            <w:tcW w:w="340" w:type="dxa"/>
            <w:vAlign w:val="bottom"/>
          </w:tcPr>
          <w:p>
            <w:pPr>
              <w:spacing w:after="0"/>
              <w:rPr>
                <w:sz w:val="24"/>
                <w:szCs w:val="24"/>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We are offering up to</w:t>
            </w: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w w:val="94"/>
              </w:rPr>
              <w:t>American Depositary Shares, or ADSs, in an initial public offering. Each ADS represents of</w:t>
            </w:r>
          </w:p>
        </w:tc>
        <w:tc>
          <w:tcPr>
            <w:tcW w:w="1060" w:type="dxa"/>
            <w:vAlign w:val="bottom"/>
          </w:tcPr>
          <w:p>
            <w:pPr>
              <w:ind w:left="180"/>
              <w:spacing w:after="0"/>
              <w:rPr>
                <w:sz w:val="20"/>
                <w:szCs w:val="20"/>
                <w:color w:val="auto"/>
              </w:rPr>
            </w:pPr>
            <w:r>
              <w:rPr>
                <w:rFonts w:ascii="Arial" w:cs="Arial" w:eastAsia="Arial" w:hAnsi="Arial"/>
                <w:sz w:val="18"/>
                <w:szCs w:val="18"/>
                <w:color w:val="auto"/>
                <w:w w:val="89"/>
              </w:rPr>
              <w:t>our ordinary</w:t>
            </w:r>
          </w:p>
        </w:tc>
      </w:tr>
      <w:tr>
        <w:trPr>
          <w:trHeight w:val="230"/>
        </w:trPr>
        <w:tc>
          <w:tcPr>
            <w:tcW w:w="9760" w:type="dxa"/>
            <w:vAlign w:val="bottom"/>
            <w:gridSpan w:val="7"/>
          </w:tcPr>
          <w:p>
            <w:pPr>
              <w:spacing w:after="0"/>
              <w:rPr>
                <w:sz w:val="20"/>
                <w:szCs w:val="20"/>
                <w:color w:val="auto"/>
              </w:rPr>
            </w:pPr>
            <w:r>
              <w:rPr>
                <w:rFonts w:ascii="Arial" w:cs="Arial" w:eastAsia="Arial" w:hAnsi="Arial"/>
                <w:sz w:val="18"/>
                <w:szCs w:val="18"/>
                <w:color w:val="auto"/>
                <w:w w:val="98"/>
              </w:rPr>
              <w:t>shares, par value €  per share, or ordinary shares. The ADSs may be evidenced by American Depositary Receipts, or ADRs.</w:t>
            </w:r>
          </w:p>
        </w:tc>
        <w:tc>
          <w:tcPr>
            <w:tcW w:w="106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0480" w:type="dxa"/>
            <w:vAlign w:val="bottom"/>
            <w:gridSpan w:val="7"/>
          </w:tcPr>
          <w:p>
            <w:pPr>
              <w:ind w:left="320"/>
              <w:spacing w:after="0"/>
              <w:rPr>
                <w:sz w:val="20"/>
                <w:szCs w:val="20"/>
                <w:color w:val="auto"/>
              </w:rPr>
            </w:pPr>
            <w:r>
              <w:rPr>
                <w:rFonts w:ascii="Arial" w:cs="Arial" w:eastAsia="Arial" w:hAnsi="Arial"/>
                <w:sz w:val="18"/>
                <w:szCs w:val="18"/>
                <w:color w:val="auto"/>
                <w:w w:val="92"/>
              </w:rPr>
              <w:t>No public market currently exists for the ADSs or ordinary shares. We estimate the initial public offering price of the ADSs will be between</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and $</w:t>
            </w:r>
          </w:p>
        </w:tc>
        <w:tc>
          <w:tcPr>
            <w:tcW w:w="9520" w:type="dxa"/>
            <w:vAlign w:val="bottom"/>
            <w:gridSpan w:val="6"/>
          </w:tcPr>
          <w:p>
            <w:pPr>
              <w:ind w:left="320"/>
              <w:spacing w:after="0"/>
              <w:rPr>
                <w:sz w:val="20"/>
                <w:szCs w:val="20"/>
                <w:color w:val="auto"/>
              </w:rPr>
            </w:pPr>
            <w:r>
              <w:rPr>
                <w:rFonts w:ascii="Arial" w:cs="Arial" w:eastAsia="Arial" w:hAnsi="Arial"/>
                <w:sz w:val="18"/>
                <w:szCs w:val="18"/>
                <w:color w:val="auto"/>
                <w:w w:val="96"/>
              </w:rPr>
              <w:t>per ADS. We refer to the ADSs, and the underlying ordinary shares being offered hereby, collectively, as the securities.</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1" w:lineRule="exact"/>
        <w:rPr>
          <w:sz w:val="20"/>
          <w:szCs w:val="20"/>
          <w:color w:val="auto"/>
        </w:rPr>
      </w:pPr>
    </w:p>
    <w:p>
      <w:pPr>
        <w:ind w:left="340" w:right="720" w:hanging="332"/>
        <w:spacing w:after="0" w:line="25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See “Underwriting” beginning on page 187 of this prospectus for additional disclosure regarding underwriter compensation and offering expenses.</w:t>
      </w:r>
    </w:p>
    <w:p>
      <w:pPr>
        <w:spacing w:after="0" w:line="205"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660"/>
              <w:spacing w:after="0"/>
              <w:rPr>
                <w:sz w:val="20"/>
                <w:szCs w:val="20"/>
                <w:color w:val="auto"/>
              </w:rPr>
            </w:pPr>
            <w:r>
              <w:rPr>
                <w:rFonts w:ascii="Arial" w:cs="Arial" w:eastAsia="Arial" w:hAnsi="Arial"/>
                <w:sz w:val="18"/>
                <w:szCs w:val="18"/>
                <w:color w:val="auto"/>
                <w:w w:val="97"/>
              </w:rPr>
              <w:t>Delivery of the ADSs will be made on or about</w:t>
            </w:r>
          </w:p>
        </w:tc>
        <w:tc>
          <w:tcPr>
            <w:tcW w:w="6980" w:type="dxa"/>
            <w:vAlign w:val="bottom"/>
            <w:gridSpan w:val="2"/>
          </w:tcPr>
          <w:p>
            <w:pPr>
              <w:jc w:val="right"/>
              <w:ind w:right="2774"/>
              <w:spacing w:after="0"/>
              <w:rPr>
                <w:sz w:val="20"/>
                <w:szCs w:val="20"/>
                <w:color w:val="auto"/>
              </w:rPr>
            </w:pPr>
            <w:r>
              <w:rPr>
                <w:rFonts w:ascii="Arial" w:cs="Arial" w:eastAsia="Arial" w:hAnsi="Arial"/>
                <w:sz w:val="18"/>
                <w:szCs w:val="18"/>
                <w:color w:val="auto"/>
              </w:rPr>
              <w:t>, 2021, subject to customary closing conditions.</w:t>
            </w:r>
          </w:p>
        </w:tc>
      </w:tr>
      <w:tr>
        <w:trPr>
          <w:trHeight w:val="459"/>
        </w:trPr>
        <w:tc>
          <w:tcPr>
            <w:tcW w:w="426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8"/>
              </w:rPr>
              <w:t>Joint Book-Running Managers</w:t>
            </w:r>
          </w:p>
        </w:tc>
        <w:tc>
          <w:tcPr>
            <w:tcW w:w="4460" w:type="dxa"/>
            <w:vAlign w:val="bottom"/>
          </w:tcPr>
          <w:p>
            <w:pPr>
              <w:spacing w:after="0"/>
              <w:rPr>
                <w:sz w:val="24"/>
                <w:szCs w:val="24"/>
                <w:color w:val="auto"/>
              </w:rPr>
            </w:pPr>
          </w:p>
        </w:tc>
      </w:tr>
      <w:tr>
        <w:trPr>
          <w:trHeight w:val="623"/>
        </w:trPr>
        <w:tc>
          <w:tcPr>
            <w:tcW w:w="4260" w:type="dxa"/>
            <w:vAlign w:val="bottom"/>
          </w:tcPr>
          <w:p>
            <w:pPr>
              <w:spacing w:after="0"/>
              <w:rPr>
                <w:sz w:val="20"/>
                <w:szCs w:val="20"/>
                <w:color w:val="auto"/>
              </w:rPr>
            </w:pPr>
            <w:r>
              <w:rPr>
                <w:rFonts w:ascii="Arial" w:cs="Arial" w:eastAsia="Arial" w:hAnsi="Arial"/>
                <w:sz w:val="32"/>
                <w:szCs w:val="32"/>
                <w:b w:val="1"/>
                <w:bCs w:val="1"/>
                <w:color w:val="auto"/>
              </w:rPr>
              <w:t>Canaccord Genuity</w:t>
            </w:r>
          </w:p>
        </w:tc>
        <w:tc>
          <w:tcPr>
            <w:tcW w:w="2520" w:type="dxa"/>
            <w:vAlign w:val="bottom"/>
          </w:tcPr>
          <w:p>
            <w:pPr>
              <w:spacing w:after="0"/>
              <w:rPr>
                <w:sz w:val="24"/>
                <w:szCs w:val="24"/>
                <w:color w:val="auto"/>
              </w:rPr>
            </w:pPr>
          </w:p>
        </w:tc>
        <w:tc>
          <w:tcPr>
            <w:tcW w:w="446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444"/>
        </w:trPr>
        <w:tc>
          <w:tcPr>
            <w:tcW w:w="6780" w:type="dxa"/>
            <w:vAlign w:val="bottom"/>
            <w:gridSpan w:val="2"/>
          </w:tcPr>
          <w:p>
            <w:pPr>
              <w:ind w:left="4020"/>
              <w:spacing w:after="0"/>
              <w:rPr>
                <w:sz w:val="20"/>
                <w:szCs w:val="20"/>
                <w:color w:val="auto"/>
              </w:rPr>
            </w:pPr>
            <w:r>
              <w:rPr>
                <w:rFonts w:ascii="Arial" w:cs="Arial" w:eastAsia="Arial" w:hAnsi="Arial"/>
                <w:sz w:val="18"/>
                <w:szCs w:val="18"/>
                <w:color w:val="auto"/>
              </w:rPr>
              <w:t>The date of this prospectus is</w:t>
            </w:r>
          </w:p>
        </w:tc>
        <w:tc>
          <w:tcPr>
            <w:tcW w:w="4460" w:type="dxa"/>
            <w:vAlign w:val="bottom"/>
          </w:tcPr>
          <w:p>
            <w:pPr>
              <w:jc w:val="right"/>
              <w:ind w:right="3874"/>
              <w:spacing w:after="0"/>
              <w:rPr>
                <w:sz w:val="20"/>
                <w:szCs w:val="20"/>
                <w:color w:val="auto"/>
              </w:rPr>
            </w:pPr>
            <w:r>
              <w:rPr>
                <w:rFonts w:ascii="Arial" w:cs="Arial" w:eastAsia="Arial" w:hAnsi="Arial"/>
                <w:sz w:val="18"/>
                <w:szCs w:val="18"/>
                <w:color w:val="auto"/>
                <w:w w:val="87"/>
              </w:rPr>
              <w:t>, 2021</w:t>
            </w:r>
          </w:p>
        </w:tc>
      </w:tr>
      <w:tr>
        <w:trPr>
          <w:trHeight w:val="466"/>
        </w:trPr>
        <w:tc>
          <w:tcPr>
            <w:tcW w:w="4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Corporate Conversion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Capitalization</w:t>
              </w:r>
            </w:hyperlink>
          </w:p>
        </w:tc>
        <w:tc>
          <w:tcPr>
            <w:tcW w:w="95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77</w:t>
            </w:r>
          </w:p>
        </w:tc>
      </w:tr>
      <w:tr>
        <w:trPr>
          <w:trHeight w:val="175"/>
        </w:trPr>
        <w:tc>
          <w:tcPr>
            <w:tcW w:w="64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4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41">
              <w:r>
                <w:rPr>
                  <w:rFonts w:ascii="Arial" w:cs="Arial" w:eastAsia="Arial" w:hAnsi="Arial"/>
                  <w:sz w:val="18"/>
                  <w:szCs w:val="18"/>
                  <w:color w:val="0000EE"/>
                </w:rPr>
                <w:t>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133</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Beneficial Ownership of Principal Shareholders and 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Related Party Transactions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143</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Description of Share Capital and Governing Documents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Description of American Depositary Shares</w:t>
              </w:r>
            </w:hyperlink>
          </w:p>
        </w:tc>
        <w:tc>
          <w:tcPr>
            <w:tcW w:w="74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157</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Comparison of Italian Law and Delaware Law</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165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88">
              <w:r>
                <w:rPr>
                  <w:rFonts w:ascii="Arial" w:cs="Arial" w:eastAsia="Arial" w:hAnsi="Arial"/>
                  <w:sz w:val="18"/>
                  <w:szCs w:val="18"/>
                  <w:color w:val="0000EE"/>
                  <w:w w:val="89"/>
                </w:rPr>
                <w:t>Taxation</w:t>
              </w:r>
            </w:hyperlink>
          </w:p>
        </w:tc>
        <w:tc>
          <w:tcPr>
            <w:tcW w:w="996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180</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195">
              <w:r>
                <w:rPr>
                  <w:rFonts w:ascii="Arial" w:cs="Arial" w:eastAsia="Arial" w:hAnsi="Arial"/>
                  <w:sz w:val="18"/>
                  <w:szCs w:val="18"/>
                  <w:color w:val="0000EE"/>
                </w:rPr>
                <w:t>Underwriting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Expenses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Experts</w:t>
              </w:r>
            </w:hyperlink>
          </w:p>
        </w:tc>
        <w:tc>
          <w:tcPr>
            <w:tcW w:w="10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195</w:t>
            </w: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Enforceability of Civil Liabilities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3"/>
              </w:rPr>
            </w:pPr>
            <w:hyperlink w:anchor="page204">
              <w:r>
                <w:rPr>
                  <w:rFonts w:ascii="Arial" w:cs="Arial" w:eastAsia="Arial" w:hAnsi="Arial"/>
                  <w:sz w:val="18"/>
                  <w:szCs w:val="18"/>
                  <w:color w:val="0000EE"/>
                  <w:w w:val="93"/>
                </w:rPr>
                <w:t>Where You Can Find Additional Information</w:t>
              </w:r>
            </w:hyperlink>
          </w:p>
        </w:tc>
        <w:tc>
          <w:tcPr>
            <w:tcW w:w="73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196</w:t>
            </w: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205">
              <w:r>
                <w:rPr>
                  <w:rFonts w:ascii="Arial" w:cs="Arial" w:eastAsia="Arial" w:hAnsi="Arial"/>
                  <w:sz w:val="18"/>
                  <w:szCs w:val="18"/>
                  <w:color w:val="0000EE"/>
                </w:rPr>
                <w:t>Index of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8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Prior to the completion of this offering, we intend to change the legal form of our company under Italian law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 joint stock company, which is expected to occur prior to the completion of this offering. See “Corporate Conversion” in this prospectus for additional information.</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EUR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787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787640"/>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240" w:hanging="331"/>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candidate is designed to be a “</w:t>
      </w:r>
      <w:r>
        <w:rPr>
          <w:rFonts w:ascii="Arial" w:cs="Arial" w:eastAsia="Arial" w:hAnsi="Arial"/>
          <w:sz w:val="17"/>
          <w:szCs w:val="17"/>
          <w:i w:val="1"/>
          <w:iCs w:val="1"/>
          <w:color w:val="auto"/>
        </w:rPr>
        <w:t>living therapy</w:t>
      </w:r>
      <w:r>
        <w:rPr>
          <w:rFonts w:ascii="Arial" w:cs="Arial" w:eastAsia="Arial" w:hAnsi="Arial"/>
          <w:sz w:val="17"/>
          <w:szCs w:val="17"/>
          <w:color w:val="auto"/>
        </w:rPr>
        <w:t>” that has the potential to break</w:t>
      </w:r>
      <w:r>
        <w:rPr>
          <w:rFonts w:ascii="Arial" w:cs="Arial" w:eastAsia="Arial" w:hAnsi="Arial"/>
          <w:sz w:val="17"/>
          <w:szCs w:val="17"/>
          <w:i w:val="1"/>
          <w:iCs w:val="1"/>
          <w:color w:val="auto"/>
        </w:rPr>
        <w:t xml:space="preserve"> </w:t>
      </w:r>
      <w:r>
        <w:rPr>
          <w:rFonts w:ascii="Arial" w:cs="Arial" w:eastAsia="Arial" w:hAnsi="Arial"/>
          <w:sz w:val="17"/>
          <w:szCs w:val="17"/>
          <w:color w:val="auto"/>
        </w:rPr>
        <w:t>the 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6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systematic breakdown of tumor induced immune-tolerance. As a result, the immune system subsequently recognizes the tumor, responds, and is able to inhibit tumor growth. Because Temferon delivers the IFN-α payload directly to the tumor, we believe it will demonstrate clinical activity without the side effect profile of systemic delivery of IFN-α. In preclinical models, local IFN-α release by Temferon triggered both a direct (anti-angiogenic, pro-apoptotic) and an indirect (immune response) anti-tumor effect.</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treatment by the second quarter of 2021. We intend to use the preliminary results of our Phase 1/2a clinical trial to support our IND application to the US Food and Drug Administration (FDA) for approval to conduct a Phase 1/2b trial in GBM in the U.S. As of January 26, 2021, we have treated a total of 10 patients. The preliminary results to date show that Temferon was generally well tolerated with no dose limiting toxicities identified so far.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firstLine="64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38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4384675"/>
                    </a:xfrm>
                    <a:prstGeom prst="rect">
                      <a:avLst/>
                    </a:prstGeom>
                    <a:noFill/>
                  </pic:spPr>
                </pic:pic>
              </a:graphicData>
            </a:graphic>
          </wp:anchor>
        </w:drawing>
        <w:t>We also intend to develop Temferon for the treatment of other solid tumor indications, including locally advanced hepatocellular carcinoma (HCC) and intra-hepatic cholangiocarcinoma (ICC).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to study Temferon in HCC and ICC to the Italian Medicines Agency (Agenzia Italiana del Farmaco, or AIFA), the public institution responsible for the regulatory activity of pharmaceuticals in Italy. We anticipate initiating the Phase 1/2a clinical trial to study Temferon in HCC and ICC in first quarter of 2022.</w:t>
      </w:r>
    </w:p>
    <w:p>
      <w:pPr>
        <w:spacing w:after="0" w:line="22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our Temferon programs being developed in GBM,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774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74509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HCC and ICC patients, but ultimately, we hope to broaden our platform to treat a wide variety of cancers. To achieve this goal, we intend to pursue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00" w:hanging="331"/>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Identifying additional indications suitable for Temferon</w:t>
      </w:r>
      <w:r>
        <w:rPr>
          <w:rFonts w:ascii="Arial" w:cs="Arial" w:eastAsia="Arial" w:hAnsi="Arial"/>
          <w:sz w:val="17"/>
          <w:szCs w:val="17"/>
          <w:color w:val="auto"/>
        </w:rPr>
        <w:t>. We are in the planning stages for a second study using Temferon in locally advanced</w:t>
      </w:r>
      <w:r>
        <w:rPr>
          <w:rFonts w:ascii="Arial" w:cs="Arial" w:eastAsia="Arial" w:hAnsi="Arial"/>
          <w:sz w:val="17"/>
          <w:szCs w:val="17"/>
          <w:i w:val="1"/>
          <w:iCs w:val="1"/>
          <w:color w:val="auto"/>
        </w:rPr>
        <w:t xml:space="preserve"> </w:t>
      </w:r>
      <w:r>
        <w:rPr>
          <w:rFonts w:ascii="Arial" w:cs="Arial" w:eastAsia="Arial" w:hAnsi="Arial"/>
          <w:sz w:val="17"/>
          <w:szCs w:val="17"/>
          <w:color w:val="auto"/>
        </w:rPr>
        <w:t>HCC and ICC with the Istituto Superiore di Sanita (ISS), an independent committee with oversight from the Italian Ministry of Health that must issue a positive opinion regarding our CTA before AIFA may approve it. In addition to these indications, we believe there may be additional cancer indications which actively recruit TEMs to proliferate for which Temferon may be a suitable therapy.</w:t>
      </w:r>
    </w:p>
    <w:p>
      <w:pPr>
        <w:spacing w:after="0" w:line="130" w:lineRule="exact"/>
        <w:rPr>
          <w:rFonts w:ascii="Arial" w:cs="Arial" w:eastAsia="Arial" w:hAnsi="Arial"/>
          <w:sz w:val="17"/>
          <w:szCs w:val="17"/>
          <w:color w:val="auto"/>
        </w:rPr>
      </w:pPr>
    </w:p>
    <w:p>
      <w:pPr>
        <w:ind w:left="660" w:right="20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enables us to use different transgene payloads to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100" w:hanging="331"/>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9" w:name="page10"/>
    <w:bookmarkEnd w:id="9"/>
    <w:p>
      <w:pPr>
        <w:ind w:left="660" w:right="180" w:hanging="331"/>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w:t>
      </w:r>
      <w:r>
        <w:rPr>
          <w:rFonts w:ascii="Arial" w:cs="Arial" w:eastAsia="Arial" w:hAnsi="Arial"/>
          <w:sz w:val="18"/>
          <w:szCs w:val="18"/>
          <w:color w:val="auto"/>
        </w:rPr>
        <w:t>. We will seek to enter into collaborations with other companies to explore combination studies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with other cancer therapies, such as ICI, CAR-T cell therapies and TCR therapies. We believe our product candidate, as a result of its MoA, will enhance the durability and efficacy of the existing therapies, thus creating a durable response and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U.S., we intend to enter into a supply agreement with a US-based CMO for the manufacturing of our products. Currently, Temferon, is manufactured by AGC Biologics, a leading global contract development and manufacturing organization (CDMO). We are currently working with AGC Biologics on required technology transfer activities to enable drug product manufacturing by a US-based CMO and the scaling up of our LVV manufacturing process to support larger trials.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100" w:hanging="331"/>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130 patients worldwide (one of the highest number of patients treated with gene therapy for rare diseases in a research hospital) using the same LVV platform that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40" w:hanging="331"/>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867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586740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560" w:hanging="331"/>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ten GBM patients following a single administration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Temferon displayed persistence of modified cells at 18 months, the last measured timepoint to date.</w:t>
      </w:r>
    </w:p>
    <w:p>
      <w:pPr>
        <w:spacing w:after="0" w:line="121" w:lineRule="exact"/>
        <w:rPr>
          <w:rFonts w:ascii="Arial" w:cs="Arial" w:eastAsia="Arial" w:hAnsi="Arial"/>
          <w:sz w:val="18"/>
          <w:szCs w:val="18"/>
          <w:color w:val="auto"/>
        </w:rPr>
      </w:pPr>
    </w:p>
    <w:p>
      <w:pPr>
        <w:ind w:left="340" w:right="40" w:hanging="331"/>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design of our transgene expression cassette, we restrict payload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expression to the tumor microenvironment. The local and tumor restricted therapeutic gene deployment allows full exploitation of the pleiotropic anti-tumor activities of the selected payload,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200" w:hanging="331"/>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a tumor-agnostic immunotherapy since it does not rely on any specific target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type, and therefore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16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Active and sustained tumor surveillance. </w:t>
      </w:r>
      <w:r>
        <w:rPr>
          <w:rFonts w:ascii="Arial" w:cs="Arial" w:eastAsia="Arial" w:hAnsi="Arial"/>
          <w:sz w:val="17"/>
          <w:szCs w:val="17"/>
          <w:color w:val="auto"/>
        </w:rPr>
        <w:t>Our immune-gene therapy triggers the patient’s own immune response that establishes an active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24" w:lineRule="exact"/>
        <w:rPr>
          <w:rFonts w:ascii="Arial" w:cs="Arial" w:eastAsia="Arial" w:hAnsi="Arial"/>
          <w:sz w:val="17"/>
          <w:szCs w:val="17"/>
          <w:color w:val="auto"/>
        </w:rPr>
      </w:pPr>
    </w:p>
    <w:p>
      <w:pPr>
        <w:ind w:left="340" w:right="160" w:hanging="331"/>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29" w:lineRule="exact"/>
        <w:rPr>
          <w:rFonts w:ascii="Arial" w:cs="Arial" w:eastAsia="Arial" w:hAnsi="Arial"/>
          <w:sz w:val="18"/>
          <w:szCs w:val="18"/>
          <w:color w:val="auto"/>
        </w:rPr>
      </w:pPr>
    </w:p>
    <w:p>
      <w:pPr>
        <w:ind w:left="340" w:right="22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60" w:hanging="331"/>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LVV as transgene payload delivery vehicles. </w:t>
      </w:r>
      <w:r>
        <w:rPr>
          <w:rFonts w:ascii="Arial" w:cs="Arial" w:eastAsia="Arial" w:hAnsi="Arial"/>
          <w:sz w:val="18"/>
          <w:szCs w:val="18"/>
          <w:color w:val="auto"/>
        </w:rPr>
        <w:t>LVVs are particularly attractive for clinical applications due to their capacity to transfer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genes/payloads and their ability to efficiently transduce non-proliferating or slowly proliferating cells, such as hematopoietic stem and progenitor cells that allow a persistent gene expression in transduced cells. Moreover, LVVs have a reduced risk of genotoxicity compared to gamma-retroviral vectors (gRV).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using LVVs has demonstrated a positive safety profile over the last 10 years. A large number of patients have been treated both with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w:t>
      </w:r>
    </w:p>
    <w:p>
      <w:pPr>
        <w:spacing w:after="0" w:line="151" w:lineRule="exact"/>
        <w:rPr>
          <w:rFonts w:ascii="Arial" w:cs="Arial" w:eastAsia="Arial" w:hAnsi="Arial"/>
          <w:sz w:val="18"/>
          <w:szCs w:val="18"/>
          <w:color w:val="auto"/>
        </w:rPr>
      </w:pPr>
    </w:p>
    <w:p>
      <w:pPr>
        <w:ind w:left="340" w:right="80" w:hanging="331"/>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800" w:top="985"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first-in-class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gammaretroviral vector-based gene therapy for adenosine deaminase severe combined immunodeficiency (ADA-SCID), and Libmeldy, an</w:t>
      </w:r>
      <w:r>
        <w:rPr>
          <w:rFonts w:ascii="Arial" w:cs="Arial" w:eastAsia="Arial" w:hAnsi="Arial"/>
          <w:sz w:val="17"/>
          <w:szCs w:val="17"/>
          <w:i w:val="1"/>
          <w:iCs w:val="1"/>
          <w:color w:val="auto"/>
        </w:rPr>
        <w:t xml:space="preserve"> ex-vivo </w:t>
      </w:r>
      <w:r>
        <w:rPr>
          <w:rFonts w:ascii="Arial" w:cs="Arial" w:eastAsia="Arial" w:hAnsi="Arial"/>
          <w:sz w:val="17"/>
          <w:szCs w:val="17"/>
          <w:color w:val="auto"/>
        </w:rPr>
        <w:t>gene therapy for the treatment of early-onset metachromatic leukodystrophy (MLD) patients, both marketed by Orchard Therapeutics. Our</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901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590169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420"/>
        <w:spacing w:after="0" w:line="323" w:lineRule="auto"/>
        <w:rPr>
          <w:sz w:val="20"/>
          <w:szCs w:val="20"/>
          <w:color w:val="auto"/>
        </w:rPr>
      </w:pPr>
      <w:r>
        <w:rPr>
          <w:rFonts w:ascii="Arial" w:cs="Arial" w:eastAsia="Arial" w:hAnsi="Arial"/>
          <w:sz w:val="16"/>
          <w:szCs w:val="16"/>
          <w:color w:val="auto"/>
        </w:rPr>
        <w:t>currently own approximately %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Prior to the completion of this offering, we intend to complete the Corporation Conversion to change the legal form of our company under Italian law to a joint stock company (società per azioni, or S.p.A.).</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8036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8036560"/>
                    </a:xfrm>
                    <a:prstGeom prst="rect">
                      <a:avLst/>
                    </a:prstGeom>
                    <a:noFill/>
                  </pic:spPr>
                </pic:pic>
              </a:graphicData>
            </a:graphic>
          </wp:anchor>
        </w:drawing>
        <w:t>THE OFFERING</w:t>
      </w:r>
    </w:p>
    <w:p>
      <w:pPr>
        <w:sectPr>
          <w:pgSz w:w="11900" w:h="16838" w:orient="portrait"/>
          <w:cols w:equalWidth="0" w:num="1">
            <w:col w:w="10920"/>
          </w:cols>
          <w:pgMar w:left="480" w:top="985"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ADSs, representing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3">
            <w:col w:w="4260" w:space="720"/>
            <w:col w:w="1400" w:space="540"/>
            <w:col w:w="400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issued and outstanding prior to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640"/>
            <w:col w:w="5940"/>
          </w:cols>
          <w:pgMar w:left="480" w:top="985"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issued and outstanding after this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 shares if the underwriters exercise their option to</w:t>
      </w:r>
    </w:p>
    <w:p>
      <w:pPr>
        <w:spacing w:after="0" w:line="18" w:lineRule="exact"/>
        <w:rPr>
          <w:sz w:val="20"/>
          <w:szCs w:val="20"/>
          <w:color w:val="auto"/>
        </w:rPr>
      </w:pPr>
    </w:p>
    <w:p>
      <w:pPr>
        <w:sectPr>
          <w:pgSz w:w="11900" w:h="16838" w:orient="portrait"/>
          <w:cols w:equalWidth="0" w:num="2">
            <w:col w:w="4260" w:space="720"/>
            <w:col w:w="5940"/>
          </w:cols>
          <w:pgMar w:left="480" w:top="985" w:right="4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offering</w:t>
            </w: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4"/>
              </w:rPr>
              <w:t>purchase additional ADSs within 30 days of the date of this prospectus from us in full)</w:t>
            </w:r>
          </w:p>
        </w:tc>
      </w:tr>
      <w:tr>
        <w:trPr>
          <w:trHeight w:val="230"/>
        </w:trPr>
        <w:tc>
          <w:tcPr>
            <w:tcW w:w="3040" w:type="dxa"/>
            <w:vAlign w:val="bottom"/>
          </w:tcPr>
          <w:p>
            <w:pPr>
              <w:spacing w:after="0"/>
              <w:rPr>
                <w:sz w:val="20"/>
                <w:szCs w:val="20"/>
                <w:color w:val="auto"/>
              </w:rPr>
            </w:pPr>
          </w:p>
        </w:tc>
        <w:tc>
          <w:tcPr>
            <w:tcW w:w="6260" w:type="dxa"/>
            <w:vAlign w:val="bottom"/>
            <w:gridSpan w:val="4"/>
          </w:tcPr>
          <w:p>
            <w:pPr>
              <w:ind w:left="1440"/>
              <w:spacing w:after="0"/>
              <w:rPr>
                <w:sz w:val="20"/>
                <w:szCs w:val="20"/>
                <w:color w:val="auto"/>
              </w:rPr>
            </w:pPr>
            <w:r>
              <w:rPr>
                <w:rFonts w:ascii="Arial" w:cs="Arial" w:eastAsia="Arial" w:hAnsi="Arial"/>
                <w:sz w:val="18"/>
                <w:szCs w:val="18"/>
                <w:color w:val="auto"/>
              </w:rPr>
              <w:t>(includes ordinary shares represented by the ADSs)</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The ADSs</w:t>
            </w:r>
          </w:p>
        </w:tc>
        <w:tc>
          <w:tcPr>
            <w:tcW w:w="3240" w:type="dxa"/>
            <w:vAlign w:val="bottom"/>
          </w:tcPr>
          <w:p>
            <w:pPr>
              <w:ind w:left="1440"/>
              <w:spacing w:after="0"/>
              <w:rPr>
                <w:sz w:val="20"/>
                <w:szCs w:val="20"/>
                <w:color w:val="auto"/>
              </w:rPr>
            </w:pPr>
            <w:r>
              <w:rPr>
                <w:rFonts w:ascii="Arial" w:cs="Arial" w:eastAsia="Arial" w:hAnsi="Arial"/>
                <w:sz w:val="18"/>
                <w:szCs w:val="18"/>
                <w:color w:val="auto"/>
              </w:rPr>
              <w:t>Each ADS represents</w:t>
            </w:r>
          </w:p>
        </w:tc>
        <w:tc>
          <w:tcPr>
            <w:tcW w:w="4640" w:type="dxa"/>
            <w:vAlign w:val="bottom"/>
            <w:gridSpan w:val="4"/>
          </w:tcPr>
          <w:p>
            <w:pPr>
              <w:ind w:left="240"/>
              <w:spacing w:after="0"/>
              <w:rPr>
                <w:sz w:val="20"/>
                <w:szCs w:val="20"/>
                <w:color w:val="auto"/>
              </w:rPr>
            </w:pPr>
            <w:r>
              <w:rPr>
                <w:rFonts w:ascii="Arial" w:cs="Arial" w:eastAsia="Arial" w:hAnsi="Arial"/>
                <w:sz w:val="18"/>
                <w:szCs w:val="18"/>
                <w:color w:val="auto"/>
                <w:w w:val="90"/>
              </w:rPr>
              <w:t>of our ordinary shares, par value € per share. The ADSs may</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5"/>
              </w:rPr>
              <w:t>be evidenced by American Depositary Receipts, or ADRs. The depositary will hold in</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3040" w:type="dxa"/>
            <w:vAlign w:val="bottom"/>
          </w:tcPr>
          <w:p>
            <w:pPr>
              <w:spacing w:after="0"/>
              <w:rPr>
                <w:sz w:val="20"/>
                <w:szCs w:val="20"/>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3040" w:type="dxa"/>
            <w:vAlign w:val="bottom"/>
          </w:tcPr>
          <w:p>
            <w:pPr>
              <w:spacing w:after="0"/>
              <w:rPr>
                <w:sz w:val="20"/>
                <w:szCs w:val="20"/>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3040" w:type="dxa"/>
            <w:vAlign w:val="bottom"/>
          </w:tcPr>
          <w:p>
            <w:pPr>
              <w:spacing w:after="0"/>
              <w:rPr>
                <w:sz w:val="18"/>
                <w:szCs w:val="18"/>
                <w:color w:val="auto"/>
              </w:rPr>
            </w:pPr>
          </w:p>
        </w:tc>
        <w:tc>
          <w:tcPr>
            <w:tcW w:w="4640" w:type="dxa"/>
            <w:vAlign w:val="bottom"/>
            <w:gridSpan w:val="3"/>
          </w:tcPr>
          <w:p>
            <w:pPr>
              <w:ind w:left="144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3040" w:type="dxa"/>
            <w:vAlign w:val="bottom"/>
          </w:tcPr>
          <w:p>
            <w:pPr>
              <w:spacing w:after="0"/>
              <w:rPr>
                <w:sz w:val="20"/>
                <w:szCs w:val="20"/>
                <w:color w:val="auto"/>
              </w:rPr>
            </w:pPr>
          </w:p>
        </w:tc>
        <w:tc>
          <w:tcPr>
            <w:tcW w:w="6260" w:type="dxa"/>
            <w:vAlign w:val="bottom"/>
            <w:gridSpan w:val="4"/>
          </w:tcPr>
          <w:p>
            <w:pPr>
              <w:ind w:left="144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4"/>
          </w:tcPr>
          <w:p>
            <w:pPr>
              <w:ind w:left="144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3040" w:type="dxa"/>
            <w:vAlign w:val="bottom"/>
          </w:tcPr>
          <w:p>
            <w:pPr>
              <w:spacing w:after="0"/>
              <w:rPr>
                <w:sz w:val="18"/>
                <w:szCs w:val="18"/>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spacing w:after="0"/>
              <w:rPr>
                <w:sz w:val="20"/>
                <w:szCs w:val="20"/>
                <w:color w:val="auto"/>
              </w:rPr>
            </w:pPr>
            <w:r>
              <w:rPr>
                <w:rFonts w:ascii="Arial" w:cs="Arial" w:eastAsia="Arial" w:hAnsi="Arial"/>
                <w:sz w:val="18"/>
                <w:szCs w:val="18"/>
                <w:color w:val="auto"/>
              </w:rPr>
              <w:t>million, assuming an offering price of $</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98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3040" w:type="dxa"/>
            <w:vAlign w:val="bottom"/>
          </w:tcPr>
          <w:p>
            <w:pPr>
              <w:spacing w:after="0"/>
              <w:rPr>
                <w:sz w:val="18"/>
                <w:szCs w:val="18"/>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3040" w:type="dxa"/>
            <w:vAlign w:val="bottom"/>
          </w:tcPr>
          <w:p>
            <w:pPr>
              <w:spacing w:after="0"/>
              <w:rPr>
                <w:sz w:val="18"/>
                <w:szCs w:val="18"/>
                <w:color w:val="auto"/>
              </w:rPr>
            </w:pPr>
          </w:p>
        </w:tc>
        <w:tc>
          <w:tcPr>
            <w:tcW w:w="7880" w:type="dxa"/>
            <w:vAlign w:val="bottom"/>
            <w:gridSpan w:val="5"/>
          </w:tcPr>
          <w:p>
            <w:pPr>
              <w:ind w:left="144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3040" w:type="dxa"/>
            <w:vAlign w:val="bottom"/>
          </w:tcPr>
          <w:p>
            <w:pPr>
              <w:spacing w:after="0"/>
              <w:rPr>
                <w:sz w:val="20"/>
                <w:szCs w:val="20"/>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left="4480" w:right="44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 in the United States;</w:t>
      </w:r>
    </w:p>
    <w:p>
      <w:pPr>
        <w:spacing w:after="0" w:line="197" w:lineRule="exact"/>
        <w:rPr>
          <w:rFonts w:ascii="Arial" w:cs="Arial" w:eastAsia="Arial" w:hAnsi="Arial"/>
          <w:sz w:val="18"/>
          <w:szCs w:val="18"/>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80"/>
        <w:spacing w:after="0" w:line="277" w:lineRule="auto"/>
        <w:rPr>
          <w:sz w:val="20"/>
          <w:szCs w:val="20"/>
          <w:color w:val="auto"/>
        </w:rPr>
      </w:pPr>
      <w:r>
        <w:rPr>
          <w:rFonts w:ascii="Arial" w:cs="Arial" w:eastAsia="Arial" w:hAnsi="Arial"/>
          <w:sz w:val="18"/>
          <w:szCs w:val="18"/>
          <w:color w:val="auto"/>
        </w:rPr>
        <w:t>See “Use of Proceeds” for additional information.See “Use of Proceeds” for additional information.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4607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4607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ectPr>
          <w:pgSz w:w="11900" w:h="16838" w:orient="portrait"/>
          <w:cols w:equalWidth="0" w:num="1">
            <w:col w:w="10900"/>
          </w:cols>
          <w:pgMar w:left="480" w:top="989" w:right="51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plan to apply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right="360" w:firstLine="648"/>
        <w:spacing w:after="0" w:line="277"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ordinary shares outstanding as of , 2021, after giving pro forma effect to the Corporate Conversion, and excludes:</w:t>
      </w:r>
    </w:p>
    <w:p>
      <w:pPr>
        <w:sectPr>
          <w:pgSz w:w="11900" w:h="16838" w:orient="portrait"/>
          <w:cols w:equalWidth="0" w:num="1">
            <w:col w:w="10900"/>
          </w:cols>
          <w:pgMar w:left="480" w:top="989" w:right="519" w:bottom="1440" w:gutter="0" w:footer="0" w:header="0"/>
          <w:type w:val="continuous"/>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issuable upon vesting of stock options outstanding as of</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2021; and</w:t>
      </w:r>
    </w:p>
    <w:p>
      <w:pPr>
        <w:spacing w:after="0" w:line="219" w:lineRule="exact"/>
        <w:rPr>
          <w:sz w:val="20"/>
          <w:szCs w:val="20"/>
          <w:color w:val="auto"/>
        </w:rPr>
      </w:pPr>
    </w:p>
    <w:p>
      <w:pPr>
        <w:sectPr>
          <w:pgSz w:w="11900" w:h="16838" w:orient="portrait"/>
          <w:cols w:equalWidth="0" w:num="3">
            <w:col w:w="440" w:space="400"/>
            <w:col w:w="5160" w:space="220"/>
            <w:col w:w="4680"/>
          </w:cols>
          <w:pgMar w:left="480" w:top="989" w:right="519" w:bottom="1440" w:gutter="0" w:footer="0" w:header="0"/>
          <w:type w:val="continuous"/>
        </w:sectPr>
      </w:pPr>
    </w:p>
    <w:p>
      <w:pPr>
        <w:ind w:left="660" w:right="3100" w:hanging="331"/>
        <w:spacing w:after="0" w:line="563" w:lineRule="auto"/>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ordinary shares that are available for future issuance under our 2021-2025 Equity Incentive Plan. Unless otherwise indicated, this prospectus reflects and assumes the following:</w:t>
      </w:r>
    </w:p>
    <w:p>
      <w:pPr>
        <w:ind w:left="660" w:right="180" w:hanging="331"/>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completion of the Corporate Conversion in which all outstanding quotas of Genenta Science S.r.l. will be converted into an aggregate of ordinary shares of Genenta Science S.p.A.; and</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or the warrants to purchase ADSs at an exercise price per share equal to 125%</w:t>
      </w:r>
    </w:p>
    <w:p>
      <w:pPr>
        <w:spacing w:after="0" w:line="46" w:lineRule="exact"/>
        <w:rPr>
          <w:rFonts w:ascii="Arial" w:cs="Arial" w:eastAsia="Arial" w:hAnsi="Arial"/>
          <w:sz w:val="16"/>
          <w:szCs w:val="16"/>
          <w:color w:val="auto"/>
        </w:rPr>
      </w:pPr>
    </w:p>
    <w:p>
      <w:pPr>
        <w:ind w:left="660" w:right="280"/>
        <w:spacing w:after="0" w:line="260" w:lineRule="auto"/>
        <w:rPr>
          <w:rFonts w:ascii="Arial" w:cs="Arial" w:eastAsia="Arial" w:hAnsi="Arial"/>
          <w:sz w:val="16"/>
          <w:szCs w:val="16"/>
          <w:color w:val="auto"/>
        </w:rPr>
      </w:pPr>
      <w:r>
        <w:rPr>
          <w:rFonts w:ascii="Arial" w:cs="Arial" w:eastAsia="Arial" w:hAnsi="Arial"/>
          <w:sz w:val="18"/>
          <w:szCs w:val="18"/>
          <w:color w:val="auto"/>
        </w:rPr>
        <w:t>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821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250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154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shd w:val="clear" w:color="auto" w:fill="CCEEFF"/>
          </w:tcPr>
          <w:p>
            <w:pPr>
              <w:jc w:val="right"/>
              <w:ind w:right="11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(4,624,502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w:t>
            </w: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hanging="315"/>
        <w:spacing w:after="0"/>
        <w:tabs>
          <w:tab w:leader="none" w:pos="320" w:val="left"/>
        </w:tabs>
        <w:numPr>
          <w:ilvl w:val="0"/>
          <w:numId w:val="15"/>
        </w:numPr>
        <w:rPr>
          <w:rFonts w:ascii="Arial" w:cs="Arial" w:eastAsia="Arial" w:hAnsi="Arial"/>
          <w:sz w:val="11"/>
          <w:szCs w:val="11"/>
          <w:color w:val="auto"/>
        </w:rPr>
      </w:pPr>
      <w:r>
        <w:rPr>
          <w:rFonts w:ascii="Arial" w:cs="Arial" w:eastAsia="Arial" w:hAnsi="Arial"/>
          <w:sz w:val="13"/>
          <w:szCs w:val="13"/>
          <w:color w:val="auto"/>
        </w:rPr>
        <w:t>We have presented pro forma basic and diluted net loss per share which consists of our historical net loss attributable to Genenta Science S.r.l., divided by the pro forma basic and</w:t>
      </w:r>
    </w:p>
    <w:p>
      <w:pPr>
        <w:spacing w:after="0" w:line="11" w:lineRule="exact"/>
        <w:rPr>
          <w:sz w:val="20"/>
          <w:szCs w:val="20"/>
          <w:color w:val="auto"/>
        </w:rPr>
      </w:pPr>
    </w:p>
    <w:p>
      <w:pPr>
        <w:ind w:left="320" w:right="60"/>
        <w:spacing w:after="0" w:line="232" w:lineRule="auto"/>
        <w:rPr>
          <w:sz w:val="20"/>
          <w:szCs w:val="20"/>
          <w:color w:val="auto"/>
        </w:rPr>
      </w:pPr>
      <w:r>
        <w:rPr>
          <w:rFonts w:ascii="Arial" w:cs="Arial" w:eastAsia="Arial" w:hAnsi="Arial"/>
          <w:sz w:val="14"/>
          <w:szCs w:val="14"/>
          <w:color w:val="auto"/>
        </w:rPr>
        <w:t>diluted weighted average number of shares outstanding after giving effect to the Corporate Conversion. See Note to our financial statements included elsewhere in this prospectus for additional information regarding the method used to calculate the pro forma basic and diluted net loss per share and the pro forma weighted average number of shares used in the computation of the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1400" w:type="dxa"/>
            <w:vAlign w:val="bottom"/>
          </w:tcPr>
          <w:p>
            <w:pPr>
              <w:spacing w:after="0"/>
              <w:rPr>
                <w:sz w:val="14"/>
                <w:szCs w:val="14"/>
                <w:color w:val="auto"/>
              </w:rPr>
            </w:pPr>
          </w:p>
        </w:tc>
      </w:tr>
      <w:tr>
        <w:trPr>
          <w:trHeight w:val="178"/>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2020</w:t>
            </w:r>
          </w:p>
        </w:tc>
        <w:tc>
          <w:tcPr>
            <w:tcW w:w="1400" w:type="dxa"/>
            <w:vAlign w:val="bottom"/>
            <w:tcBorders>
              <w:bottom w:val="single" w:sz="8" w:color="auto"/>
            </w:tcBorders>
          </w:tcPr>
          <w:p>
            <w:pPr>
              <w:spacing w:after="0"/>
              <w:rPr>
                <w:sz w:val="15"/>
                <w:szCs w:val="15"/>
                <w:color w:val="auto"/>
              </w:rPr>
            </w:pPr>
          </w:p>
        </w:tc>
      </w:tr>
      <w:tr>
        <w:trPr>
          <w:trHeight w:val="136"/>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ind w:left="260"/>
              <w:spacing w:after="0" w:line="136" w:lineRule="exact"/>
              <w:rPr>
                <w:sz w:val="20"/>
                <w:szCs w:val="20"/>
                <w:color w:val="auto"/>
              </w:rPr>
            </w:pPr>
            <w:r>
              <w:rPr>
                <w:rFonts w:ascii="Arial" w:cs="Arial" w:eastAsia="Arial" w:hAnsi="Arial"/>
                <w:sz w:val="14"/>
                <w:szCs w:val="14"/>
                <w:b w:val="1"/>
                <w:bCs w:val="1"/>
                <w:color w:val="auto"/>
              </w:rPr>
              <w:t>Pro Forma As</w:t>
            </w:r>
          </w:p>
        </w:tc>
      </w:tr>
      <w:tr>
        <w:trPr>
          <w:trHeight w:val="209"/>
        </w:trPr>
        <w:tc>
          <w:tcPr>
            <w:tcW w:w="5180" w:type="dxa"/>
            <w:vAlign w:val="bottom"/>
          </w:tcPr>
          <w:p>
            <w:pPr>
              <w:ind w:left="2340"/>
              <w:spacing w:after="0"/>
              <w:rPr>
                <w:sz w:val="20"/>
                <w:szCs w:val="20"/>
                <w:color w:val="auto"/>
              </w:rPr>
            </w:pPr>
            <w:r>
              <w:rPr>
                <w:rFonts w:ascii="Arial" w:cs="Arial" w:eastAsia="Arial" w:hAnsi="Arial"/>
                <w:sz w:val="14"/>
                <w:szCs w:val="14"/>
                <w:b w:val="1"/>
                <w:bCs w:val="1"/>
                <w:i w:val="1"/>
                <w:iCs w:val="1"/>
                <w:color w:val="auto"/>
              </w:rPr>
              <w:t>in Euros</w:t>
            </w:r>
          </w:p>
        </w:tc>
        <w:tc>
          <w:tcPr>
            <w:tcW w:w="100" w:type="dxa"/>
            <w:vAlign w:val="bottom"/>
          </w:tcPr>
          <w:p>
            <w:pPr>
              <w:spacing w:after="0"/>
              <w:rPr>
                <w:sz w:val="18"/>
                <w:szCs w:val="18"/>
                <w:color w:val="auto"/>
              </w:rPr>
            </w:pP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8"/>
                <w:szCs w:val="18"/>
                <w:color w:val="auto"/>
              </w:rPr>
            </w:pPr>
          </w:p>
        </w:tc>
        <w:tc>
          <w:tcPr>
            <w:tcW w:w="1580" w:type="dxa"/>
            <w:vAlign w:val="bottom"/>
            <w:gridSpan w:val="2"/>
          </w:tcPr>
          <w:p>
            <w:pPr>
              <w:ind w:left="340"/>
              <w:spacing w:after="0" w:line="20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3"/>
                <w:szCs w:val="23"/>
                <w:b w:val="1"/>
                <w:bCs w:val="1"/>
                <w:color w:val="auto"/>
                <w:vertAlign w:val="superscript"/>
              </w:rPr>
              <w:t>(1)</w:t>
            </w:r>
          </w:p>
        </w:tc>
        <w:tc>
          <w:tcPr>
            <w:tcW w:w="1400" w:type="dxa"/>
            <w:vAlign w:val="bottom"/>
          </w:tcPr>
          <w:p>
            <w:pPr>
              <w:ind w:left="280"/>
              <w:spacing w:after="0" w:line="202"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3"/>
                <w:szCs w:val="23"/>
                <w:b w:val="1"/>
                <w:bCs w:val="1"/>
                <w:color w:val="auto"/>
                <w:vertAlign w:val="superscript"/>
              </w:rPr>
              <w:t>(2)(3)</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Total equity</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r>
    </w:tbl>
    <w:p>
      <w:pPr>
        <w:spacing w:after="0" w:line="250"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4"/>
          <w:szCs w:val="14"/>
          <w:color w:val="auto"/>
        </w:rPr>
        <w:t>Reflects the Corporate Conversion.</w:t>
      </w:r>
    </w:p>
    <w:p>
      <w:pPr>
        <w:spacing w:after="0" w:line="136" w:lineRule="exact"/>
        <w:rPr>
          <w:sz w:val="20"/>
          <w:szCs w:val="20"/>
          <w:color w:val="auto"/>
        </w:rPr>
      </w:pPr>
    </w:p>
    <w:p>
      <w:pPr>
        <w:ind w:left="320" w:right="220" w:hanging="319"/>
        <w:spacing w:after="0" w:line="230" w:lineRule="auto"/>
        <w:tabs>
          <w:tab w:leader="none" w:pos="3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gives effect to (i) the pro forma adjustments set forth in footnote (1) above and (ii) the issuance and sale of ADSs, representing ordinary shares, in this offering at the assumed initial public offering price of $ per ADS, the midpoint of the price range set forth on the cover page of</w:t>
      </w:r>
    </w:p>
    <w:p>
      <w:pPr>
        <w:ind w:left="320"/>
        <w:spacing w:after="0"/>
        <w:rPr>
          <w:sz w:val="20"/>
          <w:szCs w:val="20"/>
          <w:color w:val="auto"/>
        </w:rPr>
      </w:pPr>
      <w:r>
        <w:rPr>
          <w:rFonts w:ascii="Arial" w:cs="Arial" w:eastAsia="Arial" w:hAnsi="Arial"/>
          <w:sz w:val="13"/>
          <w:szCs w:val="13"/>
          <w:color w:val="auto"/>
        </w:rPr>
        <w:t>this prospectus, after deducting the estimated underwriting discounts and commissions and estimated offering expenses payable by us. Each $1.00 increase (decrease) in the assumed</w:t>
      </w:r>
    </w:p>
    <w:p>
      <w:pPr>
        <w:ind w:left="320" w:right="60"/>
        <w:spacing w:after="0" w:line="238" w:lineRule="auto"/>
        <w:rPr>
          <w:sz w:val="20"/>
          <w:szCs w:val="20"/>
          <w:color w:val="auto"/>
        </w:rPr>
      </w:pPr>
      <w:r>
        <w:rPr>
          <w:rFonts w:ascii="Arial" w:cs="Arial" w:eastAsia="Arial" w:hAnsi="Arial"/>
          <w:sz w:val="13"/>
          <w:szCs w:val="13"/>
          <w:color w:val="auto"/>
        </w:rPr>
        <w:t>initial public offering price of $ per ADS would increase (decrease) the pro forma 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w:t>
      </w:r>
    </w:p>
    <w:p>
      <w:pPr>
        <w:spacing w:after="0" w:line="1" w:lineRule="exact"/>
        <w:rPr>
          <w:sz w:val="20"/>
          <w:szCs w:val="20"/>
          <w:color w:val="auto"/>
        </w:rPr>
      </w:pPr>
    </w:p>
    <w:p>
      <w:pPr>
        <w:ind w:left="320"/>
        <w:spacing w:after="0"/>
        <w:tabs>
          <w:tab w:leader="none" w:pos="8620" w:val="left"/>
        </w:tabs>
        <w:rPr>
          <w:sz w:val="20"/>
          <w:szCs w:val="20"/>
          <w:color w:val="auto"/>
        </w:rPr>
      </w:pPr>
      <w:r>
        <w:rPr>
          <w:rFonts w:ascii="Arial" w:cs="Arial" w:eastAsia="Arial" w:hAnsi="Arial"/>
          <w:sz w:val="13"/>
          <w:szCs w:val="13"/>
          <w:color w:val="auto"/>
        </w:rPr>
        <w:t>initial public offering price would increase (decrease) each of cash and cash equivalents, total assets and total equity by approximately €</w:t>
      </w:r>
      <w:r>
        <w:rPr>
          <w:sz w:val="20"/>
          <w:szCs w:val="20"/>
          <w:color w:val="auto"/>
        </w:rPr>
        <w:tab/>
      </w:r>
      <w:r>
        <w:rPr>
          <w:rFonts w:ascii="Arial" w:cs="Arial" w:eastAsia="Arial" w:hAnsi="Arial"/>
          <w:sz w:val="14"/>
          <w:szCs w:val="14"/>
          <w:color w:val="auto"/>
        </w:rPr>
        <w:t>.</w:t>
      </w:r>
    </w:p>
    <w:p>
      <w:pPr>
        <w:spacing w:after="0" w:line="124" w:lineRule="exact"/>
        <w:rPr>
          <w:sz w:val="20"/>
          <w:szCs w:val="20"/>
          <w:color w:val="auto"/>
        </w:rPr>
      </w:pPr>
    </w:p>
    <w:p>
      <w:pPr>
        <w:ind w:left="320" w:right="340" w:hanging="315"/>
        <w:spacing w:after="0" w:line="253" w:lineRule="auto"/>
        <w:tabs>
          <w:tab w:leader="none" w:pos="32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pro forma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w:t>
      </w:r>
    </w:p>
    <w:p>
      <w:pPr>
        <w:spacing w:after="0" w:line="46"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incurred net losses each year since our inception. Our net losses for the years ended December 31, 2020 and 2019 were approximately € million and €4.6 million, respectively. As of December 31, 2020, we had an accumulated deficit of approximately € million. Substantially all of our operating</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 w:name="page19"/>
    <w:bookmarkEnd w:id="18"/>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 w:name="page20"/>
    <w:bookmarkEnd w:id="19"/>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our cash and cash equivalents were approximately €15.5 million.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3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 w:name="page22"/>
    <w:bookmarkEnd w:id="21"/>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2" w:name="page23"/>
    <w:bookmarkEnd w:id="22"/>
    <w:p>
      <w:pPr>
        <w:ind w:firstLine="648"/>
        <w:spacing w:after="0" w:line="269" w:lineRule="auto"/>
        <w:rPr>
          <w:sz w:val="20"/>
          <w:szCs w:val="20"/>
          <w:color w:val="auto"/>
        </w:rPr>
      </w:pPr>
      <w:r>
        <w:rPr>
          <w:rFonts w:ascii="Arial" w:cs="Arial" w:eastAsia="Arial" w:hAnsi="Arial"/>
          <w:sz w:val="17"/>
          <w:szCs w:val="17"/>
          <w:color w:val="auto"/>
        </w:rPr>
        <w:t xml:space="preserve">There have been several significant adverse side effects in gene therapy treatments in the past, including reported cases of leukemia with the use of gammaretrovirus vector and patient deaths in other clinical trials. Two recent case reports of myelodysplastic syndrome and acute myeloid leukemia relating to BlueBird Bio’s product, are unlikely related to the LVV, and instead may be related to the patient population being studied, the genotoxic potential of the promoter incorporated as part of their transduction process, or the depth of conditioning used.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one GBM patient died from progressive disease at day 403 and another died at day 60 due to complications following the conditioning regimen.</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Patient deaths and severe adverse effects caused by our product candidates, or by products or product candidates that are similar to our product candidates and being developed by other companies, could result in the delay, suspension, clinical hold or termination of clinical trials by us, ethics committee, the FDA, the EMA, the AIFA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 w:name="page24"/>
    <w:bookmarkEnd w:id="23"/>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 clinical trial in newly diagnosed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 clinical trial in Italy. A study testing Temferon in multiple myeloma study was also approved by AIFA, but we paused the study and are considering closing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We need to complete our Phase 1/2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60" w:firstLine="648"/>
        <w:spacing w:after="0" w:line="273"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5" w:name="page26"/>
    <w:bookmarkEnd w:id="25"/>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5"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6" w:name="page27"/>
    <w:bookmarkEnd w:id="26"/>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1" w:name="page32"/>
    <w:bookmarkEnd w:id="31"/>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2" w:name="page33"/>
    <w:bookmarkEnd w:id="32"/>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3" w:name="page34"/>
    <w:bookmarkEnd w:id="33"/>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9" w:name="page40"/>
    <w:bookmarkEnd w:id="39"/>
    <w:p>
      <w:pPr>
        <w:ind w:right="8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FDA and other international regulatory authorities may require us to submit samples of any lot of any approved product together with the protocols showing the results of applicable tests at any time. Under some circumstances, the FDA or other international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1" w:name="page42"/>
    <w:bookmarkEnd w:id="41"/>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currently rely on our CMO and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5" w:name="page46"/>
    <w:bookmarkEnd w:id="45"/>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7" w:name="page48"/>
    <w:bookmarkEnd w:id="47"/>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8" w:name="page49"/>
    <w:bookmarkEnd w:id="48"/>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0" w:name="page51"/>
    <w:bookmarkEnd w:id="50"/>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2" w:name="page53"/>
    <w:bookmarkEnd w:id="52"/>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intellectual property that we have been granted licenses to.</w:t>
      </w:r>
    </w:p>
    <w:p>
      <w:pPr>
        <w:spacing w:after="0" w:line="12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or consultants. In addition, employees and consultants may be entitled to seek compensation for their inventions irrespective of their agreements with us.</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or in case the non-competition agreement entered into with an employee (not with independent consultant) is not duly remunerated. Such actions would make enforcing our non-competition agreements more challenging and could make it easier for our competitors to employ our previous employees. In addition, we cannot exclude that our current independent consultants may perform activities which could result in competition / conflict with our activity (e.g., in case they perform their activity for the benefit of other employers).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under Italian law, if we wish to obtain ownership over inventions developed by our employees, which inventions were developed while performing their employment activities, but outside the performance of their contractual duties, we are required to compensate the employee for the rights to their respective inventions. Moreover, Italian law provides that, save for the case in which the inventive activity of the independent consultant has been set forth as the subject of the consulting agreement and compensated for this purpose, the rights to economically exploit the original contributions and inventions realized in the execution of the consulting agreement will belong to consultant. There can be no guarantee that we will be able to obtain any such inventions and the failure to obtain such ownership rights over employees’ or independent consultants' inventions could have a material adverse effect on our operations and ability to effectively compete. In addition, employees and independent consultants may ask for a fair compensation due to such inventions.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55" w:name="page56"/>
    <w:bookmarkEnd w:id="55"/>
    <w:p>
      <w:pPr>
        <w:ind w:left="660" w:right="4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key people include our Chief Executive Officer and current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Stefania Mazzoleni, our Scientific Project Manager and Communications Officer, Tiziana Magnani our Clinical Project Manager and Valentina Brambilla our Clinical Trials Administrator &amp; Regulatory Expert. With the exception of Ms. Mazzoleni, Ms. Magnani and Ms. Brambilla, our key personnel are not (currently) engaged as full-time employees and we expect that other key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7" w:name="page58"/>
    <w:bookmarkEnd w:id="57"/>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9" w:name="page60"/>
    <w:bookmarkEnd w:id="59"/>
    <w:p>
      <w:pPr>
        <w:ind w:left="660" w:right="4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0" w:name="page61"/>
    <w:bookmarkEnd w:id="60"/>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2" w:name="page63"/>
    <w:bookmarkEnd w:id="62"/>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5" w:name="page66"/>
    <w:bookmarkEnd w:id="65"/>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their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their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their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6" w:name="page67"/>
    <w:bookmarkEnd w:id="66"/>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 - 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analysis necessary to determine whether or not we are currently a PFIC or whether we have ever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8" w:name="page69"/>
    <w:bookmarkEnd w:id="68"/>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9" w:name="page70"/>
    <w:bookmarkEnd w:id="69"/>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Milan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71" w:name="page72"/>
    <w:bookmarkEnd w:id="71"/>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unaudited Italian GAAP capital was approximately € million.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If we do not take these steps, our company could be liquidated.</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(as of today, such ban is effective until 31 March 2021 and is not referred, among others, to executives’ dismissals). These laws and the collective bargaining agreements to which we are subject could impair our flexibility if we need to restructure our business.</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4" w:name="page75"/>
    <w:bookmarkEnd w:id="74"/>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660"/>
        <w:spacing w:after="0"/>
        <w:tabs>
          <w:tab w:leader="none" w:pos="6580" w:val="left"/>
          <w:tab w:leader="none" w:pos="992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 assuming an offering price of $</w:t>
      </w:r>
      <w:r>
        <w:rPr>
          <w:sz w:val="20"/>
          <w:szCs w:val="20"/>
          <w:color w:val="auto"/>
        </w:rPr>
        <w:tab/>
      </w:r>
      <w:r>
        <w:rPr>
          <w:rFonts w:ascii="Arial" w:cs="Arial" w:eastAsia="Arial" w:hAnsi="Arial"/>
          <w:sz w:val="16"/>
          <w:szCs w:val="16"/>
          <w:color w:val="auto"/>
        </w:rPr>
        <w:t>per ADS, the</w:t>
      </w:r>
    </w:p>
    <w:p>
      <w:pPr>
        <w:spacing w:after="0" w:line="23" w:lineRule="exact"/>
        <w:rPr>
          <w:sz w:val="20"/>
          <w:szCs w:val="20"/>
          <w:color w:val="auto"/>
        </w:rPr>
      </w:pPr>
    </w:p>
    <w:p>
      <w:pPr>
        <w:ind w:right="160"/>
        <w:spacing w:after="0" w:line="186" w:lineRule="auto"/>
        <w:rPr>
          <w:sz w:val="20"/>
          <w:szCs w:val="20"/>
          <w:color w:val="auto"/>
        </w:rPr>
      </w:pPr>
      <w:r>
        <w:rPr>
          <w:rFonts w:ascii="Arial" w:cs="Arial" w:eastAsia="Arial" w:hAnsi="Arial"/>
          <w:sz w:val="12"/>
          <w:szCs w:val="12"/>
          <w:color w:val="auto"/>
        </w:rPr>
        <w:t>midpoint of the estimated price range set forth on the cover page of this prospectus, and after deducting underwriting discounts and commissions and offering expenses payable by us. If the underwriters exercise the over-allotment option in full, we estimate that the net proceeds from this offering will be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million, assuming an offering price of $ per ADS, the midpoint of the estimated price range 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A $1.00 increase or decrease in the assumed public offering price of $ per ADS would increase or decrease the net proceeds from this offering by approximately $ million, assuming that the number of ADSs offered by us, as set forth on the cover page of this prospectus, remains the</w:t>
      </w:r>
    </w:p>
    <w:p>
      <w:pPr>
        <w:spacing w:after="0"/>
        <w:rPr>
          <w:sz w:val="20"/>
          <w:szCs w:val="20"/>
          <w:color w:val="auto"/>
        </w:rPr>
      </w:pPr>
      <w:r>
        <w:rPr>
          <w:rFonts w:ascii="Arial" w:cs="Arial" w:eastAsia="Arial" w:hAnsi="Arial"/>
          <w:sz w:val="16"/>
          <w:szCs w:val="16"/>
          <w:color w:val="auto"/>
        </w:rPr>
        <w:t>same and after deducting the estimated underwriting discounts and commissions and estimated offering expenses payable by us. An increase or decrease of</w:t>
      </w:r>
    </w:p>
    <w:p>
      <w:pPr>
        <w:spacing w:after="0" w:line="32"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1,000,000 in the number of ADSs offered by us would increase or decrease our proceeds by approximately $ million, assuming the assumed public offering price remains the same,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pacing w:after="0" w:line="26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conduct a clinical trial of Temferon in GBM patients in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support the ongoing Temferon TEM-GBM 001 trial and its long-term patient monitoring program;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start a new Temferon clinical program in a second solid tumor indication;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further preclinical research for the development of Temferon™ across broad cancer indications;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 million to fund Temferon manufacturing activities, including LVV manufacturing, stability and process scalability studies and tech transfer activities; and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expected net proceeds from this offering, together with our existing cash and cash equivalents, will be sufficient to enable us to fund our operating expenses through at least the next 24-36 months, including expenses related to:</w:t>
      </w:r>
    </w:p>
    <w:p>
      <w:pPr>
        <w:spacing w:after="0" w:line="19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initiation of our US-based clinical trial;</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completion of our ongoing Temferon TEM-GBM 001 trial, the reporting of preliminary results on exploratory endpoints and the start of the long-term monitoring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 of the second solid tumor indication program;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advancement of the preclinical research activity on Temferon biological effects.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6" w:name="page77"/>
    <w:bookmarkEnd w:id="76"/>
    <w:p>
      <w:pPr>
        <w:ind w:right="18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US activities by referencing the rates we are paying to sites and third-party vendors involved in our ongoing programs in Italy, and subsequently appling an adjustment to those rates. Our estimated rates may change as a result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20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expected net proceeds from this offering, together with our existing cash and cash equivalents, will not be sufficient for us to fund certain manufacturing-associated activities needed to expand the Temferon programs in the United States and/or in Europe as well as any of our product candidates through regulatory approval, and we will need to raise additional capital to complete the development and commercialization of our product candidates after the read out from our preclinical and clinical trials. We expect to finance our cash needs primarily through equity offerings and potentially through debt financings, collaborations, license and development agreements. We have based these estimates on assumptions that may prove to be incorrect, and we could expend our available capital resources at a rate greater than we currently expect.</w:t>
      </w:r>
    </w:p>
    <w:p>
      <w:pPr>
        <w:spacing w:after="0" w:line="205"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U.S.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operate as an Italian limited liability company under the name Genenta Science S.r.l. Immediately prior to the effectiveness of the registration statement of which this prospectus forms a part and following approval by the Quotaholders’ Meeting of Genenta Science S.r.l., we will convert Genenta Science S.r.l. from a limited liability company to an Italian joint-stock company pursuant to Italian law and change its name to Genenta Science S.p.A. The purpose of the Corporate Conversion is to reorganize our corporate structure so that the entity that is offering ADSs to the public in this offering is a corporation rather than a limited liability company.</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conjunction with, and a result of, the Corporate Conversion, all of the quotas held by the existing quotaholders of the various classes of Genenta Science S.r.l. will be converted into an aggregate of ordinary shares of Genenta Science S.p.A. The number of ordinary shares issuable to each quotaholder in connection with the Corporate Conversion will be determined pursuant to the applicable provisions of the plan of conversion approved by the Quotaholders Meeting of Genenta Science S.r.l. under Italian law.</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Corporate Conversion, Genenta Science S.p.A. will retain all of the properties and assets, all of the debts and obligations of Genenta Science S.r.l. Genenta Science S.p.A. will be governed by articles of association and bylaws (</w:t>
      </w:r>
      <w:r>
        <w:rPr>
          <w:rFonts w:ascii="Arial" w:cs="Arial" w:eastAsia="Arial" w:hAnsi="Arial"/>
          <w:sz w:val="18"/>
          <w:szCs w:val="18"/>
          <w:i w:val="1"/>
          <w:iCs w:val="1"/>
          <w:color w:val="auto"/>
        </w:rPr>
        <w:t>Statuto</w:t>
      </w:r>
      <w:r>
        <w:rPr>
          <w:rFonts w:ascii="Arial" w:cs="Arial" w:eastAsia="Arial" w:hAnsi="Arial"/>
          <w:sz w:val="18"/>
          <w:szCs w:val="18"/>
          <w:color w:val="auto"/>
        </w:rPr>
        <w:t>), the material provisions of which are described under the heading “Description of Capital Stock” On the effective date of the Corporate Conversion, each of our directors and executive officers will be the persons as described elsewhere in this prospectus. See “Management”.</w:t>
      </w:r>
    </w:p>
    <w:p>
      <w:pPr>
        <w:spacing w:after="0" w:line="21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Except as otherwise noted herein, the financial statements included elsewhere in this prospectus are those of Genenta Science S.r.l. and its operations. We do not expect that the Corporate Conversion will have an effect on our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2020:</w:t>
      </w:r>
    </w:p>
    <w:p>
      <w:pPr>
        <w:spacing w:after="0" w:line="25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 pro forma basis to reflect the Corporate Conversion; and</w:t>
      </w:r>
    </w:p>
    <w:p>
      <w:pPr>
        <w:spacing w:after="0" w:line="185" w:lineRule="exact"/>
        <w:rPr>
          <w:sz w:val="20"/>
          <w:szCs w:val="20"/>
          <w:color w:val="auto"/>
        </w:rPr>
      </w:pPr>
    </w:p>
    <w:p>
      <w:pPr>
        <w:ind w:left="340"/>
        <w:spacing w:after="0"/>
        <w:tabs>
          <w:tab w:leader="none" w:pos="640" w:val="left"/>
          <w:tab w:leader="none" w:pos="6660" w:val="left"/>
        </w:tabs>
        <w:rPr>
          <w:sz w:val="20"/>
          <w:szCs w:val="20"/>
          <w:color w:val="auto"/>
        </w:rPr>
      </w:pPr>
      <w:r>
        <w:rPr>
          <w:rFonts w:ascii="Arial" w:cs="Arial" w:eastAsia="Arial" w:hAnsi="Arial"/>
          <w:sz w:val="18"/>
          <w:szCs w:val="18"/>
          <w:color w:val="auto"/>
        </w:rPr>
        <w:t>●</w:t>
        <w:tab/>
        <w:t>on a pro forma as adjusted basis to give further effect to the issuance and sale of</w:t>
      </w:r>
      <w:r>
        <w:rPr>
          <w:sz w:val="20"/>
          <w:szCs w:val="20"/>
          <w:color w:val="auto"/>
        </w:rPr>
        <w:tab/>
      </w:r>
      <w:r>
        <w:rPr>
          <w:rFonts w:ascii="Arial" w:cs="Arial" w:eastAsia="Arial" w:hAnsi="Arial"/>
          <w:sz w:val="16"/>
          <w:szCs w:val="16"/>
          <w:color w:val="auto"/>
        </w:rPr>
        <w:t>ADSs in this offering at an assumed public offering price of</w:t>
      </w:r>
    </w:p>
    <w:p>
      <w:pPr>
        <w:spacing w:after="0" w:line="23" w:lineRule="exact"/>
        <w:rPr>
          <w:sz w:val="20"/>
          <w:szCs w:val="20"/>
          <w:color w:val="auto"/>
        </w:rPr>
      </w:pPr>
    </w:p>
    <w:p>
      <w:pPr>
        <w:ind w:left="660" w:right="80" w:hanging="4"/>
        <w:spacing w:after="0" w:line="255" w:lineRule="auto"/>
        <w:tabs>
          <w:tab w:leader="none" w:pos="14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 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December 31, 2020.</w:t>
      </w:r>
    </w:p>
    <w:p>
      <w:pPr>
        <w:spacing w:after="0" w:line="2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2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Pro Forma As</w:t>
            </w:r>
          </w:p>
        </w:tc>
        <w:tc>
          <w:tcPr>
            <w:tcW w:w="100" w:type="dxa"/>
            <w:vAlign w:val="bottom"/>
          </w:tcPr>
          <w:p>
            <w:pPr>
              <w:spacing w:after="0"/>
              <w:rPr>
                <w:sz w:val="11"/>
                <w:szCs w:val="11"/>
                <w:color w:val="auto"/>
              </w:rPr>
            </w:pPr>
          </w:p>
        </w:tc>
      </w:tr>
      <w:tr>
        <w:trPr>
          <w:trHeight w:val="209"/>
        </w:trPr>
        <w:tc>
          <w:tcPr>
            <w:tcW w:w="3580" w:type="dxa"/>
            <w:vAlign w:val="bottom"/>
            <w:gridSpan w:val="2"/>
          </w:tcPr>
          <w:p>
            <w:pPr>
              <w:ind w:left="1960"/>
              <w:spacing w:after="0"/>
              <w:rPr>
                <w:sz w:val="20"/>
                <w:szCs w:val="20"/>
                <w:color w:val="auto"/>
              </w:rPr>
            </w:pPr>
            <w:r>
              <w:rPr>
                <w:rFonts w:ascii="Arial" w:cs="Arial" w:eastAsia="Arial" w:hAnsi="Arial"/>
                <w:sz w:val="14"/>
                <w:szCs w:val="14"/>
                <w:b w:val="1"/>
                <w:bCs w:val="1"/>
                <w:i w:val="1"/>
                <w:iCs w:val="1"/>
                <w:color w:val="auto"/>
                <w:w w:val="87"/>
              </w:rPr>
              <w:t>in Euros, except share data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600"/>
              <w:spacing w:after="0"/>
              <w:rPr>
                <w:sz w:val="20"/>
                <w:szCs w:val="20"/>
                <w:color w:val="auto"/>
              </w:rPr>
            </w:pPr>
            <w:r>
              <w:rPr>
                <w:rFonts w:ascii="Arial" w:cs="Arial" w:eastAsia="Arial" w:hAnsi="Arial"/>
                <w:sz w:val="14"/>
                <w:szCs w:val="14"/>
                <w:b w:val="1"/>
                <w:bCs w:val="1"/>
                <w:color w:val="auto"/>
              </w:rPr>
              <w:t>Actual</w:t>
            </w:r>
          </w:p>
        </w:tc>
        <w:tc>
          <w:tcPr>
            <w:tcW w:w="1880" w:type="dxa"/>
            <w:vAlign w:val="bottom"/>
            <w:gridSpan w:val="2"/>
          </w:tcPr>
          <w:p>
            <w:pPr>
              <w:jc w:val="center"/>
              <w:ind w:right="320"/>
              <w:spacing w:after="0" w:line="202" w:lineRule="exact"/>
              <w:rPr>
                <w:sz w:val="20"/>
                <w:szCs w:val="20"/>
                <w:color w:val="auto"/>
              </w:rPr>
            </w:pPr>
            <w:r>
              <w:rPr>
                <w:rFonts w:ascii="Arial" w:cs="Arial" w:eastAsia="Arial" w:hAnsi="Arial"/>
                <w:sz w:val="14"/>
                <w:szCs w:val="14"/>
                <w:b w:val="1"/>
                <w:bCs w:val="1"/>
                <w:color w:val="auto"/>
                <w:w w:val="90"/>
              </w:rPr>
              <w:t xml:space="preserve">Pro Forma </w:t>
            </w:r>
            <w:r>
              <w:rPr>
                <w:rFonts w:ascii="Arial" w:cs="Arial" w:eastAsia="Arial" w:hAnsi="Arial"/>
                <w:sz w:val="23"/>
                <w:szCs w:val="23"/>
                <w:b w:val="1"/>
                <w:bCs w:val="1"/>
                <w:color w:val="auto"/>
                <w:w w:val="90"/>
                <w:vertAlign w:val="superscript"/>
              </w:rPr>
              <w:t>(1)</w:t>
            </w:r>
          </w:p>
        </w:tc>
        <w:tc>
          <w:tcPr>
            <w:tcW w:w="168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89"/>
              </w:rPr>
              <w:t xml:space="preserve">Adjusted </w:t>
            </w:r>
            <w:r>
              <w:rPr>
                <w:rFonts w:ascii="Arial" w:cs="Arial" w:eastAsia="Arial" w:hAnsi="Arial"/>
                <w:sz w:val="23"/>
                <w:szCs w:val="23"/>
                <w:b w:val="1"/>
                <w:bCs w:val="1"/>
                <w:color w:val="auto"/>
                <w:w w:val="89"/>
                <w:vertAlign w:val="superscript"/>
              </w:rPr>
              <w:t>(2)</w:t>
            </w:r>
          </w:p>
        </w:tc>
      </w:tr>
      <w:tr>
        <w:trPr>
          <w:trHeight w:val="216"/>
        </w:trPr>
        <w:tc>
          <w:tcPr>
            <w:tcW w:w="26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Shareholders’ deficit:</w:t>
            </w: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par value of €</w:t>
            </w:r>
          </w:p>
        </w:tc>
        <w:tc>
          <w:tcPr>
            <w:tcW w:w="920" w:type="dxa"/>
            <w:vAlign w:val="bottom"/>
            <w:shd w:val="clear" w:color="auto" w:fill="CCEEFF"/>
          </w:tcPr>
          <w:p>
            <w:pPr>
              <w:jc w:val="right"/>
              <w:ind w:right="570"/>
              <w:spacing w:after="0" w:line="201" w:lineRule="exact"/>
              <w:rPr>
                <w:sz w:val="20"/>
                <w:szCs w:val="20"/>
                <w:color w:val="auto"/>
              </w:rPr>
            </w:pPr>
            <w:r>
              <w:rPr>
                <w:rFonts w:ascii="Arial" w:cs="Arial" w:eastAsia="Arial" w:hAnsi="Arial"/>
                <w:sz w:val="18"/>
                <w:szCs w:val="18"/>
                <w:color w:val="auto"/>
              </w:rPr>
              <w:t>,</w:t>
            </w:r>
          </w:p>
        </w:tc>
        <w:tc>
          <w:tcPr>
            <w:tcW w:w="4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shares registered:</w:t>
            </w: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issued, actual;</w:t>
            </w:r>
          </w:p>
        </w:tc>
        <w:tc>
          <w:tcPr>
            <w:tcW w:w="5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shares, pro forma</w:t>
            </w: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shareholders’ (deficit) equity</w:t>
            </w:r>
          </w:p>
        </w:tc>
        <w:tc>
          <w:tcPr>
            <w:tcW w:w="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30"/>
          <w:szCs w:val="30"/>
          <w:color w:val="auto"/>
          <w:vertAlign w:val="superscript"/>
        </w:rPr>
      </w:pPr>
      <w:r>
        <w:rPr>
          <w:rFonts w:ascii="Arial" w:cs="Arial" w:eastAsia="Arial" w:hAnsi="Arial"/>
          <w:sz w:val="18"/>
          <w:szCs w:val="18"/>
          <w:color w:val="auto"/>
        </w:rPr>
        <w:t>Reflects the Corporate Conversion.</w:t>
      </w:r>
    </w:p>
    <w:p>
      <w:pPr>
        <w:spacing w:after="0" w:line="1" w:lineRule="exact"/>
        <w:rPr>
          <w:rFonts w:ascii="Arial" w:cs="Arial" w:eastAsia="Arial" w:hAnsi="Arial"/>
          <w:sz w:val="30"/>
          <w:szCs w:val="30"/>
          <w:color w:val="auto"/>
          <w:vertAlign w:val="superscript"/>
        </w:rPr>
      </w:pPr>
    </w:p>
    <w:p>
      <w:pPr>
        <w:ind w:left="340" w:right="240" w:hanging="332"/>
        <w:spacing w:after="0" w:line="236" w:lineRule="auto"/>
        <w:tabs>
          <w:tab w:leader="none" w:pos="340" w:val="left"/>
        </w:tabs>
        <w:numPr>
          <w:ilvl w:val="0"/>
          <w:numId w:val="61"/>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ordinary shares to be outstanding immediately after this offering is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based 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57" w:lineRule="exact"/>
        <w:rPr>
          <w:sz w:val="20"/>
          <w:szCs w:val="20"/>
          <w:color w:val="auto"/>
        </w:rPr>
      </w:pPr>
    </w:p>
    <w:p>
      <w:pPr>
        <w:sectPr>
          <w:pgSz w:w="11900" w:h="16838" w:orient="portrait"/>
          <w:cols w:equalWidth="0" w:num="3">
            <w:col w:w="6860" w:space="480"/>
            <w:col w:w="1800" w:space="720"/>
            <w:col w:w="1380"/>
          </w:cols>
          <w:pgMar w:left="320" w:top="715" w:right="339" w:bottom="1440" w:gutter="0" w:footer="0" w:header="0"/>
          <w:type w:val="continuous"/>
        </w:sectPr>
      </w:pPr>
    </w:p>
    <w:p>
      <w:pPr>
        <w:spacing w:after="0"/>
        <w:tabs>
          <w:tab w:leader="none" w:pos="144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6"/>
          <w:szCs w:val="16"/>
          <w:color w:val="auto"/>
        </w:rPr>
        <w:t>, 2021, after giving pro forma effect to the Corporate Conversion, and excludes:</w:t>
      </w:r>
    </w:p>
    <w:p>
      <w:pPr>
        <w:sectPr>
          <w:pgSz w:w="11900" w:h="16838" w:orient="portrait"/>
          <w:cols w:equalWidth="0" w:num="1">
            <w:col w:w="11240"/>
          </w:cols>
          <w:pgMar w:left="320" w:top="715" w:right="339" w:bottom="1440" w:gutter="0" w:footer="0" w:header="0"/>
          <w:type w:val="continuous"/>
        </w:sect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of common stock issuable upon vesting of stock options outstanding as of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ectPr>
          <w:pgSz w:w="11900" w:h="16838" w:orient="portrait"/>
          <w:cols w:equalWidth="0" w:num="3">
            <w:col w:w="440" w:space="440"/>
            <w:col w:w="6460" w:space="220"/>
            <w:col w:w="3680"/>
          </w:cols>
          <w:pgMar w:left="320" w:top="715" w:right="339" w:bottom="1440" w:gutter="0" w:footer="0" w:header="0"/>
          <w:type w:val="continuous"/>
        </w:sectPr>
      </w:pPr>
    </w:p>
    <w:p>
      <w:pPr>
        <w:spacing w:after="0" w:line="8" w:lineRule="exact"/>
        <w:rPr>
          <w:sz w:val="20"/>
          <w:szCs w:val="20"/>
          <w:color w:val="auto"/>
        </w:rPr>
      </w:pPr>
    </w:p>
    <w:p>
      <w:pPr>
        <w:ind w:left="920" w:hanging="588"/>
        <w:spacing w:after="0"/>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ordinary shares that are available for future issuance under our 2021-2025 Equity Incentive Plan; and</w:t>
      </w:r>
    </w:p>
    <w:p>
      <w:pPr>
        <w:spacing w:after="0" w:line="207" w:lineRule="exact"/>
        <w:rPr>
          <w:rFonts w:ascii="Arial" w:cs="Arial" w:eastAsia="Arial" w:hAnsi="Arial"/>
          <w:sz w:val="16"/>
          <w:szCs w:val="16"/>
          <w:color w:val="auto"/>
        </w:rPr>
      </w:pPr>
    </w:p>
    <w:p>
      <w:pPr>
        <w:ind w:left="920" w:hanging="58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you invest in our securities, your interest will be diluted immediately to the extent of the difference between the public offering price per ADS you will pay in this offering and the pro forma net tangible book value per ADS after the offering. At December 31, 2020, we had net tangible book value of € , corresponding to a net tangible book value of € per ordinary share or $ per ADS (using the ratio of ordinary shares to one ADS). Net tangible book value per ordinary share or per ADS represents the amount of our total tangible assets less our total liabilities, divided by the total number of ordinary shares outstanding at December 31, 2020, or , the total number of ADSs that would represent such total number of shares based on a share-to-ADS ratio of one-to-one.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722" w:lineRule="exact"/>
        <w:rPr>
          <w:sz w:val="20"/>
          <w:szCs w:val="20"/>
          <w:color w:val="auto"/>
        </w:rPr>
      </w:pPr>
    </w:p>
    <w:p>
      <w:pPr>
        <w:sectPr>
          <w:pgSz w:w="11900" w:h="16838" w:orient="portrait"/>
          <w:cols w:equalWidth="0" w:num="2">
            <w:col w:w="11080" w:space="20"/>
            <w:col w:w="140"/>
          </w:cols>
          <w:pgMar w:left="320" w:top="715" w:right="339" w:bottom="1440" w:gutter="0" w:footer="0" w:header="0"/>
          <w:type w:val="continuous"/>
        </w:sectPr>
      </w:pPr>
    </w:p>
    <w:p>
      <w:pPr>
        <w:spacing w:after="0" w:line="1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December 31, 2020</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1" w:name="page82"/>
    <w:bookmarkEnd w:id="81"/>
    <w:p>
      <w:pPr>
        <w:ind w:right="2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December 31, 2020, the differences between the number of ordinary shares acquired from us, the total amount paid and the average price per ordinary share paid by the existing holders of our ordinary shares and by investors in this offering</w:t>
      </w:r>
    </w:p>
    <w:p>
      <w:pPr>
        <w:ind w:right="700"/>
        <w:spacing w:after="0" w:line="260" w:lineRule="auto"/>
        <w:rPr>
          <w:sz w:val="20"/>
          <w:szCs w:val="20"/>
          <w:color w:val="auto"/>
        </w:rPr>
      </w:pPr>
      <w:r>
        <w:rPr>
          <w:rFonts w:ascii="Arial" w:cs="Arial" w:eastAsia="Arial" w:hAnsi="Arial"/>
          <w:sz w:val="18"/>
          <w:szCs w:val="18"/>
          <w:color w:val="auto"/>
        </w:rPr>
        <w:t>and based upon an assumed public offering price of $ per ADS, the midpoint of the estimated price range set forth on the cover page of this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0" w:type="dxa"/>
            <w:vAlign w:val="bottom"/>
          </w:tcPr>
          <w:p>
            <w:pPr>
              <w:spacing w:after="0"/>
              <w:rPr>
                <w:sz w:val="24"/>
                <w:szCs w:val="24"/>
                <w:color w:val="auto"/>
              </w:rPr>
            </w:pPr>
          </w:p>
        </w:tc>
        <w:tc>
          <w:tcPr>
            <w:tcW w:w="6500" w:type="dxa"/>
            <w:vAlign w:val="bottom"/>
            <w:gridSpan w:val="7"/>
          </w:tcPr>
          <w:p>
            <w:pPr>
              <w:ind w:left="12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based on</w:t>
            </w:r>
          </w:p>
        </w:tc>
        <w:tc>
          <w:tcPr>
            <w:tcW w:w="2840" w:type="dxa"/>
            <w:vAlign w:val="bottom"/>
            <w:gridSpan w:val="4"/>
          </w:tcPr>
          <w:p>
            <w:pPr>
              <w:ind w:left="340"/>
              <w:spacing w:after="0"/>
              <w:rPr>
                <w:sz w:val="20"/>
                <w:szCs w:val="20"/>
                <w:color w:val="auto"/>
              </w:rPr>
            </w:pPr>
            <w:r>
              <w:rPr>
                <w:rFonts w:ascii="Arial" w:cs="Arial" w:eastAsia="Arial" w:hAnsi="Arial"/>
                <w:sz w:val="18"/>
                <w:szCs w:val="18"/>
                <w:color w:val="auto"/>
                <w:w w:val="93"/>
              </w:rPr>
              <w:t>ordinary shares outstanding as of</w:t>
            </w:r>
          </w:p>
        </w:tc>
        <w:tc>
          <w:tcPr>
            <w:tcW w:w="0" w:type="dxa"/>
            <w:vAlign w:val="bottom"/>
          </w:tcPr>
          <w:p>
            <w:pPr>
              <w:spacing w:after="0"/>
              <w:rPr>
                <w:sz w:val="1"/>
                <w:szCs w:val="1"/>
                <w:color w:val="auto"/>
              </w:rPr>
            </w:pPr>
          </w:p>
        </w:tc>
      </w:tr>
      <w:tr>
        <w:trPr>
          <w:trHeight w:val="230"/>
        </w:trPr>
        <w:tc>
          <w:tcPr>
            <w:tcW w:w="7040" w:type="dxa"/>
            <w:vAlign w:val="bottom"/>
            <w:gridSpan w:val="8"/>
          </w:tcPr>
          <w:p>
            <w:pPr>
              <w:ind w:left="180"/>
              <w:spacing w:after="0"/>
              <w:rPr>
                <w:sz w:val="20"/>
                <w:szCs w:val="20"/>
                <w:color w:val="auto"/>
              </w:rPr>
            </w:pPr>
            <w:r>
              <w:rPr>
                <w:rFonts w:ascii="Arial" w:cs="Arial" w:eastAsia="Arial" w:hAnsi="Arial"/>
                <w:sz w:val="18"/>
                <w:szCs w:val="18"/>
                <w:color w:val="auto"/>
              </w:rPr>
              <w:t>, 2021, after giving pro forma effect to the Corporate Conversion, and excludes: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7860" w:type="dxa"/>
            <w:vAlign w:val="bottom"/>
            <w:gridSpan w:val="9"/>
          </w:tcPr>
          <w:p>
            <w:pPr>
              <w:ind w:left="300"/>
              <w:spacing w:after="0"/>
              <w:rPr>
                <w:sz w:val="20"/>
                <w:szCs w:val="20"/>
                <w:color w:val="auto"/>
              </w:rPr>
            </w:pPr>
            <w:r>
              <w:rPr>
                <w:rFonts w:ascii="Arial" w:cs="Arial" w:eastAsia="Arial" w:hAnsi="Arial"/>
                <w:sz w:val="18"/>
                <w:szCs w:val="18"/>
                <w:color w:val="auto"/>
                <w:w w:val="95"/>
              </w:rPr>
              <w:t>ordinary shares of common stock issuable upon vesting of stock options outstanding as of   , 2021;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40" w:hanging="508"/>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 and</w:t>
      </w:r>
    </w:p>
    <w:p>
      <w:pPr>
        <w:spacing w:after="0" w:line="184" w:lineRule="exact"/>
        <w:rPr>
          <w:rFonts w:ascii="Arial" w:cs="Arial" w:eastAsia="Arial" w:hAnsi="Arial"/>
          <w:sz w:val="18"/>
          <w:szCs w:val="18"/>
          <w:color w:val="auto"/>
        </w:rPr>
      </w:pPr>
    </w:p>
    <w:p>
      <w:pPr>
        <w:ind w:left="840" w:hanging="508"/>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extent that options are granted under our 2021-2025 Equity Incentive Plan, there will be further dilution to investors purchasing ordinary shares in this offering.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76</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38"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Immediately prior to the effectiveness of the registration statement of which this prospectus forms a part, Genenta Science S.r.l. will modify its charter to become a S.p.A. (società per azioni) pursuant to our corporate reorganization. See “Corporate reorganization.” Prior to this offering, we were a limited liability company, but the change in incorporation did not affect the financial information herein presented, except for the transformation of our quotas into ordinary shares. As such the historical financial statements will not be retrospectively adjusted.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€33.6 million.</w:t>
      </w:r>
    </w:p>
    <w:p>
      <w:pPr>
        <w:spacing w:after="0" w:line="215" w:lineRule="exact"/>
        <w:rPr>
          <w:sz w:val="20"/>
          <w:szCs w:val="20"/>
          <w:color w:val="auto"/>
        </w:rPr>
      </w:pPr>
    </w:p>
    <w:p>
      <w:pPr>
        <w:ind w:right="280" w:firstLine="648"/>
        <w:spacing w:after="0" w:line="287"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w:t>
      </w:r>
    </w:p>
    <w:p>
      <w:pPr>
        <w:spacing w:after="0" w:line="2"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years ended December 31, 2020 and 2019 were approximately €</w:t>
      </w:r>
      <w:r>
        <w:rPr>
          <w:sz w:val="20"/>
          <w:szCs w:val="20"/>
          <w:color w:val="auto"/>
        </w:rPr>
        <w:tab/>
      </w:r>
      <w:r>
        <w:rPr>
          <w:rFonts w:ascii="Arial" w:cs="Arial" w:eastAsia="Arial" w:hAnsi="Arial"/>
          <w:sz w:val="16"/>
          <w:szCs w:val="16"/>
          <w:color w:val="auto"/>
        </w:rPr>
        <w:t>million and approximately €4.6 million, respectively. As of December 31, 2020, we</w:t>
      </w:r>
    </w:p>
    <w:p>
      <w:pPr>
        <w:spacing w:after="0" w:line="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had an accumulated deficit of approximately €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2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83" w:name="page84"/>
    <w:bookmarkEnd w:id="83"/>
    <w:p>
      <w:pPr>
        <w:ind w:right="4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21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As of December 31, 2020, we had cash and cash equivalents of approximately €15.5 million. We believe that our existing cash and cash equivalents as of December 31, 2020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of the date of this filing, the global healthcare community continues to respond to the COVID-19 pandemic.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9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84" w:name="page85"/>
    <w:bookmarkEnd w:id="84"/>
    <w:p>
      <w:pPr>
        <w:ind w:left="660" w:right="8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 of operations and comprehensive loss. However, not all of our research and development expenses are allocated by program:</w:t>
      </w:r>
    </w:p>
    <w:p>
      <w:pPr>
        <w:sectPr>
          <w:pgSz w:w="11900" w:h="16838" w:orient="portrait"/>
          <w:cols w:equalWidth="0" w:num="1">
            <w:col w:w="11200"/>
          </w:cols>
          <w:pgMar w:left="320" w:top="719" w:right="37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 based compensation)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14605</wp:posOffset>
            </wp:positionV>
            <wp:extent cx="26314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660" w:hanging="1192"/>
        <w:spacing w:after="0"/>
        <w:tabs>
          <w:tab w:leader="none" w:pos="2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1,853,929</w:t>
      </w:r>
    </w:p>
    <w:p>
      <w:pPr>
        <w:spacing w:after="0" w:line="46" w:lineRule="exact"/>
        <w:rPr>
          <w:rFonts w:ascii="Arial" w:cs="Arial" w:eastAsia="Arial" w:hAnsi="Arial"/>
          <w:sz w:val="16"/>
          <w:szCs w:val="16"/>
          <w:color w:val="auto"/>
        </w:rPr>
      </w:pPr>
    </w:p>
    <w:p>
      <w:pPr>
        <w:ind w:left="2780"/>
        <w:spacing w:after="0"/>
        <w:rPr>
          <w:rFonts w:ascii="Arial" w:cs="Arial" w:eastAsia="Arial" w:hAnsi="Arial"/>
          <w:sz w:val="16"/>
          <w:szCs w:val="16"/>
          <w:color w:val="auto"/>
        </w:rPr>
      </w:pPr>
      <w:r>
        <w:rPr>
          <w:rFonts w:ascii="Arial" w:cs="Arial" w:eastAsia="Arial" w:hAnsi="Arial"/>
          <w:sz w:val="16"/>
          <w:szCs w:val="16"/>
          <w:color w:val="auto"/>
        </w:rPr>
        <w:t>769,146</w:t>
      </w:r>
    </w:p>
    <w:p>
      <w:pPr>
        <w:spacing w:after="0" w:line="27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753,238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73,736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64,151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133,573</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55,209</w:t>
      </w:r>
    </w:p>
    <w:p>
      <w:pPr>
        <w:spacing w:after="0" w:line="63" w:lineRule="exact"/>
        <w:rPr>
          <w:sz w:val="20"/>
          <w:szCs w:val="20"/>
          <w:color w:val="auto"/>
        </w:rPr>
      </w:pPr>
    </w:p>
    <w:p>
      <w:pPr>
        <w:ind w:left="2660" w:hanging="1192"/>
        <w:spacing w:after="0"/>
        <w:tabs>
          <w:tab w:leader="none" w:pos="2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3,702,982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29210</wp:posOffset>
            </wp:positionV>
            <wp:extent cx="263144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440"/>
          </w:cols>
          <w:pgMar w:left="320" w:top="719" w:right="379" w:bottom="187" w:gutter="0" w:footer="0" w:header="0"/>
          <w:type w:val="continuous"/>
        </w:sectPr>
      </w:pPr>
    </w:p>
    <w:p>
      <w:pPr>
        <w:spacing w:after="0" w:line="1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214"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ectPr>
          <w:pgSz w:w="11900" w:h="16838" w:orient="portrait"/>
          <w:cols w:equalWidth="0" w:num="1">
            <w:col w:w="11200"/>
          </w:cols>
          <w:pgMar w:left="320" w:top="719" w:right="379" w:bottom="187" w:gutter="0" w:footer="0" w:header="0"/>
          <w:type w:val="continuous"/>
        </w:sectPr>
      </w:pPr>
    </w:p>
    <w:bookmarkStart w:id="85" w:name="page86"/>
    <w:bookmarkEnd w:id="85"/>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years ended December 31, 2020 and 2019.</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with regard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2020.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21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52"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Euro 3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Euro 4 million); (ii) the tax credit can be used for 2021 and 2022 fiscal years; (iii) it is necessary to have, besides the audit report, a technical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Euros)</w:t>
      </w:r>
    </w:p>
    <w:p>
      <w:pPr>
        <w:spacing w:after="0" w:line="248"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wp:posOffset>
            </wp:positionV>
            <wp:extent cx="23488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jc w:val="both"/>
        <w:ind w:left="814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net loss per share – basic and diluted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 forma weighted average number of shares Outstanding – basic and diluted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3,702,982</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921,520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4,624,502</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(4,624,502)</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36,331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(9,552)</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26,779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(4,597,723)</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(4,597,723)</w:t>
      </w:r>
    </w:p>
    <w:p>
      <w:pPr>
        <w:spacing w:after="0" w:line="28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(4,597,723)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629285</wp:posOffset>
            </wp:positionV>
            <wp:extent cx="23488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48865" cy="2540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37465</wp:posOffset>
            </wp:positionV>
            <wp:extent cx="234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9640" w:space="720"/>
            <w:col w:w="840"/>
          </w:cols>
          <w:pgMar w:left="320" w:top="715" w:right="379" w:bottom="1440" w:gutter="0" w:footer="0" w:header="0"/>
          <w:type w:val="continuous"/>
        </w:sectPr>
      </w:pPr>
    </w:p>
    <w:p>
      <w:pPr>
        <w:spacing w:after="0" w:line="12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presented pro forma basic and diluted net loss per share which consists of our historical net loss attributable to Genenta Science S.r.l., divided by the pro forma basic and diluted weighted average number of ordinary shares outstanding after giving effect to the Corporate Conversion. See Note ___ to our financial statements included elsewhere in this prospectus for additional information regarding the method used to calculate the pro forma basic and diluted net loss per ordinary share and the pro forma weighted average number of ordinary shares used in the computation of the per share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Research and development expenses were approximately €___ million for the year ended December 31, 2020, as compared to approximately €3.7 million for the year ended December 31, 2019. The increase of approximately €___ million was primarily due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General and administrative expenses were approximately €___ million for the year ended December 31, 2020, as compared to approximately €0.9 million for the year ended December 31, 2019. The increase of approximately €___ million was primarily due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Other Income</w:t>
      </w:r>
    </w:p>
    <w:p>
      <w:pPr>
        <w:spacing w:after="0" w:line="25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Other income was €___ million for the year ended December 31, 2020, as compared to approximately €36,000 for the year ended December 31, 2019. The increase of approximately € ___ million was primarily due to ______________________________________________.</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5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Finance expense was approximately €___ million for the year ended December 31, 2020, as compared to approximately €10,000 for the year ended December 31, 2019. The increase of approximately €___ million was primarily due to ______________________________________________.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net loss was approximately €___ million for the year ended December 31, 2020, as compared to approximately €4.6 million for the year ended December 31, 2019. The increase of approximately €___ million was primarily due to ______________________________________________.</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sales of quotas. Through December 31, 2020, we had received gross cash proceeds of approximately €33.6 million from sales of our quotas. As of December 31, 2020, we had approximately €15.5 million in cash and cash equivalents.</w:t>
      </w:r>
    </w:p>
    <w:p>
      <w:pPr>
        <w:sectPr>
          <w:pgSz w:w="11900" w:h="16838" w:orient="portrait"/>
          <w:cols w:equalWidth="0" w:num="1">
            <w:col w:w="11200"/>
          </w:cols>
          <w:pgMar w:left="320" w:top="719" w:right="379" w:bottom="1440" w:gutter="0" w:footer="0" w:header="0"/>
        </w:sectPr>
      </w:pPr>
    </w:p>
    <w:p>
      <w:pPr>
        <w:spacing w:after="0" w:line="214"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00" w:lineRule="exact"/>
        <w:rPr>
          <w:sz w:val="20"/>
          <w:szCs w:val="20"/>
          <w:color w:val="auto"/>
        </w:rPr>
      </w:pPr>
    </w:p>
    <w:p>
      <w:pPr>
        <w:spacing w:after="0" w:line="206"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(in Euros)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at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-3175</wp:posOffset>
            </wp:positionV>
            <wp:extent cx="23488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tabs>
          <w:tab w:leader="none" w:pos="2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(2,490,187)</w:t>
      </w:r>
    </w:p>
    <w:p>
      <w:pPr>
        <w:spacing w:after="0" w:line="34"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14,768,202</w:t>
      </w:r>
    </w:p>
    <w:p>
      <w:pPr>
        <w:spacing w:after="0" w:line="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12,278,015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7,863,364</w:t>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20,141,379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31750</wp:posOffset>
            </wp:positionV>
            <wp:extent cx="234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7420" w:space="720"/>
            <w:col w:w="3060"/>
          </w:cols>
          <w:pgMar w:left="320" w:top="719" w:right="37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operating activities used approximately €____ million of cash and cash equivalents, resulting from our</w:t>
      </w:r>
    </w:p>
    <w:p>
      <w:pPr>
        <w:spacing w:after="0" w:line="46"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net loss of approximately €___ million partially offset by cash provided by changes in our operating assets and liabilities of approximately €___ million and non-cash charges of approximately €___ million. The net changes in our operating assets and liabilities were primarily due to an increase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The non-cash charges primarily included approximately €___ million of stock-based compensation expense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€___ million of __________________ expense.</w:t>
      </w:r>
    </w:p>
    <w:p>
      <w:pPr>
        <w:spacing w:after="0" w:line="2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€___ million, primarily consisting of net cash proceeds from _________________, which raised net proceeds of approximately €____ million.</w:t>
      </w:r>
    </w:p>
    <w:p>
      <w:pPr>
        <w:spacing w:after="0" w:line="19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5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92"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As of December 31, 2020, our cash and cash equivalents were approximately €15.5 million. Our primary cash obligations relate to payments to OSR pursuant to our license agreement. We believe that our existing cash and cash equivalents will be sufficient to fund our projected cash requirements through the first quarter of 2023.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20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 million for research and development activities over the course of the next twelve months. We also anticipate that we will require between approximately € to approximately € million for capital expenditures over such twelve month period, which consists primarily of expenditures for supporting preclinical studies required for obtaining approval to conduct such clinical studies for our product candidates and general and administration labor costs.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9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9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 We have based this estimate on assumptions that may prove to be wrong, and we could use our available capital resources sooner than we currently expect.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0" w:name="page91"/>
    <w:bookmarkEnd w:id="90"/>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9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97"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1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9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52"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To reward the efforts of employees, directors and certain consultants to promote our growth, our Board of Directors has approved, during its existence, various share-based awards. All options have been awarded with an exercise price of €1 per quota and, when exercised, were first converted to Quota B of Genenta Science S.r.l. and then to ordinary shares giving effect to our Corporate Conversion. The options granted have the vesting condition that the individual has to remain with us at least one year or as otherwise specified for each person.</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its statement of operations and comprehensive loss in the same manner in which the award recipient’s payroll costs are classified or in which the award recipient’s service payments are classified.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92" w:name="page93"/>
    <w:bookmarkEnd w:id="92"/>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w:t>
      </w:r>
    </w:p>
    <w:p>
      <w:pPr>
        <w:spacing w:after="0" w:line="25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9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of our equity to third-party, arms-length, sophisticated, and qualified investors;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84"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19" w:right="459" w:bottom="1440" w:gutter="0" w:footer="0" w:header="0"/>
        </w:sectPr>
      </w:pPr>
    </w:p>
    <w:bookmarkStart w:id="93" w:name="page94"/>
    <w:bookmarkEnd w:id="93"/>
    <w:p>
      <w:pPr>
        <w:ind w:right="20"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2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52"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 of operations and comprehensive loss.</w:t>
      </w:r>
    </w:p>
    <w:p>
      <w:pPr>
        <w:spacing w:after="0" w:line="2"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Potential Long-Term Effect: </w:t>
      </w:r>
      <w:r>
        <w:rPr>
          <w:rFonts w:ascii="Arial" w:cs="Arial" w:eastAsia="Arial" w:hAnsi="Arial"/>
          <w:sz w:val="17"/>
          <w:szCs w:val="17"/>
          <w:color w:val="auto"/>
        </w:rPr>
        <w:t>Through the use of stem cells, our therapeutic candidate is designed as a “</w:t>
      </w:r>
      <w:r>
        <w:rPr>
          <w:rFonts w:ascii="Arial" w:cs="Arial" w:eastAsia="Arial" w:hAnsi="Arial"/>
          <w:sz w:val="17"/>
          <w:szCs w:val="17"/>
          <w:i w:val="1"/>
          <w:iCs w:val="1"/>
          <w:color w:val="auto"/>
        </w:rPr>
        <w:t>living therapy</w:t>
      </w:r>
      <w:r>
        <w:rPr>
          <w:rFonts w:ascii="Arial" w:cs="Arial" w:eastAsia="Arial" w:hAnsi="Arial"/>
          <w:sz w:val="17"/>
          <w:szCs w:val="17"/>
          <w:color w:val="auto"/>
        </w:rPr>
        <w:t>” intended to break the</w:t>
      </w:r>
      <w:r>
        <w:rPr>
          <w:rFonts w:ascii="Arial" w:cs="Arial" w:eastAsia="Arial" w:hAnsi="Arial"/>
          <w:sz w:val="17"/>
          <w:szCs w:val="17"/>
          <w:i w:val="1"/>
          <w:iCs w:val="1"/>
          <w:color w:val="auto"/>
        </w:rPr>
        <w:t xml:space="preserve"> </w:t>
      </w:r>
      <w:r>
        <w:rPr>
          <w:rFonts w:ascii="Arial" w:cs="Arial" w:eastAsia="Arial" w:hAnsi="Arial"/>
          <w:sz w:val="17"/>
          <w:szCs w:val="17"/>
          <w:color w:val="auto"/>
        </w:rPr>
        <w:t>cancer-induced immune tolerance and to establish a competent immune surveillance throughout the life of the patient.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8"/>
          <w:szCs w:val="18"/>
          <w:b w:val="1"/>
          <w:bCs w:val="1"/>
          <w:color w:val="auto"/>
        </w:rPr>
        <w:t>-</w:t>
      </w:r>
      <w:r>
        <w:rPr>
          <w:rFonts w:ascii="Arial" w:cs="Arial" w:eastAsia="Arial" w:hAnsi="Arial"/>
          <w:sz w:val="18"/>
          <w:szCs w:val="18"/>
          <w:color w:val="auto"/>
        </w:rPr>
        <w:t>modified TEMs express the transgene payload, IFN-α, in the tumor microenvironment resulting in the systematic breakdown of tumor induced immune-tolerance. As a result,the immune system subsequently recognizes the tumor, responds, and is able to inhibit tumor growth. Because Temferon is designed to deliver the IFN-α payload directly to the tumor, we believe it will demonstrate clinical activity without the side effect profile of systemic delivery of IFN-α. In preclinical models, local IFN-α release by Temferon triggered both a direct (anti-angiogenic, pro-apoptotic) and an indirect (immune response) anti-tumor effect.</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currently developing Temferon for the treatment of glioblastoma multiforme (GBM).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GBM patients potentially interested in participating in our study. As a result, we believe GBM offers a good profile for our initial proof of concept trial in humans. We are currently conducting a two-part, Phase 1/2a clinical trial with Temferon in newly diagnosed GBM patients in Italy. We anticipate completing enrollment of Part A of our study by the first quarter of 2021 and patient dosing by the second quarter of 2021. We intend to use the preliminary results of our Phase 1/2a clinical trial to support our IND application to the US Food and Drug Administration (FDA) for approval to conduct a Phase 1/2b trial in GBM in the U.S. As of January 26, 2021, we have dosed a total of 10 patients. The preliminary results show that Temferon has been generally well tolerated, with no dose limiting toxicities identified so far.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5" w:name="page96"/>
    <w:bookmarkEnd w:id="95"/>
    <w:p>
      <w:pPr>
        <w:ind w:firstLine="648"/>
        <w:spacing w:after="0" w:line="253" w:lineRule="auto"/>
        <w:rPr>
          <w:sz w:val="20"/>
          <w:szCs w:val="20"/>
          <w:color w:val="auto"/>
        </w:rPr>
      </w:pPr>
      <w:r>
        <w:rPr>
          <w:rFonts w:ascii="Arial" w:cs="Arial" w:eastAsia="Arial" w:hAnsi="Arial"/>
          <w:sz w:val="18"/>
          <w:szCs w:val="18"/>
          <w:color w:val="auto"/>
        </w:rPr>
        <w:t>We also intend to develop Temferon for the treatment of other solid tumor indications, including locally advanced hepatocellular carcinoma (HCC) and intra-hepatic cholangiocarcinoma (ICC).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We intend to submit a Clinical Trial Application (CTA) to study Temferon in HCC and ICC to the Italian Medicines Agency (Agenzia Italiana del Farmaco, or AIFA), the public institution responsible for the regulatory activity of pharmaceuticals in Italy. We anticipate initiating the Phase 1/2a clinical trial to study Temferon in HCC and ICC in first quarter of 2022, subject to feedback from these regulatory authorities.</w:t>
      </w:r>
    </w:p>
    <w:p>
      <w:pPr>
        <w:spacing w:after="0" w:line="2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GBM,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We rely on our current contract manufacturing organization (CMO), AGC Biologics, based in Italy, to manufacture LVV and Temferon for us. After the completion of our Phase 1/2b study we intend to use a US-based CMO to supply our drug product (DP) for conducting larger trials in the U.S. Therefore, we are working with AGC Biologics to plan the required tech transfer activities for drug product manufacturing and the scale up of our LVV manufacturing process to support larger trials.</w:t>
      </w:r>
    </w:p>
    <w:p>
      <w:pPr>
        <w:spacing w:after="0" w:line="21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We were founded in 2014 by San Raffaele Hospital (Ospedale San Raffaele or OSR) in Milan, a globally recognized premier research hospital for </w:t>
      </w:r>
      <w:r>
        <w:rPr>
          <w:rFonts w:ascii="Arial" w:cs="Arial" w:eastAsia="Arial" w:hAnsi="Arial"/>
          <w:sz w:val="16"/>
          <w:szCs w:val="16"/>
          <w:i w:val="1"/>
          <w:iCs w:val="1"/>
          <w:color w:val="auto"/>
        </w:rPr>
        <w:t xml:space="preserve">ex-vivo </w:t>
      </w:r>
      <w:r>
        <w:rPr>
          <w:rFonts w:ascii="Arial" w:cs="Arial" w:eastAsia="Arial" w:hAnsi="Arial"/>
          <w:sz w:val="16"/>
          <w:szCs w:val="16"/>
          <w:color w:val="auto"/>
        </w:rPr>
        <w:t>gene therapy, with Pierluigi Paracchi (our CEO), Luigi Naldini (Chairman of our Executive Scientific Board) and Bernhard Gentner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Executive Scientific Board), to develop first-in-class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that give rise to approved products, including Strimvelis, an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gammaretroviral vector-based gene therapy for adenosine deaminase severe combined immunodeficiency (ADA-SCID), and Libmeldy, an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19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168910</wp:posOffset>
            </wp:positionV>
            <wp:extent cx="5340350" cy="2657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03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HCC and ICC patients, but ultimately, we hope to broaden our platform to treat a wide variety of cancers. To achieve this goal, we intend to pursue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conducting a Phase 1/2a dose-escalation study in Italy to primarily evaluate the safety and tolerability of Temferon in up to 21 GBM patients who have an unmethylated MGMT promoter, following radiotherapy treatment. We plan to initiate a Phase 1/2b trial in the U.S. to evaluate the safety and efficacy of Temferon in up to 30 GBM patients who have an unmethylated MGMT promoter, following radiotherapy, where we intend to measure progression free survival (PFS) and overall survival (OS) as endpoints. We are planning a pre-IND meeting with the FDA by the end of the second quarter of 2021 to discuss the proposed clinical program and drug product manufacturing. The study design may change as a result of discussions with regulatory bodies, key opinion leaders and partnering clinical centers.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Expand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hanging="328"/>
        <w:spacing w:after="0" w:line="279"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Identifying additional indications suitable for Temferon</w:t>
      </w:r>
      <w:r>
        <w:rPr>
          <w:rFonts w:ascii="Arial" w:cs="Arial" w:eastAsia="Arial" w:hAnsi="Arial"/>
          <w:sz w:val="17"/>
          <w:szCs w:val="17"/>
          <w:color w:val="auto"/>
        </w:rPr>
        <w:t>. We are in the planning stages for a second study using Temferon in locally advanced HCC</w:t>
      </w:r>
      <w:r>
        <w:rPr>
          <w:rFonts w:ascii="Arial" w:cs="Arial" w:eastAsia="Arial" w:hAnsi="Arial"/>
          <w:sz w:val="17"/>
          <w:szCs w:val="17"/>
          <w:i w:val="1"/>
          <w:iCs w:val="1"/>
          <w:color w:val="auto"/>
        </w:rPr>
        <w:t xml:space="preserve"> </w:t>
      </w:r>
      <w:r>
        <w:rPr>
          <w:rFonts w:ascii="Arial" w:cs="Arial" w:eastAsia="Arial" w:hAnsi="Arial"/>
          <w:sz w:val="17"/>
          <w:szCs w:val="17"/>
          <w:color w:val="auto"/>
        </w:rPr>
        <w:t>and ICC with the Istituto Superiore di Sanita (ISS), an independent committee with oversight from the Italian Ministry of Health that must issue a positive opinion regarding our CTA before AIFA may approve it. In addition to these indications, we believe there may be additional cancer indications which actively recruit TEMs to proliferate for which Temferon may be a suitable therapy.</w:t>
      </w:r>
    </w:p>
    <w:p>
      <w:pPr>
        <w:spacing w:after="0" w:line="130" w:lineRule="exact"/>
        <w:rPr>
          <w:rFonts w:ascii="Arial" w:cs="Arial" w:eastAsia="Arial" w:hAnsi="Arial"/>
          <w:sz w:val="17"/>
          <w:szCs w:val="17"/>
          <w:color w:val="auto"/>
        </w:rPr>
      </w:pPr>
    </w:p>
    <w:p>
      <w:pPr>
        <w:ind w:left="660" w:right="52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enables us to use different transgene payloads to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20" w:hanging="328"/>
        <w:spacing w:after="0" w:line="31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20" w:hanging="328"/>
        <w:spacing w:after="0" w:line="31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Exploring combination therapies</w:t>
      </w:r>
      <w:r>
        <w:rPr>
          <w:rFonts w:ascii="Arial" w:cs="Arial" w:eastAsia="Arial" w:hAnsi="Arial"/>
          <w:sz w:val="16"/>
          <w:szCs w:val="16"/>
          <w:color w:val="auto"/>
        </w:rPr>
        <w:t>. We will seek to enter into collaborations with other companies to explore combination studies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with other cancer therapies, such as ICI, CAR-T cell therapies and TCR therapies. We believe our product, as a result of its MoA, will enhance the durability and efficacy of the existing therapies, thus creating a durable response and abolishing the immune tolerance to the tumor.</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To meet our drug product supply needs for conducting larger trials after the completion of our planned Phase 1/2b GBM study in the United States,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We are currently working with AGC Biologics to plan the required tech activities for transferring the drug product manufacturing to a US CMO and the scale up of our LVV manufacturing process to support larger trials.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a GBM IND trial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right="20" w:hanging="328"/>
        <w:spacing w:after="0" w:line="269"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and valuable expertise. </w:t>
      </w:r>
      <w:r>
        <w:rPr>
          <w:rFonts w:ascii="Arial" w:cs="Arial" w:eastAsia="Arial" w:hAnsi="Arial"/>
          <w:sz w:val="17"/>
          <w:szCs w:val="17"/>
          <w:color w:val="auto"/>
        </w:rPr>
        <w:t>We are conducting our clinical trials at OSR, a leading center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ex-vivo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 therapy for inherited diseases. OSR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has treated more than 130 patients worldwide (one of the highest number of patients treated with gene therapy for rare diseases in a research hospital), using the same LVV platform that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40"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380" w:hanging="328"/>
        <w:spacing w:after="0" w:line="282"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ten treated GBM patients following a single administration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Temferon displayed persistence of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40" w:hanging="328"/>
        <w:spacing w:after="0" w:line="314" w:lineRule="auto"/>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Tumor restricted therapeutic payload delivery and release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the design of our transgene expression cassette, we restrict payload expression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tumor microenvironment. The local and tumor restricted therapeutic gene deployment allows full exploitation of the pleiotropic anti-tumor activities of the selected payload, limiting the toxic manifestation that results from standard systemic administration of the payload.</w:t>
      </w:r>
    </w:p>
    <w:p>
      <w:pPr>
        <w:spacing w:after="0" w:line="105" w:lineRule="exact"/>
        <w:rPr>
          <w:rFonts w:ascii="Arial" w:cs="Arial" w:eastAsia="Arial" w:hAnsi="Arial"/>
          <w:sz w:val="16"/>
          <w:szCs w:val="16"/>
          <w:b w:val="1"/>
          <w:bCs w:val="1"/>
          <w:color w:val="auto"/>
        </w:rPr>
      </w:pPr>
    </w:p>
    <w:p>
      <w:pPr>
        <w:ind w:left="660" w:right="100" w:hanging="328"/>
        <w:spacing w:after="0" w:line="308" w:lineRule="auto"/>
        <w:tabs>
          <w:tab w:leader="none" w:pos="6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Agnostic approach. </w:t>
      </w:r>
      <w:r>
        <w:rPr>
          <w:rFonts w:ascii="Arial" w:cs="Arial" w:eastAsia="Arial" w:hAnsi="Arial"/>
          <w:sz w:val="17"/>
          <w:szCs w:val="17"/>
          <w:color w:val="auto"/>
        </w:rPr>
        <w:t>Our immune-gene therapy approach is a tumor-agnostic investigational immunotherapy since it does not rely on any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or tumor type, and therefore could be successfully applied to a potentially broad range of cancers and immune contexts.</w:t>
      </w:r>
    </w:p>
    <w:p>
      <w:pPr>
        <w:spacing w:after="0" w:line="105" w:lineRule="exact"/>
        <w:rPr>
          <w:rFonts w:ascii="Arial" w:cs="Arial" w:eastAsia="Arial" w:hAnsi="Arial"/>
          <w:sz w:val="17"/>
          <w:szCs w:val="17"/>
          <w:b w:val="1"/>
          <w:bCs w:val="1"/>
          <w:color w:val="auto"/>
        </w:rPr>
      </w:pPr>
    </w:p>
    <w:p>
      <w:pPr>
        <w:ind w:left="660" w:right="80" w:hanging="328"/>
        <w:spacing w:after="0" w:line="263"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ind w:left="660" w:right="60" w:hanging="328"/>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an active immune surveillance. Our preclinical work, which used different cancer models (B-cell acute lymphoblastic leukemia - B-ALL and GBM) as well as preliminary data collected from our GBM patients, suggests the occurrence of changes in the immune system.</w:t>
      </w:r>
    </w:p>
    <w:p>
      <w:pPr>
        <w:spacing w:after="0" w:line="108"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gives us the ability to fine tune the dose to be administered to each patient, based on the patient’s own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characteristics (drug product’s release specifications).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99" w:name="page100"/>
    <w:bookmarkEnd w:id="99"/>
    <w:p>
      <w:pPr>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without size constraints and their ability to efficiently transduce non-proliferating or slowly proliferating cells, such as hematopoietic stem and progenitor cells, allowing persistent gene expression in transduced cells. Moreover, LVVs have a reduced risk of genotoxicity compared to gRV. </w:t>
      </w:r>
      <w:r>
        <w:rPr>
          <w:rFonts w:ascii="Arial" w:cs="Arial" w:eastAsia="Arial" w:hAnsi="Arial"/>
          <w:sz w:val="17"/>
          <w:szCs w:val="17"/>
          <w:i w:val="1"/>
          <w:iCs w:val="1"/>
          <w:color w:val="auto"/>
        </w:rPr>
        <w:t>Ex-vivo</w:t>
      </w:r>
      <w:r>
        <w:rPr>
          <w:rFonts w:ascii="Arial" w:cs="Arial" w:eastAsia="Arial" w:hAnsi="Arial"/>
          <w:sz w:val="17"/>
          <w:szCs w:val="17"/>
          <w:color w:val="auto"/>
        </w:rPr>
        <w:t xml:space="preserve"> transduction using LVVs has demonstrated a positive safety profile over the last 10 years. A large number of patients have been treated with LVV marketed gene therapy products and clinical-stage product candidates for rare diseases worldwide, and each of these therapies has been generally well tolerated. We believe that long-term extensive follow-up across multiple diseases, with vectors expressing different genes, demonstrates the potential safety of our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need for innovation and improvement in cancer treatment has never been a higher priority for the healthcare industry and patients. 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2019. IO therapeutics, which rely on the natural activity of the immune system to fight cancers in various ways, are grouped in five main classes reported in the tables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466090</wp:posOffset>
            </wp:positionV>
            <wp:extent cx="5803265" cy="4894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03265"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1" w:name="page102"/>
    <w:bookmarkEnd w:id="101"/>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2" w:name="page103"/>
    <w:bookmarkEnd w:id="102"/>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168910</wp:posOffset>
            </wp:positionV>
            <wp:extent cx="4500245" cy="17659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0024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30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Very recently, BlueBird Bio temporary</w:t>
      </w:r>
    </w:p>
    <w:p>
      <w:pPr>
        <w:spacing w:after="0" w:line="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suspended its gene therapy clinical trials for SCD (HGB-206 and HGB-210) and the marketing of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due to a suspected unexpected serious adverse reaction of acute myeloid leukemia in a SCD patient who received the product more than five years ago. It is not clear yet if there is a link with the use of LVV and onset of leukemia. BlueBird Bio is investigating this.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130810</wp:posOffset>
            </wp:positionV>
            <wp:extent cx="3317240" cy="1765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1724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4" w:name="page105"/>
    <w:bookmarkEnd w:id="104"/>
    <w:p>
      <w:pPr>
        <w:ind w:left="660" w:hanging="328"/>
        <w:spacing w:after="0" w:line="286" w:lineRule="auto"/>
        <w:tabs>
          <w:tab w:leader="none" w:pos="6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148590</wp:posOffset>
            </wp:positionV>
            <wp:extent cx="5349240" cy="2280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ind w:left="340" w:right="200"/>
        <w:spacing w:after="0" w:line="277" w:lineRule="auto"/>
        <w:rPr>
          <w:sz w:val="20"/>
          <w:szCs w:val="20"/>
          <w:color w:val="auto"/>
        </w:rPr>
      </w:pPr>
      <w:r>
        <w:rPr>
          <w:rFonts w:ascii="Arial" w:cs="Arial" w:eastAsia="Arial" w:hAnsi="Arial"/>
          <w:sz w:val="18"/>
          <w:szCs w:val="18"/>
          <w:i w:val="1"/>
          <w:iCs w:val="1"/>
          <w:color w:val="auto"/>
        </w:rPr>
        <w:t>Modified HSPCs and their differentiated cell progeny, which bear the transgene whose expression is restricted to tumor-associated myeloid cell (Tie2-expressing monocytes – TEMs).</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119380</wp:posOffset>
            </wp:positionV>
            <wp:extent cx="3557905" cy="1783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57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60" w:right="8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40" w:hanging="328"/>
        <w:spacing w:after="0" w:line="272"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GBM pathology. </w:t>
      </w:r>
      <w:r>
        <w:rPr>
          <w:rFonts w:ascii="Arial" w:cs="Arial" w:eastAsia="Arial" w:hAnsi="Arial"/>
          <w:sz w:val="17"/>
          <w:szCs w:val="17"/>
          <w:color w:val="auto"/>
        </w:rPr>
        <w:t>GBMs are highly vascularized tumors that critically depend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6" w:name="page107"/>
    <w:bookmarkEnd w:id="106"/>
    <w:p>
      <w:pPr>
        <w:ind w:left="660" w:right="2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GBM, and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18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Opportunity. </w:t>
      </w:r>
      <w:r>
        <w:rPr>
          <w:rFonts w:ascii="Arial" w:cs="Arial" w:eastAsia="Arial" w:hAnsi="Arial"/>
          <w:sz w:val="17"/>
          <w:szCs w:val="17"/>
          <w:color w:val="auto"/>
        </w:rPr>
        <w:t>Based on currently available treatments, the global market size for GBM is projected to grow to over $1.5 billion by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a novel therapeutic which demonstrates improvement over existing therapies would greatly increase the market size.</w:t>
      </w:r>
    </w:p>
    <w:p>
      <w:pPr>
        <w:spacing w:after="0" w:line="17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7" w:name="page108"/>
    <w:bookmarkEnd w:id="107"/>
    <w:p>
      <w:pPr>
        <w:ind w:left="660" w:hanging="328"/>
        <w:spacing w:after="0" w:line="29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8" w:name="page109"/>
    <w:bookmarkEnd w:id="108"/>
    <w:p>
      <w:pPr>
        <w:ind w:right="400" w:firstLine="648"/>
        <w:spacing w:after="0" w:line="308" w:lineRule="auto"/>
        <w:rPr>
          <w:sz w:val="20"/>
          <w:szCs w:val="20"/>
          <w:color w:val="auto"/>
        </w:rPr>
      </w:pPr>
      <w:r>
        <w:rPr>
          <w:rFonts w:ascii="Arial" w:cs="Arial" w:eastAsia="Arial" w:hAnsi="Arial"/>
          <w:sz w:val="17"/>
          <w:szCs w:val="17"/>
          <w:color w:val="auto"/>
        </w:rPr>
        <w:t xml:space="preserve">Once within the tumor microenvironment, IFN-α exerts its anti-tumor activity both </w:t>
      </w:r>
      <w:r>
        <w:rPr>
          <w:rFonts w:ascii="Arial" w:cs="Arial" w:eastAsia="Arial" w:hAnsi="Arial"/>
          <w:sz w:val="17"/>
          <w:szCs w:val="17"/>
          <w:i w:val="1"/>
          <w:iCs w:val="1"/>
          <w:color w:val="auto"/>
        </w:rPr>
        <w:t>directly</w:t>
      </w:r>
      <w:r>
        <w:rPr>
          <w:rFonts w:ascii="Arial" w:cs="Arial" w:eastAsia="Arial" w:hAnsi="Arial"/>
          <w:sz w:val="17"/>
          <w:szCs w:val="17"/>
          <w:color w:val="auto"/>
        </w:rPr>
        <w:t xml:space="preserve"> by promoting cancer cell apoptosis and inhibiting vascularization and </w:t>
      </w:r>
      <w:r>
        <w:rPr>
          <w:rFonts w:ascii="Arial" w:cs="Arial" w:eastAsia="Arial" w:hAnsi="Arial"/>
          <w:sz w:val="17"/>
          <w:szCs w:val="17"/>
          <w:i w:val="1"/>
          <w:iCs w:val="1"/>
          <w:color w:val="auto"/>
        </w:rPr>
        <w:t>indirectly</w:t>
      </w:r>
      <w:r>
        <w:rPr>
          <w:rFonts w:ascii="Arial" w:cs="Arial" w:eastAsia="Arial" w:hAnsi="Arial"/>
          <w:sz w:val="17"/>
          <w:szCs w:val="17"/>
          <w:color w:val="auto"/>
        </w:rPr>
        <w:t xml:space="preserve"> by restoring anti-tumor immune response. Specifically, IFN-α triggers these effects as follows:</w:t>
      </w:r>
    </w:p>
    <w:p>
      <w:pPr>
        <w:spacing w:after="0" w:line="173" w:lineRule="exact"/>
        <w:rPr>
          <w:sz w:val="20"/>
          <w:szCs w:val="20"/>
          <w:color w:val="auto"/>
        </w:rPr>
      </w:pPr>
    </w:p>
    <w:p>
      <w:pPr>
        <w:ind w:left="660" w:right="280" w:hanging="328"/>
        <w:spacing w:after="0" w:line="34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119380</wp:posOffset>
            </wp:positionV>
            <wp:extent cx="5092065" cy="2168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9206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505835" cy="3900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35058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second quarter of 2019, we initiated a single-arm, open label, dose escalation, Phase 1/2a clinical trial, in adult patients aged 18 to 70 years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(“TEM-GBM 001 study”). The trial is being conducted at two clinical centers of excellence located in Milan, Italy: (i) Istituto Nazionale Neurologico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Carlo Besta</w:t>
      </w:r>
      <w:r>
        <w:rPr>
          <w:rFonts w:ascii="Arial" w:cs="Arial" w:eastAsia="Arial" w:hAnsi="Arial"/>
          <w:sz w:val="16"/>
          <w:szCs w:val="16"/>
          <w:color w:val="auto"/>
        </w:rPr>
        <w:t>”, an internationally recognized leading center in neuroscience, specializing in the diagnosis and treatment of neurological diseases in adults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children, and (ii) OSR, which has a recognized expertise in complex and innovative diagnostic and therapeutic approaches in onco-hematological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and in gene therapy treatments.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ind w:right="20" w:firstLine="648"/>
        <w:spacing w:after="0" w:line="254" w:lineRule="auto"/>
        <w:rPr>
          <w:sz w:val="20"/>
          <w:szCs w:val="20"/>
          <w:color w:val="auto"/>
        </w:rPr>
      </w:pPr>
      <w:r>
        <w:rPr>
          <w:rFonts w:ascii="Arial" w:cs="Arial" w:eastAsia="Arial" w:hAnsi="Arial"/>
          <w:sz w:val="18"/>
          <w:szCs w:val="18"/>
          <w:color w:val="auto"/>
        </w:rPr>
        <w:t>The primary objective of the TEM-GBM 001 study is to evaluate the safety, feasibility and biological activity of Temferon in 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upon completion and selection,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will be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149860</wp:posOffset>
            </wp:positionV>
            <wp:extent cx="4526280" cy="2794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2628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study is split into two parts, Part A and Part B. Part A evaluates the tolerability and safety of three escalating doses of Temferon in 15 patients at 90 days. Part B evaluates the safety and tolerability of a single dose, as identified from Part A, in 6 patients with GBM at 90 days. The secondary objective of this study is to evaluate the long-term tolerability and safety of Temferon for up to 2 years following Temferon administration.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Patients in Part A of our study will be split into five cohorts, each containing three patients. Each cohort will be administered one of three</w:t>
      </w:r>
    </w:p>
    <w:p>
      <w:pPr>
        <w:spacing w:after="0" w:line="23"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escalating Temferon doses (Dose I to III, with Dose III also administered to patients from cohorts 4 to 5) following the infusion of supporter HSPCs (3x10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of non-manipulated CD34+ cells/kg or 2x10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non-manipulated CD34+ cells/kg). We will also test two sub-myelosuppressive conditioning regimens required for the engraftment of Temferon (i) carmustine (BCNU) and thiotepa in patients of cohorts 1-4, and (ii) busulfan and thiotepa in patients of cohort</w:t>
      </w:r>
    </w:p>
    <w:p>
      <w:pPr>
        <w:spacing w:after="0" w:line="2" w:lineRule="exact"/>
        <w:rPr>
          <w:sz w:val="20"/>
          <w:szCs w:val="20"/>
          <w:color w:val="auto"/>
        </w:rPr>
      </w:pPr>
    </w:p>
    <w:p>
      <w:pPr>
        <w:ind w:right="40" w:firstLine="8"/>
        <w:spacing w:after="0" w:line="270" w:lineRule="auto"/>
        <w:tabs>
          <w:tab w:leader="none" w:pos="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are evaluating the two conditioning regimens to determine which regimen results in better engraftment of Temferon to the bone marrow with fewer side effects. Upon completion of Part A of our study, we will enroll an additional six patients into Part B of the study to evaluate the safety and tolerability of the single dose of Temferon identified from Part A. The conditioning regimen we use in Part B will also be decided based on the results of Part A. Once we begin Part B of the TEM-GBM 001 study, we will add another stand-alone site, the Policlinico Gemelli in Rome (Italy), to become a multicenter-study. The figure below represents the TEM-GBM 001 study scheme with interim and anticipated milestones. The study EudraCT Number is 2018-001404-11 and can be found at clinicaltrialsregister.eu/ctr-search/trial/2018-001404-11/IT.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466090</wp:posOffset>
            </wp:positionV>
            <wp:extent cx="5340350" cy="19888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3403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TEM-GBM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 We designed our study anticipating that patients receiving lower doses of Temferon could progress to the point of needing a second surgery. A second surgery provides the only source of GBM specimens post treatment to evaluate the biological activity of Temferon, and to evaluate its mechanism of action in patients. We enrolled our first patient in April 2019 and as of January 26, 2021, we have dosed ten patients, nine of them belonging to the first three dose escalating cohorts and the last belonging to cohort 4. Two additional patients are also enrolled and assigned to cohorts 4 and 5. We expect to complete dosing of patients assigned to cohorts 4 and 5 by the end of the second quarter of 2021 and progress to Part B of our study in the third quarter of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the current TEM-GBM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2228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ind w:right="100" w:firstLine="648"/>
        <w:spacing w:after="0" w:line="255" w:lineRule="auto"/>
        <w:rPr>
          <w:sz w:val="20"/>
          <w:szCs w:val="20"/>
          <w:color w:val="auto"/>
        </w:rPr>
      </w:pPr>
      <w:r>
        <w:rPr>
          <w:rFonts w:ascii="Arial" w:cs="Arial" w:eastAsia="Arial" w:hAnsi="Arial"/>
          <w:sz w:val="18"/>
          <w:szCs w:val="18"/>
          <w:color w:val="auto"/>
        </w:rPr>
        <w:t>Our preliminary interim results show that Temferon has been generally well tolerated by patients, with no dose limiting toxicities identified to date. All patients showed rapid engraftment and hematological recovery after administering the sub-myeloablative conditioning regimen (BCNU + Thiotepa). Temferon-derived differentiated cells, as determined by the presence of vector genomes in the DNA of peripheral blood and bone marrow cells, were evident within 14 days post treatment and persisted, albeit at lower levels, in the long-term (18 months, the last measured timepoint to date). We also detected very low concentrations of IFN-α in the plasma and cerebrospinal fluid, suggesting the effectiveness of the transgene expression control mechanism.</w:t>
      </w:r>
    </w:p>
    <w:p>
      <w:pPr>
        <w:spacing w:after="0" w:line="219"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No serious adverse events (SAEs) associated with the product have been reported. Rather, SAEs to-date (primarily infections, venous thromboembolism, brain abscess, hemiparesis, GGT elevation &amp; poor performance status) were attributed to (i) disease progression, (ii) concomitant medications and (iii) the conditioning regimen. Three deaths occurred: two at +343 and +402 days after Temferon administration due to disease progression, and the third at +60 days due to complications following the conditioning regimen.</w:t>
      </w:r>
    </w:p>
    <w:p>
      <w:pPr>
        <w:spacing w:after="0" w:line="19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disease status as assessed by immunotherapy response assessment for neuro-oncology (IRANO) criteria as of January 26, 2021, the last evaluable time point for all 10 treated patients, was as follows: two patients had shown stable disease (SD), one patient had demonstrated partial response, and seven patients had shown progressive disease (PD). We believe those patients with PD progressed primarily because they were from lower dose cohorts, all of which evidenced PD, as all patients in the first two cohorts progressed. The PD occurred after a median of + 124 days (range 27–191 days) following administration of Temferon. Preliminary analyses performed on the tumor specimens belonging to patients with PD who underwent a second surgery (4 patients) confirmed the presence of TEMs within the tumor and an increased expression of IFN-responsive gene signatures compared to diagnosis. We believe that this finding suggests intra-tumor IFN-α release.</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the stable lesion had a higher proportion of T cells and TEMs within the myeloid infiltrate and a markedly increased IFN-response signature as compared to the relapse-progressing lesion.</w:t>
      </w:r>
    </w:p>
    <w:p>
      <w:pPr>
        <w:spacing w:after="0" w:line="21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also analyzed the peripheral blood of the patients from cohorts 1 and 2. In these patients, the peripheral blood showed a change in the T cell immune repertoire post treatment, revealing expansion of tumor-associated clones, which suggested that changes in the immune system are occurring.</w:t>
      </w:r>
    </w:p>
    <w:p>
      <w:pPr>
        <w:spacing w:after="0" w:line="15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of the cellular and molecular changes triggered by Temferon in GBM patients despite the low dose administered. We have yet to reach the maximum tolerated dose of Temferon and as outlined in our study protocol, we will be increasing the dose in cohorts 4 and 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TEM-GBM Clinical Development Plan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plan to use the results of our TEM-GBM Phase 1/2a study (NCT03866109) to support our submission of an IND to the FDA. In advance of our submission, we intend to have a Pre-IND meeting with the FDA by the end of the second quarter of 2021 to discuss our clinical trial design and endpoints, proposed commercial manufacturing process, including analytical methods and corresponding qualification, and validation plans for Temferon. We anticipate submitting an IND for a Temferon Phase 1/2b study for GBM patients by the fourth quarter of 2021. The Phase 1/2b study will evaluate the safety, tolerability, biological reprogramming of the tumor microenvironment in Temferon treated patients compared to the current standard of care, with primary endpoints, of PFS and mOS. Additionally, we intend to identify and select a CMO to manufacture and to supply Temferon in the U.S. for our larger trials to be conducted after the completion of our Phase 1/2b study.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Enrollment and treatment of up to 30 patients with newly diagnosed GBM and unmethylated MGMT promoter;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3" w:name="page114"/>
    <w:bookmarkEnd w:id="113"/>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Co-primary study endpoints to include PFS and mOS.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will be discussed with FDA at the Pre-IND meeting and may be subjected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5" w:name="page116"/>
    <w:bookmarkEnd w:id="115"/>
    <w:p>
      <w:pPr>
        <w:ind w:left="660" w:right="6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TEM-HC Study Design</w:t>
      </w:r>
    </w:p>
    <w:p>
      <w:pPr>
        <w:spacing w:after="0" w:line="25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currently developing the TEM-HC study design. As with the TEM-GBM 001 study, we plan to propose to the Italian regulatory bodies a non-randomized, open label, single center, Phase 1/2a, therapeutic-exploratory, prospective study, involving a single injection of Temferon administration</w:t>
      </w:r>
    </w:p>
    <w:p>
      <w:pPr>
        <w:sectPr>
          <w:pgSz w:w="11900" w:h="16838" w:orient="portrait"/>
          <w:cols w:equalWidth="0" w:num="1">
            <w:col w:w="11240"/>
          </w:cols>
          <w:pgMar w:left="320" w:top="719" w:right="339" w:bottom="0" w:gutter="0" w:footer="0" w:header="0"/>
        </w:sectPr>
      </w:pPr>
    </w:p>
    <w:bookmarkStart w:id="116" w:name="page117"/>
    <w:bookmarkEnd w:id="116"/>
    <w:p>
      <w:pPr>
        <w:ind w:right="100"/>
        <w:spacing w:after="0" w:line="277" w:lineRule="auto"/>
        <w:rPr>
          <w:sz w:val="20"/>
          <w:szCs w:val="20"/>
          <w:color w:val="auto"/>
        </w:rPr>
      </w:pPr>
      <w:r>
        <w:rPr>
          <w:rFonts w:ascii="Arial" w:cs="Arial" w:eastAsia="Arial" w:hAnsi="Arial"/>
          <w:sz w:val="18"/>
          <w:szCs w:val="18"/>
          <w:color w:val="auto"/>
        </w:rPr>
        <w:t>in up to 9 patients affected by either HCC or ICC. The study will recruit and track patients at OSR. We intend to initiate this Phase 1/2a study within the first quarter of 2022, subject to feedback from regulatory authorities.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-19050</wp:posOffset>
            </wp:positionV>
            <wp:extent cx="5743575" cy="3231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children, was developed and is still currently manufactured by MolMed. Accordingly, Orchard Theraputics (NasdaqGS: ORTX) in July 2020 renewed their collaboration agreement with MolMed which will continue to support activities related to the development and manufacturing of vectors and drug products for several of Orchard’s investigational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hematopoietic stem cell (HSC) gene therapies in the upcoming years, including the recent EU market authorized gene therapy drug </w:t>
      </w:r>
      <w:r>
        <w:rPr>
          <w:rFonts w:ascii="Arial" w:cs="Arial" w:eastAsia="Arial" w:hAnsi="Arial"/>
          <w:sz w:val="17"/>
          <w:szCs w:val="17"/>
          <w:i w:val="1"/>
          <w:iCs w:val="1"/>
          <w:color w:val="auto"/>
        </w:rPr>
        <w:t>Libmeldy.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466090</wp:posOffset>
            </wp:positionV>
            <wp:extent cx="3917315" cy="21088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39173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agreement with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For our planned US clinical program, AGC Biologics will manufacture LVV and a US-based CMO whom we will engage with will manufacture Temferon. The LVV is a cryopreserved raw material stable in vapor liquid nitrogen up to 48 months under current approvals, and will be shipped to the US-based CMO for drug product manufacturing.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Temferon is protected by the following patents families that contain both issued and/or pending patent applications. While the following patent families are jointly owned by OSR and Fondazione Telethon (Telethon), it is our understanding that Telethon granted OSR a worldwide exclusive license, with the right to sublicense, its rights in the patent families. As described below, we have a worldwide exclusive license, from OSR, to the following patent families (including the U.S. and European family members indicated) in the fields of: GBM, solid liver cancer (LC) and any lympho-hematopoietic indication: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 /</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 /</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 EP</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20167404.1</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 /</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 /</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 /</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Later expiration for certain U.S. patents pursuant to patent term adjustment (35 U.S.C. §154(b)).</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discussed below, we have additional exclusive options to license the aforementioned patents (in particular, the PCT/IB2014/065594 and PCT/IB2015/055286 patent families are subject to an option right which we have not exercised yet), and improvements, for other indications (fields of use) and other product candidates.</w:t>
      </w:r>
    </w:p>
    <w:p>
      <w:pPr>
        <w:spacing w:after="0" w:line="21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0" w:name="page121"/>
    <w:bookmarkEnd w:id="120"/>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As stated, we have an exclusive option to (1) certain additional patents and patent applications, and OSR improvements at no additional cost, which could be useful for the development and/or commercialization of licensed products in the field of use; and (2)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 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20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2021 to exercise this option, upon the payment of specified option fees.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1" w:name="page122"/>
    <w:bookmarkEnd w:id="121"/>
    <w:p>
      <w:pPr>
        <w:jc w:val="both"/>
        <w:ind w:right="100" w:firstLine="648"/>
        <w:spacing w:after="0" w:line="286"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2021, we entered into a Sponsored Research Agreement (“SRA”) with OSR to conduct certain research projects related to Temferon.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total consideration to be paid by the Company under the SRA will be €1.0 million with payments scheduled quarterly over 2021 and 2022.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2" w:name="page123"/>
    <w:bookmarkEnd w:id="122"/>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4" w:name="page125"/>
    <w:bookmarkEnd w:id="124"/>
    <w:p>
      <w:pPr>
        <w:ind w:left="660" w:hanging="328"/>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5" w:name="page126"/>
    <w:bookmarkEnd w:id="125"/>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6" w:name="page127"/>
    <w:bookmarkEnd w:id="126"/>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7" w:name="page128"/>
    <w:bookmarkEnd w:id="127"/>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0" w:name="page131"/>
    <w:bookmarkEnd w:id="130"/>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2" w:name="page133"/>
    <w:bookmarkEnd w:id="132"/>
    <w:p>
      <w:pPr>
        <w:ind w:left="660" w:right="38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3" w:name="page134"/>
    <w:bookmarkEnd w:id="133"/>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4" w:name="page135"/>
    <w:bookmarkEnd w:id="134"/>
    <w:p>
      <w:pPr>
        <w:ind w:firstLine="648"/>
        <w:spacing w:after="0" w:line="287"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current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GBM patients and plan to start new ones on hepatic tumor (HCC and IHC) in the near future by means of appropriate application to the Italian Regulatory Authority (“AIFA”). AIFA also approved another trial regarding the study of Temferon in the treatment of multiple myeloma patients, but the study is being discontinued.</w:t>
      </w:r>
    </w:p>
    <w:p>
      <w:pPr>
        <w:spacing w:after="0" w:line="19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6" w:name="page137"/>
    <w:bookmarkEnd w:id="136"/>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February 25,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 renewed for additional 6 years. We also have a representative office in a co-working space located in New York, NY. We believe that our existing facilities are adequate for our near-term needs, and we believe that suitable additional or alternative office will be available as required in the future on commercially reasonable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EP1071804, EP 1224314, and EP 1222300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ind w:left="620"/>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280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spacing w:after="0"/>
              <w:rPr>
                <w:sz w:val="20"/>
                <w:szCs w:val="20"/>
                <w:color w:val="auto"/>
              </w:rPr>
            </w:pPr>
            <w:r>
              <w:rPr>
                <w:rFonts w:ascii="Arial" w:cs="Arial" w:eastAsia="Arial" w:hAnsi="Arial"/>
                <w:sz w:val="18"/>
                <w:szCs w:val="18"/>
                <w:color w:val="auto"/>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20"/>
                <w:szCs w:val="20"/>
                <w:color w:val="auto"/>
              </w:rPr>
            </w:pPr>
            <w:r>
              <w:rPr>
                <w:rFonts w:ascii="Arial" w:cs="Arial" w:eastAsia="Arial" w:hAnsi="Arial"/>
                <w:sz w:val="18"/>
                <w:szCs w:val="18"/>
                <w:color w:val="auto"/>
              </w:rPr>
              <w:t>2018</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spacing w:after="0"/>
              <w:rPr>
                <w:sz w:val="20"/>
                <w:szCs w:val="20"/>
                <w:color w:val="auto"/>
              </w:rPr>
            </w:pPr>
            <w:r>
              <w:rPr>
                <w:rFonts w:ascii="Arial" w:cs="Arial" w:eastAsia="Arial" w:hAnsi="Arial"/>
                <w:sz w:val="18"/>
                <w:szCs w:val="18"/>
                <w:color w:val="auto"/>
              </w:rPr>
              <w:t>2016</w:t>
            </w:r>
          </w:p>
        </w:tc>
      </w:tr>
    </w:tbl>
    <w:p>
      <w:pPr>
        <w:spacing w:after="0" w:line="229" w:lineRule="exact"/>
        <w:rPr>
          <w:sz w:val="20"/>
          <w:szCs w:val="20"/>
          <w:color w:val="auto"/>
        </w:rPr>
      </w:pPr>
    </w:p>
    <w:p>
      <w:pPr>
        <w:ind w:left="140" w:hanging="132"/>
        <w:spacing w:after="0"/>
        <w:tabs>
          <w:tab w:leader="none" w:pos="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Effective upon consummation of the Corporate Conversion.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directors above were elected at the Company’s general shareholders’ meeting held on , 2021, for a three-year term. The board of directors consists of members.</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Following the expiration of the above board of directors, future members will be appointed by means of a list voting system: lists may be</w:t>
      </w:r>
    </w:p>
    <w:p>
      <w:pPr>
        <w:spacing w:after="0" w:line="23"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presented by the shareholders representing, individually or collectively, at least % of share capital represented by ordinary shares. The board of directors will be appointed as follows: directors will be drawn from the list that has obtained the highest number of votes on the shareholders meeting (the Majority List), based on the progressive order in which they are listed, while directors will be drawn from the second list, in terms of</w:t>
      </w:r>
    </w:p>
    <w:p>
      <w:pPr>
        <w:ind w:right="80"/>
        <w:spacing w:after="0" w:line="260" w:lineRule="auto"/>
        <w:rPr>
          <w:sz w:val="20"/>
          <w:szCs w:val="20"/>
          <w:color w:val="auto"/>
        </w:rPr>
      </w:pPr>
      <w:r>
        <w:rPr>
          <w:rFonts w:ascii="Arial" w:cs="Arial" w:eastAsia="Arial" w:hAnsi="Arial"/>
          <w:sz w:val="18"/>
          <w:szCs w:val="18"/>
          <w:color w:val="auto"/>
        </w:rPr>
        <w:t>the number of votes received, that have no connection, whether direct or indirect, with the shareholders who have submitted or voted the Majority List (the Minority Lists).</w:t>
      </w:r>
    </w:p>
    <w:p>
      <w:pPr>
        <w:spacing w:after="0" w:line="21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1" w:name="page142"/>
    <w:bookmarkEnd w:id="141"/>
    <w:p>
      <w:pPr>
        <w:ind w:right="4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directors, by resolution passed by simple majority, upon proposal of those attending and entitled to vote, making sure that the requirements set out in the laws pro tempore in force and in the bylaws on the composition of the board of directors and, especially, on gender balance, are complied with.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and Director, Current Chairman of the Board</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 Dr. Squinto has agreed to assume the role of Chairman of the Board upon the consummation of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Advisor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Zambanini, Translational Medicine Advisor</w:t>
      </w:r>
    </w:p>
    <w:p>
      <w:pPr>
        <w:spacing w:after="0" w:line="25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Mr. Zambanini, through his company, Zambanini Consulting provides clinical and scientific support to the development of clinical trials in oncology indications for Temferon. Mr. Zambanini previously held various leadership positions with increasing responsibility at GSK from 2003 through 2009, including head of the European Cardiovascular Clinic Group and Vice President and Medicine Development Leader for late-stage diabetes agents. He graduated with a Bachelor of Medicine in 1991 from St George’s Medical School in London and completed a specialty in clinical pharmacology and therapy from Imperial College London’s Chelsea and Westminster Hospital. He is an accredited UK specialist in pharmaceutical medicine. In 1998 he received a one-year research fellowship in cardiology in Auckland, New Zealand and continued his research interests in vascular imaging and hemodynamics upon his return to the UK at St Mary’s Hospital, London.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Pension,</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Salary, Bonuses</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Retirement</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 Other</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Similar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4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Benefits</w:t>
            </w: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88"/>
        </w:trPr>
        <w:tc>
          <w:tcPr>
            <w:tcW w:w="4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All directors and senior management as a group, consisting of</w:t>
            </w:r>
          </w:p>
        </w:tc>
        <w:tc>
          <w:tcPr>
            <w:tcW w:w="7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persons</w:t>
            </w:r>
          </w:p>
        </w:tc>
        <w:tc>
          <w:tcPr>
            <w:tcW w:w="27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4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1508"/>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Proxy Solicitations</w:t>
      </w:r>
      <w:r>
        <w:rPr>
          <w:rFonts w:ascii="Arial" w:cs="Arial" w:eastAsia="Arial" w:hAnsi="Arial"/>
          <w:sz w:val="18"/>
          <w:szCs w:val="18"/>
          <w:color w:val="auto"/>
        </w:rPr>
        <w:t>. Under Italian law shareholders may appoint attorneys-in-fact by delivering in writing appropriate power of attorney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46" w:lineRule="exact"/>
        <w:rPr>
          <w:rFonts w:ascii="Arial" w:cs="Arial" w:eastAsia="Arial" w:hAnsi="Arial"/>
          <w:sz w:val="18"/>
          <w:szCs w:val="18"/>
          <w:color w:val="auto"/>
        </w:rPr>
      </w:pPr>
    </w:p>
    <w:p>
      <w:pPr>
        <w:ind w:left="660" w:right="160" w:hanging="328"/>
        <w:spacing w:after="0" w:line="255"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Share Issuances</w:t>
      </w:r>
      <w:r>
        <w:rPr>
          <w:rFonts w:ascii="Arial" w:cs="Arial" w:eastAsia="Arial" w:hAnsi="Arial"/>
          <w:sz w:val="18"/>
          <w:szCs w:val="18"/>
          <w:color w:val="auto"/>
        </w:rPr>
        <w:t>. Pursuant to Italian law, prior to this offering, we will opt out of shareholder approval requirements by way of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and conditional share capital (see “Description of Share Capital and Governing Documents—General —Authorization of shares”) for the issuance of securities in connection with certain events such as the acquisition of stock or assets of another company, the establishment of or amendments to equity-based compensation plans for employees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51"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(and following the Corporate Conversion, will continue to have)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5" w:name="page146"/>
    <w:bookmarkEnd w:id="145"/>
    <w:p>
      <w:pPr>
        <w:ind w:left="1300" w:hanging="320"/>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84"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2" w:lineRule="exact"/>
        <w:rPr>
          <w:rFonts w:ascii="Arial" w:cs="Arial" w:eastAsia="Arial" w:hAnsi="Arial"/>
          <w:sz w:val="16"/>
          <w:szCs w:val="16"/>
          <w:color w:val="auto"/>
        </w:rPr>
      </w:pPr>
    </w:p>
    <w:p>
      <w:pPr>
        <w:ind w:left="660" w:right="80" w:hanging="328"/>
        <w:spacing w:after="0" w:line="25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ectPr>
          <w:pgSz w:w="11900" w:h="16838" w:orient="portrait"/>
          <w:cols w:equalWidth="0" w:num="1">
            <w:col w:w="11240"/>
          </w:cols>
          <w:pgMar w:left="320" w:top="715" w:right="339" w:bottom="1440" w:gutter="0" w:footer="0" w:header="0"/>
        </w:sectPr>
      </w:pP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compensation in the aggregate for their services to the</w:t>
      </w:r>
    </w:p>
    <w:p>
      <w:pPr>
        <w:spacing w:after="0" w:line="490" w:lineRule="exact"/>
        <w:rPr>
          <w:sz w:val="20"/>
          <w:szCs w:val="20"/>
          <w:color w:val="auto"/>
        </w:rPr>
      </w:pPr>
    </w:p>
    <w:p>
      <w:pPr>
        <w:sectPr>
          <w:pgSz w:w="11900" w:h="16838" w:orient="portrait"/>
          <w:cols w:equalWidth="0" w:num="2">
            <w:col w:w="5920" w:space="540"/>
            <w:col w:w="4780"/>
          </w:cols>
          <w:pgMar w:left="320" w:top="715" w:right="339" w:bottom="1440" w:gutter="0" w:footer="0" w:header="0"/>
          <w:type w:val="continuous"/>
        </w:sectPr>
      </w:pPr>
    </w:p>
    <w:p>
      <w:pPr>
        <w:ind w:left="660"/>
        <w:spacing w:after="0"/>
        <w:tabs>
          <w:tab w:leader="none" w:pos="5880" w:val="left"/>
        </w:tabs>
        <w:rPr>
          <w:sz w:val="20"/>
          <w:szCs w:val="20"/>
          <w:color w:val="auto"/>
        </w:rPr>
      </w:pPr>
      <w:r>
        <w:rPr>
          <w:rFonts w:ascii="Arial" w:cs="Arial" w:eastAsia="Arial" w:hAnsi="Arial"/>
          <w:sz w:val="18"/>
          <w:szCs w:val="18"/>
          <w:color w:val="auto"/>
        </w:rPr>
        <w:t>At the Company’s annual general shareholders’ meeting held on</w:t>
      </w:r>
      <w:r>
        <w:rPr>
          <w:sz w:val="20"/>
          <w:szCs w:val="20"/>
          <w:color w:val="auto"/>
        </w:rPr>
        <w:tab/>
      </w:r>
      <w:r>
        <w:rPr>
          <w:rFonts w:ascii="Arial" w:cs="Arial" w:eastAsia="Arial" w:hAnsi="Arial"/>
          <w:sz w:val="16"/>
          <w:szCs w:val="16"/>
          <w:color w:val="auto"/>
        </w:rPr>
        <w:t>, 2021, the following individuals were elected to the Company’s board of</w:t>
      </w:r>
    </w:p>
    <w:p>
      <w:pPr>
        <w:sectPr>
          <w:pgSz w:w="11900" w:h="16838" w:orient="portrait"/>
          <w:cols w:equalWidth="0" w:num="1">
            <w:col w:w="11240"/>
          </w:cols>
          <w:pgMar w:left="320" w:top="715" w:right="339" w:bottom="1440" w:gutter="0" w:footer="0" w:header="0"/>
          <w:type w:val="continuous"/>
        </w:sectPr>
      </w:pPr>
    </w:p>
    <w:p>
      <w:pPr>
        <w:spacing w:after="0" w:line="23" w:lineRule="exact"/>
        <w:rPr>
          <w:sz w:val="20"/>
          <w:szCs w:val="20"/>
          <w:color w:val="auto"/>
        </w:rPr>
      </w:pPr>
    </w:p>
    <w:p>
      <w:pPr>
        <w:jc w:val="both"/>
        <w:ind w:right="440"/>
        <w:spacing w:after="0" w:line="323" w:lineRule="auto"/>
        <w:rPr>
          <w:sz w:val="20"/>
          <w:szCs w:val="20"/>
          <w:color w:val="auto"/>
        </w:rPr>
      </w:pPr>
      <w:r>
        <w:rPr>
          <w:rFonts w:ascii="Arial" w:cs="Arial" w:eastAsia="Arial" w:hAnsi="Arial"/>
          <w:sz w:val="16"/>
          <w:szCs w:val="16"/>
          <w:color w:val="auto"/>
        </w:rPr>
        <w:t>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ind w:left="620"/>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Roberto Lorusso Caputi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spacing w:after="0"/>
              <w:rPr>
                <w:sz w:val="18"/>
                <w:szCs w:val="18"/>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Edda Specchio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spacing w:after="0"/>
              <w:rPr>
                <w:sz w:val="20"/>
                <w:szCs w:val="20"/>
                <w:color w:val="auto"/>
              </w:rPr>
            </w:pPr>
          </w:p>
        </w:tc>
      </w:tr>
    </w:tbl>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list voting system: lists may be presented by the shareholders representing at least 5% of share capital represented by ordinary shares. The list of candidates shall be split into two sections, one for the candidates for the position of statutory auditor and one for the candidates for the position of alternate auditor. According to the Company’s bylaws, the board of statutory auditors will be appointed as follows: two statutory auditors and one alternate auditor will be drawn from the list that has obtained the highest number of votes on the shareholders meeting (the Majority List), based on the progressive order in which they are listed, while one statutory auditor and one alternate auditor will be drawn from the second list, in terms of the number of votes received, that have no connection, whether direct or indirect, with the shareholders who have submitted or voted the Majority List (the Minority Lists). The statutory auditor drawn by the Minority Lists will be the chairman of the board of statutory auditors.</w:t>
      </w:r>
    </w:p>
    <w:p>
      <w:pPr>
        <w:spacing w:after="0" w:line="20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statutory auditors, by resolution passed by simple majority, upon proposal of those attending and entitled to vote, making sure that the requirements set out in the laws pro tempore in force and in the bylaws on the composition of the board of statutory auditors and, especially, on gender balance, are complied with.</w:t>
      </w:r>
    </w:p>
    <w:p>
      <w:pPr>
        <w:spacing w:after="0" w:line="21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Although Italian law does not require that we adopt a Compensation, Nomination and Governance Committee, in connection with the Corporate Conversion, we plan to establish a Compensation, Nomination and Governance Committee according to Nasdaq Listing Rule 5615(a)(3). The members of</w:t>
      </w:r>
    </w:p>
    <w:p>
      <w:pPr>
        <w:jc w:val="both"/>
        <w:ind w:right="40"/>
        <w:spacing w:after="0" w:line="277" w:lineRule="auto"/>
        <w:rPr>
          <w:sz w:val="20"/>
          <w:szCs w:val="20"/>
          <w:color w:val="auto"/>
        </w:rPr>
      </w:pPr>
      <w:r>
        <w:rPr>
          <w:rFonts w:ascii="Arial" w:cs="Arial" w:eastAsia="Arial" w:hAnsi="Arial"/>
          <w:sz w:val="17"/>
          <w:szCs w:val="17"/>
          <w:color w:val="auto"/>
        </w:rPr>
        <w:t>our compensation, nomination and governance committee are expected to include , and .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left="600" w:right="400" w:firstLine="63"/>
        <w:spacing w:after="0" w:line="274" w:lineRule="auto"/>
        <w:rPr>
          <w:sz w:val="20"/>
          <w:szCs w:val="20"/>
          <w:color w:val="auto"/>
        </w:rPr>
      </w:pPr>
      <w:r>
        <w:rPr>
          <w:rFonts w:ascii="Arial" w:cs="Arial" w:eastAsia="Arial" w:hAnsi="Arial"/>
          <w:sz w:val="17"/>
          <w:szCs w:val="17"/>
          <w:color w:val="auto"/>
        </w:rPr>
        <w:t>On 2021, our shareholders meeting approved a capital increase to allow for issuance of up to ordinary shares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of the share capital of the Company upon this offering on a fully diluted basis) to the service of a four-years employees’ share option plan (the</w:t>
      </w:r>
    </w:p>
    <w:p>
      <w:pPr>
        <w:ind w:right="220"/>
        <w:spacing w:after="0" w:line="260" w:lineRule="auto"/>
        <w:rPr>
          <w:sz w:val="20"/>
          <w:szCs w:val="20"/>
          <w:color w:val="auto"/>
        </w:rPr>
      </w:pPr>
      <w:r>
        <w:rPr>
          <w:rFonts w:ascii="Arial" w:cs="Arial" w:eastAsia="Arial" w:hAnsi="Arial"/>
          <w:sz w:val="18"/>
          <w:szCs w:val="18"/>
          <w:color w:val="auto"/>
        </w:rPr>
        <w:t>“2021-2025 Plan”) to be adopted by the board of directors. The purpose of the 2021-2025 Plan is to motivate and reward performance of our employees, directors, consultants, strategic partners and advisors and in the best interests of the Company and our shareholders.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2021 our board of directors approved the specific terms (e.g., regulation) of our 2021 – 2025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2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2021 – 2025 Plan is administered by our board of directors jointly with Compensation, Nomination and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board of directors has the authority to take all actions and make all determinations under the 2021 – 2025 Plan, to interpret the 2021 – 2025 Plan and award agreements and to adopt, amend and repeal rules for the administration of the 2021 – 2025 Plan as it deems advisable, subject to certain limitations imposed under the 2021 – 2025 Plan, and other applicable laws and stock exchange rules.</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Plan to:</w:t>
      </w:r>
    </w:p>
    <w:p>
      <w:pPr>
        <w:spacing w:after="0" w:line="197"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consultants or other advisors to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strategic partners (the “Eligible Participants”).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Grant of Awards; Shares Available for Awards. </w:t>
      </w:r>
      <w:r>
        <w:rPr>
          <w:rFonts w:ascii="Arial" w:cs="Arial" w:eastAsia="Arial" w:hAnsi="Arial"/>
          <w:sz w:val="17"/>
          <w:szCs w:val="17"/>
          <w:color w:val="auto"/>
        </w:rPr>
        <w:t>The 2021 – 2025 Plan provides for the grant of options to purchase up to a maximum of</w:t>
      </w:r>
    </w:p>
    <w:p>
      <w:pPr>
        <w:spacing w:after="0" w:line="35" w:lineRule="exact"/>
        <w:rPr>
          <w:sz w:val="20"/>
          <w:szCs w:val="20"/>
          <w:color w:val="auto"/>
        </w:rPr>
      </w:pPr>
    </w:p>
    <w:p>
      <w:pPr>
        <w:ind w:right="20" w:firstLine="1170"/>
        <w:spacing w:after="0" w:line="302" w:lineRule="auto"/>
        <w:rPr>
          <w:sz w:val="20"/>
          <w:szCs w:val="20"/>
          <w:color w:val="auto"/>
        </w:rPr>
      </w:pPr>
      <w:r>
        <w:rPr>
          <w:rFonts w:ascii="Arial" w:cs="Arial" w:eastAsia="Arial" w:hAnsi="Arial"/>
          <w:sz w:val="16"/>
          <w:szCs w:val="16"/>
          <w:color w:val="auto"/>
        </w:rPr>
        <w:t>ordinary shares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of the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8" w:name="page149"/>
    <w:bookmarkEnd w:id="148"/>
    <w:p>
      <w:pPr>
        <w:ind w:right="52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Terms of exercise – Stock Options</w:t>
      </w:r>
      <w:r>
        <w:rPr>
          <w:rFonts w:ascii="Arial" w:cs="Arial" w:eastAsia="Arial" w:hAnsi="Arial"/>
          <w:sz w:val="16"/>
          <w:szCs w:val="16"/>
          <w:color w:val="auto"/>
        </w:rPr>
        <w:t>. Options may be granted on such terms and conditions as the board of directors may determine; provided,</w:t>
      </w:r>
    </w:p>
    <w:p>
      <w:pPr>
        <w:spacing w:after="0" w:line="46" w:lineRule="exact"/>
        <w:rPr>
          <w:sz w:val="20"/>
          <w:szCs w:val="20"/>
          <w:color w:val="auto"/>
        </w:rPr>
      </w:pPr>
    </w:p>
    <w:p>
      <w:pPr>
        <w:spacing w:after="0"/>
        <w:tabs>
          <w:tab w:leader="none" w:pos="5320" w:val="left"/>
          <w:tab w:leader="none" w:pos="9000" w:val="left"/>
        </w:tabs>
        <w:rPr>
          <w:sz w:val="20"/>
          <w:szCs w:val="20"/>
          <w:color w:val="auto"/>
        </w:rPr>
      </w:pPr>
      <w:r>
        <w:rPr>
          <w:rFonts w:ascii="Arial" w:cs="Arial" w:eastAsia="Arial" w:hAnsi="Arial"/>
          <w:sz w:val="18"/>
          <w:szCs w:val="18"/>
          <w:color w:val="auto"/>
        </w:rPr>
        <w:t>however, that the exercise price of an option may not be less than</w:t>
      </w:r>
      <w:r>
        <w:rPr>
          <w:sz w:val="20"/>
          <w:szCs w:val="20"/>
          <w:color w:val="auto"/>
        </w:rPr>
        <w:tab/>
      </w:r>
      <w:r>
        <w:rPr>
          <w:rFonts w:ascii="Arial" w:cs="Arial" w:eastAsia="Arial" w:hAnsi="Arial"/>
          <w:sz w:val="18"/>
          <w:szCs w:val="18"/>
          <w:color w:val="auto"/>
        </w:rPr>
        <w:t>and the term of the option my not exceed</w:t>
      </w:r>
      <w:r>
        <w:rPr>
          <w:sz w:val="20"/>
          <w:szCs w:val="20"/>
          <w:color w:val="auto"/>
        </w:rPr>
        <w:tab/>
      </w:r>
      <w:r>
        <w:rPr>
          <w:rFonts w:ascii="Arial" w:cs="Arial" w:eastAsia="Arial" w:hAnsi="Arial"/>
          <w:sz w:val="15"/>
          <w:szCs w:val="15"/>
          <w:color w:val="auto"/>
        </w:rPr>
        <w:t>years.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Vesting</w:t>
      </w:r>
      <w:r>
        <w:rPr>
          <w:rFonts w:ascii="Arial" w:cs="Arial" w:eastAsia="Arial" w:hAnsi="Arial"/>
          <w:sz w:val="17"/>
          <w:szCs w:val="17"/>
          <w:color w:val="auto"/>
        </w:rPr>
        <w:t>. The vesting conditions for stock options granted under the 2021 – 2025 Plan are set forth in the applicable award documentation.</w:t>
      </w:r>
    </w:p>
    <w:p>
      <w:pPr>
        <w:spacing w:after="0" w:line="26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an Eligible Participant’s termination of employment, the board of directors may, at</w:t>
      </w:r>
      <w:r>
        <w:rPr>
          <w:rFonts w:ascii="Arial" w:cs="Arial" w:eastAsia="Arial" w:hAnsi="Arial"/>
          <w:sz w:val="16"/>
          <w:szCs w:val="16"/>
          <w:i w:val="1"/>
          <w:iCs w:val="1"/>
          <w:color w:val="auto"/>
        </w:rPr>
        <w:t xml:space="preserve"> </w:t>
      </w:r>
      <w:r>
        <w:rPr>
          <w:rFonts w:ascii="Arial" w:cs="Arial" w:eastAsia="Arial" w:hAnsi="Arial"/>
          <w:sz w:val="16"/>
          <w:szCs w:val="16"/>
          <w:color w:val="auto"/>
        </w:rPr>
        <w:t>its discretion, determine the extent to which options may be exercised, settled, vested, paid or forfeited. In the event of our termination of a participant’s</w:t>
      </w:r>
    </w:p>
    <w:p>
      <w:pPr>
        <w:ind w:right="120"/>
        <w:spacing w:after="0" w:line="252" w:lineRule="auto"/>
        <w:rPr>
          <w:sz w:val="20"/>
          <w:szCs w:val="20"/>
          <w:color w:val="auto"/>
        </w:rPr>
      </w:pPr>
      <w:r>
        <w:rPr>
          <w:rFonts w:ascii="Arial" w:cs="Arial" w:eastAsia="Arial" w:hAnsi="Arial"/>
          <w:sz w:val="18"/>
          <w:szCs w:val="18"/>
          <w:color w:val="auto"/>
        </w:rPr>
        <w:t>employment without cause or a participant’s resignation for just cause (as defined in the 2021 – 2025 Plan) upon or within months following a change in control of the company (as defined in the 2021 – 2025 Plan), any awards outstanding to the participant (unless otherwise provided in the award agreement) will immediately vest and settle, and options will become fully exercisable. In the event of a change in control that involves a merger, acquisition or other corporate transaction, any outstanding award not assumed, substituted, replaced or continued in connection with the transaction will immediately vest and settle, and options will become fully exercisable and upon the effectiveness of such corporate transaction, the 2021 – 2025 Plan and all awards will automatically terminate.</w:t>
      </w:r>
    </w:p>
    <w:p>
      <w:pPr>
        <w:spacing w:after="0" w:line="22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adopt, amend and rescind rules relating to the administration of the 2021 – 2025 Plan,</w:t>
      </w:r>
      <w:r>
        <w:rPr>
          <w:rFonts w:ascii="Arial" w:cs="Arial" w:eastAsia="Arial" w:hAnsi="Arial"/>
          <w:sz w:val="16"/>
          <w:szCs w:val="16"/>
          <w:i w:val="1"/>
          <w:iCs w:val="1"/>
          <w:color w:val="auto"/>
        </w:rPr>
        <w:t xml:space="preserve"> </w:t>
      </w:r>
      <w:r>
        <w:rPr>
          <w:rFonts w:ascii="Arial" w:cs="Arial" w:eastAsia="Arial" w:hAnsi="Arial"/>
          <w:sz w:val="16"/>
          <w:szCs w:val="16"/>
          <w:color w:val="auto"/>
        </w:rPr>
        <w:t>and amend, suspend or terminate the 2021 – 2025 Plan, but no amendment will be made that adversely affects in a material manner any rights of the holder of any award without the holder’s consent, other than amendments that are necessary to permit the granting of awards in compliance with applicable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Except for the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following , all provisions of the 2021 – 2025 Plan are incorporated into the 2021 – 2025 Chairman Sub-Plan and provides for identical terms and conditions under our 2021 – 2025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summarizes, as of the date of this prospectus, existing outstanding options subject to accelerated vesting upon the occurrence of a liquidity event. Upon the consummation of this offering, several of our executive officers and board members will fully vest their remaining options. All of the options described below are currently represented by class B quotas and will be converted into our Ordinary Shares as part of the Corporation Conversion.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0" w:type="dxa"/>
            <w:vAlign w:val="bottom"/>
          </w:tcPr>
          <w:p>
            <w:pPr>
              <w:spacing w:after="0"/>
              <w:rPr>
                <w:sz w:val="1"/>
                <w:szCs w:val="1"/>
                <w:color w:val="auto"/>
              </w:rPr>
            </w:pPr>
          </w:p>
        </w:tc>
      </w:tr>
      <w:tr>
        <w:trPr>
          <w:trHeight w:val="256"/>
        </w:trPr>
        <w:tc>
          <w:tcPr>
            <w:tcW w:w="54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Roger Abravanel</w:t>
            </w:r>
            <w:r>
              <w:rPr>
                <w:rFonts w:ascii="Arial" w:cs="Arial" w:eastAsia="Arial" w:hAnsi="Arial"/>
                <w:sz w:val="29"/>
                <w:szCs w:val="29"/>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line="256" w:lineRule="exact"/>
              <w:rPr>
                <w:sz w:val="20"/>
                <w:szCs w:val="20"/>
                <w:color w:val="auto"/>
              </w:rPr>
            </w:pPr>
            <w:r>
              <w:rPr>
                <w:rFonts w:ascii="Arial" w:cs="Arial" w:eastAsia="Arial" w:hAnsi="Arial"/>
                <w:sz w:val="18"/>
                <w:szCs w:val="18"/>
                <w:color w:val="auto"/>
              </w:rPr>
              <w:t>Guido Guidi</w:t>
            </w:r>
            <w:r>
              <w:rPr>
                <w:rFonts w:ascii="Arial" w:cs="Arial" w:eastAsia="Arial" w:hAnsi="Arial"/>
                <w:sz w:val="29"/>
                <w:szCs w:val="29"/>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Luca Guidotti</w:t>
            </w:r>
            <w:r>
              <w:rPr>
                <w:rFonts w:ascii="Arial" w:cs="Arial" w:eastAsia="Arial" w:hAnsi="Arial"/>
                <w:sz w:val="29"/>
                <w:szCs w:val="29"/>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Carlo Russo</w:t>
            </w: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0"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2"/>
          <w:szCs w:val="12"/>
          <w:color w:val="auto"/>
        </w:rPr>
      </w:pPr>
      <w:r>
        <w:rPr>
          <w:rFonts w:ascii="Arial" w:cs="Arial" w:eastAsia="Arial" w:hAnsi="Arial"/>
          <w:sz w:val="14"/>
          <w:szCs w:val="14"/>
          <w:color w:val="auto"/>
        </w:rPr>
        <w:t>Includes 41 class B quotas such holder will be entitled to upon the consummation of the offering.</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ectPr>
          <w:pgSz w:w="11900" w:h="16838" w:orient="portrait"/>
          <w:cols w:equalWidth="0" w:num="1">
            <w:col w:w="11240"/>
          </w:cols>
          <w:pgMar w:left="320" w:top="715" w:right="339" w:bottom="1440" w:gutter="0" w:footer="0" w:header="0"/>
        </w:sectPr>
      </w:pP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ordinary shares as of effect to the Corporate Conversion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2021 after giving pro forma</w:t>
      </w:r>
    </w:p>
    <w:p>
      <w:pPr>
        <w:spacing w:after="0" w:line="490" w:lineRule="exact"/>
        <w:rPr>
          <w:sz w:val="20"/>
          <w:szCs w:val="20"/>
          <w:color w:val="auto"/>
        </w:rPr>
      </w:pPr>
    </w:p>
    <w:p>
      <w:pPr>
        <w:sectPr>
          <w:pgSz w:w="11900" w:h="16838" w:orient="portrait"/>
          <w:cols w:equalWidth="0" w:num="2">
            <w:col w:w="8020" w:space="720"/>
            <w:col w:w="2500"/>
          </w:cols>
          <w:pgMar w:left="320" w:top="715" w:right="339" w:bottom="1440" w:gutter="0" w:footer="0" w:header="0"/>
          <w:type w:val="continuous"/>
        </w:sect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S.r.l.,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4"/>
              </w:rPr>
              <w:t>Directors and executive officers</w:t>
            </w: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Stephen Squinto</w:t>
            </w: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Roger Abravanel</w:t>
            </w: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Guido Guidi</w:t>
            </w: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Richard B. Slansky</w:t>
            </w: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Carlo-Alberto Nicchio</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Cesare Lassaroni</w:t>
            </w: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Jacopo Doveri</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i w:val="1"/>
                <w:iCs w:val="1"/>
                <w:color w:val="auto"/>
                <w:w w:val="92"/>
              </w:rPr>
              <w:t>All directors and executive officers as a group (10 persons)</w:t>
            </w:r>
          </w:p>
        </w:tc>
        <w:tc>
          <w:tcPr>
            <w:tcW w:w="1200" w:type="dxa"/>
            <w:vAlign w:val="bottom"/>
          </w:tcPr>
          <w:p>
            <w:pPr>
              <w:spacing w:after="0"/>
              <w:rPr>
                <w:sz w:val="18"/>
                <w:szCs w:val="18"/>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5% Shareholders</w:t>
            </w:r>
          </w:p>
        </w:tc>
        <w:tc>
          <w:tcPr>
            <w:tcW w:w="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0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0"/>
                <w:szCs w:val="20"/>
                <w:color w:val="auto"/>
              </w:rPr>
            </w:pPr>
            <w:r>
              <w:rPr>
                <w:rFonts w:ascii="Arial" w:cs="Arial" w:eastAsia="Arial" w:hAnsi="Arial"/>
                <w:sz w:val="18"/>
                <w:szCs w:val="18"/>
                <w:color w:val="auto"/>
              </w:rPr>
              <w:t>** Less than 1%.</w:t>
            </w: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auto"/>
            </w:tcBorders>
            <w:gridSpan w:val="2"/>
          </w:tcPr>
          <w:p>
            <w:pPr>
              <w:spacing w:after="0"/>
              <w:rPr>
                <w:sz w:val="21"/>
                <w:szCs w:val="21"/>
                <w:color w:val="auto"/>
              </w:rPr>
            </w:pPr>
          </w:p>
        </w:tc>
        <w:tc>
          <w:tcPr>
            <w:tcW w:w="2940" w:type="dxa"/>
            <w:vAlign w:val="bottom"/>
            <w:gridSpan w:val="2"/>
            <w:vMerge w:val="restart"/>
          </w:tcPr>
          <w:p>
            <w:pPr>
              <w:ind w:left="200"/>
              <w:spacing w:after="0"/>
              <w:rPr>
                <w:sz w:val="20"/>
                <w:szCs w:val="20"/>
                <w:color w:val="auto"/>
              </w:rPr>
            </w:pPr>
            <w:r>
              <w:rPr>
                <w:rFonts w:ascii="Arial" w:cs="Arial" w:eastAsia="Arial" w:hAnsi="Arial"/>
                <w:sz w:val="14"/>
                <w:szCs w:val="14"/>
                <w:color w:val="auto"/>
                <w:w w:val="97"/>
              </w:rPr>
              <w:t>ordinary shares issued and outstanding as of</w:t>
            </w:r>
          </w:p>
        </w:tc>
        <w:tc>
          <w:tcPr>
            <w:tcW w:w="5500" w:type="dxa"/>
            <w:vAlign w:val="bottom"/>
            <w:vMerge w:val="restart"/>
          </w:tcPr>
          <w:p>
            <w:pPr>
              <w:jc w:val="right"/>
              <w:ind w:right="4832"/>
              <w:spacing w:after="0"/>
              <w:rPr>
                <w:sz w:val="20"/>
                <w:szCs w:val="20"/>
                <w:color w:val="auto"/>
              </w:rPr>
            </w:pPr>
            <w:r>
              <w:rPr>
                <w:rFonts w:ascii="Arial" w:cs="Arial" w:eastAsia="Arial" w:hAnsi="Arial"/>
                <w:sz w:val="14"/>
                <w:szCs w:val="14"/>
                <w:color w:val="auto"/>
              </w:rPr>
              <w:t>, 2021.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00" w:type="dxa"/>
            <w:vAlign w:val="bottom"/>
            <w:gridSpan w:val="2"/>
          </w:tcPr>
          <w:p>
            <w:pPr>
              <w:spacing w:after="0"/>
              <w:rPr>
                <w:sz w:val="20"/>
                <w:szCs w:val="20"/>
                <w:color w:val="auto"/>
              </w:rPr>
            </w:pPr>
            <w:r>
              <w:rPr>
                <w:rFonts w:ascii="Arial" w:cs="Arial" w:eastAsia="Arial" w:hAnsi="Arial"/>
                <w:sz w:val="12"/>
                <w:szCs w:val="12"/>
                <w:color w:val="auto"/>
                <w:w w:val="99"/>
              </w:rPr>
              <w:t xml:space="preserve">(1)   </w:t>
            </w:r>
            <w:r>
              <w:rPr>
                <w:rFonts w:ascii="Arial" w:cs="Arial" w:eastAsia="Arial" w:hAnsi="Arial"/>
                <w:sz w:val="14"/>
                <w:szCs w:val="14"/>
                <w:color w:val="auto"/>
                <w:w w:val="99"/>
              </w:rPr>
              <w:t>The percentages shown are based on</w:t>
            </w:r>
          </w:p>
        </w:tc>
        <w:tc>
          <w:tcPr>
            <w:tcW w:w="2940" w:type="dxa"/>
            <w:vAlign w:val="bottom"/>
            <w:gridSpan w:val="2"/>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740" w:type="dxa"/>
            <w:vAlign w:val="bottom"/>
          </w:tcPr>
          <w:p>
            <w:pPr>
              <w:spacing w:after="0"/>
              <w:rPr>
                <w:sz w:val="20"/>
                <w:szCs w:val="20"/>
                <w:color w:val="auto"/>
              </w:rPr>
            </w:pPr>
            <w:r>
              <w:rPr>
                <w:rFonts w:ascii="Arial" w:cs="Arial" w:eastAsia="Arial" w:hAnsi="Arial"/>
                <w:sz w:val="18"/>
                <w:szCs w:val="18"/>
                <w:b w:val="1"/>
                <w:bCs w:val="1"/>
                <w:i w:val="1"/>
                <w:iCs w:val="1"/>
                <w:color w:val="auto"/>
              </w:rPr>
              <w:t>Record Holders</w:t>
            </w: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660"/>
              <w:spacing w:after="0"/>
              <w:rPr>
                <w:sz w:val="20"/>
                <w:szCs w:val="20"/>
                <w:color w:val="auto"/>
              </w:rPr>
            </w:pPr>
            <w:r>
              <w:rPr>
                <w:rFonts w:ascii="Arial" w:cs="Arial" w:eastAsia="Arial" w:hAnsi="Arial"/>
                <w:sz w:val="18"/>
                <w:szCs w:val="18"/>
                <w:color w:val="auto"/>
              </w:rPr>
              <w:t>As of</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 2021, there was a total of</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w w:val="91"/>
              </w:rPr>
              <w:t>holders of record of our ordinary shares, none of which had, to the best of our knowledge, a</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registered address in the United States.</w:t>
      </w:r>
    </w:p>
    <w:p>
      <w:pPr>
        <w:spacing w:after="0" w:line="23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have a longstanding relationship with OSR. Dr. Guidotti, a member of our Board of Directors, currently serves as Deputy Scientific Director of OSR. On June 4, 2015, we entered into a Service Agreement with OSR relating to accounting services. During 2019 and 2020, we paid to OSR an</w:t>
      </w:r>
    </w:p>
    <w:p>
      <w:pPr>
        <w:spacing w:after="0"/>
        <w:tabs>
          <w:tab w:leader="none" w:pos="1640" w:val="left"/>
        </w:tabs>
        <w:rPr>
          <w:sz w:val="20"/>
          <w:szCs w:val="20"/>
          <w:color w:val="auto"/>
        </w:rPr>
      </w:pPr>
      <w:r>
        <w:rPr>
          <w:rFonts w:ascii="Arial" w:cs="Arial" w:eastAsia="Arial" w:hAnsi="Arial"/>
          <w:sz w:val="18"/>
          <w:szCs w:val="18"/>
          <w:color w:val="auto"/>
        </w:rPr>
        <w:t>aggregate of €</w:t>
      </w:r>
      <w:r>
        <w:rPr>
          <w:sz w:val="20"/>
          <w:szCs w:val="20"/>
          <w:color w:val="auto"/>
        </w:rPr>
        <w:tab/>
      </w:r>
      <w:r>
        <w:rPr>
          <w:rFonts w:ascii="Arial" w:cs="Arial" w:eastAsia="Arial" w:hAnsi="Arial"/>
          <w:sz w:val="16"/>
          <w:szCs w:val="16"/>
          <w:color w:val="auto"/>
        </w:rPr>
        <w:t>million pursuant to these arrangements.</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January 2020, we entered into a non-cancelable lease agreement with OSR for office space in Milan, Italy for six (6) years, renewable for another six (6) years, with an annual obligation of €13,400.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We entered into a directorship agreement with Mr. Paracchi in December 2019, which provides for an annual salary of €250,000 and a discretionary €50,000 performance bonus payment to be approved by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intend to enter into new employment agreements with each of Messrs. Paracchi, Russo and Slansky effective upon the consummation of this offering. The forms of such proposed employment agreements have been filed as exhibits to the registration statement of which this prospectus forms a</w:t>
      </w:r>
    </w:p>
    <w:p>
      <w:pPr>
        <w:ind w:right="600"/>
        <w:spacing w:after="0" w:line="265" w:lineRule="auto"/>
        <w:rPr>
          <w:sz w:val="20"/>
          <w:szCs w:val="20"/>
          <w:color w:val="auto"/>
        </w:rPr>
      </w:pPr>
      <w:r>
        <w:rPr>
          <w:rFonts w:ascii="Arial" w:cs="Arial" w:eastAsia="Arial" w:hAnsi="Arial"/>
          <w:sz w:val="17"/>
          <w:szCs w:val="17"/>
          <w:color w:val="auto"/>
        </w:rPr>
        <w:t>part. Pursuant to such proposed employment agreements, Messrs. Paracchi, Russo and Slansky are entitled to gross annual base salaries of € , $ and $ , respectively, each of which is subject to annual review by and at the sole discretion of the Compensation, Nomination and</w:t>
      </w:r>
    </w:p>
    <w:p>
      <w:pPr>
        <w:spacing w:after="0"/>
        <w:rPr>
          <w:sz w:val="20"/>
          <w:szCs w:val="20"/>
          <w:color w:val="auto"/>
        </w:rPr>
      </w:pPr>
      <w:r>
        <w:rPr>
          <w:rFonts w:ascii="Arial" w:cs="Arial" w:eastAsia="Arial" w:hAnsi="Arial"/>
          <w:sz w:val="16"/>
          <w:szCs w:val="16"/>
          <w:color w:val="auto"/>
        </w:rPr>
        <w:t>Governance Committee of our board of directors. Each of Messrs. Paracchi, Russo and Slansky are also eligible to receive an annual cash bonus equal to or</w:t>
      </w:r>
    </w:p>
    <w:p>
      <w:pPr>
        <w:spacing w:after="0" w:line="3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exceeding %, % and %, respectively, of base salary, provided that such individual achieves performance targets determined by the Compensation, Nomination and Governance Committee of the board of directors.</w:t>
      </w:r>
    </w:p>
    <w:p>
      <w:pPr>
        <w:spacing w:after="0" w:line="21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Each proposed employment agreement has a term commencing on the date of consummation of this offering and continuing until terminated (i) upon death of the employee, (ii) upon disability, (iii) for cause or good reason, (iv) without cause, or (v) voluntarily, or in the case of our proposed Italian employees, (a) upon death of the employee, (b) for just cause, (c) with objective or subjective reason, (d) by resignation of the employee, or (e) voluntarily by mutual agreement between the parties.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for any reason other than cause or by such individual for good reason, then the executive shall be entitled to receive a cash payment equal to times such individual’s then-current annual base salary, plus 1.0 times his cash bonus for the year in which the termination occurs. Such payment shall be in lieu of the severance payment described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€33.6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2" w:name="page153"/>
    <w:bookmarkEnd w:id="152"/>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will occur immediately prior to the effectiveness of the registration statement of which this prospectus forms a part.</w:t>
      </w:r>
    </w:p>
    <w:p>
      <w:pPr>
        <w:sectPr>
          <w:pgSz w:w="11900" w:h="16838" w:orient="portrait"/>
          <w:cols w:equalWidth="0" w:num="1">
            <w:col w:w="11240"/>
          </w:cols>
          <w:pgMar w:left="320" w:top="715" w:right="339" w:bottom="1440" w:gutter="0" w:footer="0" w:header="0"/>
        </w:sectPr>
      </w:pPr>
    </w:p>
    <w:p>
      <w:pPr>
        <w:spacing w:after="0" w:line="214"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As of the date of filing of this prospectus our authorized capital stock consists of</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460" w:space="660"/>
            <w:col w:w="4120"/>
          </w:cols>
          <w:pgMar w:left="320" w:top="715" w:right="339" w:bottom="1440" w:gutter="0" w:footer="0" w:header="0"/>
          <w:type w:val="continuous"/>
        </w:sectPr>
      </w:pPr>
    </w:p>
    <w:p>
      <w:pPr>
        <w:spacing w:after="0" w:line="52" w:lineRule="exact"/>
        <w:rPr>
          <w:sz w:val="20"/>
          <w:szCs w:val="20"/>
          <w:color w:val="auto"/>
        </w:rPr>
      </w:pPr>
    </w:p>
    <w:p>
      <w:pPr>
        <w:ind w:left="720" w:hanging="71"/>
        <w:spacing w:after="0" w:line="381" w:lineRule="auto"/>
        <w:rPr>
          <w:sz w:val="20"/>
          <w:szCs w:val="20"/>
          <w:color w:val="auto"/>
        </w:rPr>
      </w:pPr>
      <w:r>
        <w:rPr>
          <w:rFonts w:ascii="Arial" w:cs="Arial" w:eastAsia="Arial" w:hAnsi="Arial"/>
          <w:sz w:val="15"/>
          <w:szCs w:val="15"/>
          <w:color w:val="auto"/>
        </w:rPr>
        <w:t>Following the Corporate Conversion and the closing of this offering, there will be shareholders of record. No preference shares are designated, issued or outstanding.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outstanding, held by approximately</w:t>
      </w:r>
    </w:p>
    <w:p>
      <w:pPr>
        <w:spacing w:after="0" w:line="490" w:lineRule="exact"/>
        <w:rPr>
          <w:sz w:val="20"/>
          <w:szCs w:val="20"/>
          <w:color w:val="auto"/>
        </w:rPr>
      </w:pPr>
    </w:p>
    <w:p>
      <w:pPr>
        <w:sectPr>
          <w:pgSz w:w="11900" w:h="16838" w:orient="portrait"/>
          <w:cols w:equalWidth="0" w:num="2">
            <w:col w:w="6680" w:space="500"/>
            <w:col w:w="4060"/>
          </w:cols>
          <w:pgMar w:left="320" w:top="715" w:right="339" w:bottom="1440" w:gutter="0" w:footer="0" w:header="0"/>
          <w:type w:val="continuous"/>
        </w:sect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w:t>
      </w:r>
    </w:p>
    <w:p>
      <w:pPr>
        <w:spacing w:after="0" w:line="2"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kind, and in any case the criteria adopted for determining the issue price. On , following a recommendation by our board of directors, our shareholders approved a capital increase with the exclusion of preemptive rights to allow for the issuance of:</w:t>
      </w:r>
    </w:p>
    <w:p>
      <w:pPr>
        <w:spacing w:after="0" w:line="212" w:lineRule="exact"/>
        <w:rPr>
          <w:sz w:val="20"/>
          <w:szCs w:val="20"/>
          <w:color w:val="auto"/>
        </w:rPr>
      </w:pPr>
    </w:p>
    <w:p>
      <w:pPr>
        <w:ind w:left="660" w:hanging="328"/>
        <w:spacing w:after="0" w:line="277" w:lineRule="auto"/>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ordinary shares in our initial public offering (including ordinary shares underlying the over-allotment option and ordinary shares issuable upon exercise of the Representatives’ Warrants);</w:t>
      </w:r>
    </w:p>
    <w:p>
      <w:pPr>
        <w:spacing w:after="0" w:line="129" w:lineRule="exact"/>
        <w:rPr>
          <w:rFonts w:ascii="Arial" w:cs="Arial" w:eastAsia="Arial" w:hAnsi="Arial"/>
          <w:sz w:val="18"/>
          <w:szCs w:val="18"/>
          <w:color w:val="auto"/>
        </w:rPr>
      </w:pPr>
    </w:p>
    <w:p>
      <w:pPr>
        <w:ind w:left="1420" w:hanging="1088"/>
        <w:spacing w:after="0"/>
        <w:tabs>
          <w:tab w:leader="none" w:pos="14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ordinary shares to the service of a five year equity incentive plan (the “2021-2025 Equity Incentive Plan”) to be adopted by the board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170" w:lineRule="exact"/>
        <w:rPr>
          <w:rFonts w:ascii="Arial" w:cs="Arial" w:eastAsia="Arial" w:hAnsi="Arial"/>
          <w:sz w:val="16"/>
          <w:szCs w:val="16"/>
          <w:color w:val="auto"/>
        </w:rPr>
      </w:pPr>
    </w:p>
    <w:p>
      <w:pPr>
        <w:ind w:left="660" w:right="140" w:hanging="328"/>
        <w:spacing w:after="0" w:line="263" w:lineRule="auto"/>
        <w:tabs>
          <w:tab w:leader="none" w:pos="14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ordinary shares, delegated to by the board of directors and subject to a time limit up to a five-years term, in connection with certain events such as the acquisition of stock or assets of another company, the establishment of or amendments to equity-based compensation plans for employees, and certain private placements.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ordinary shares are not represented by share certificates (</w:t>
      </w:r>
      <w:r>
        <w:rPr>
          <w:rFonts w:ascii="Arial" w:cs="Arial" w:eastAsia="Arial" w:hAnsi="Arial"/>
          <w:sz w:val="18"/>
          <w:szCs w:val="18"/>
          <w:i w:val="1"/>
          <w:iCs w:val="1"/>
          <w:color w:val="auto"/>
        </w:rPr>
        <w:t>dematerializzate</w:t>
      </w:r>
      <w:r>
        <w:rPr>
          <w:rFonts w:ascii="Arial" w:cs="Arial" w:eastAsia="Arial" w:hAnsi="Arial"/>
          <w:sz w:val="18"/>
          <w:szCs w:val="18"/>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54" w:name="page155"/>
    <w:bookmarkEnd w:id="154"/>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board of director consists of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Following the expiration of the above board of directors currently in force, future members will be appointed by means of a list voting system:</w:t>
      </w:r>
    </w:p>
    <w:p>
      <w:pPr>
        <w:spacing w:after="0" w:line="3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lists may be presented by the shareholders representing, individually or collectively, at least % of share capital represented by ordinary shares. The board of directors will be appointed as follows: directors will be drawn from the list that has obtained the highest number of votes on the shareholders meeting (the Majority List), based on the progressive order in which they are listed, while directors will be drawn from the second list,</w:t>
      </w:r>
    </w:p>
    <w:p>
      <w:pPr>
        <w:ind w:right="580"/>
        <w:spacing w:after="0" w:line="260" w:lineRule="auto"/>
        <w:rPr>
          <w:sz w:val="20"/>
          <w:szCs w:val="20"/>
          <w:color w:val="auto"/>
        </w:rPr>
      </w:pPr>
      <w:r>
        <w:rPr>
          <w:rFonts w:ascii="Arial" w:cs="Arial" w:eastAsia="Arial" w:hAnsi="Arial"/>
          <w:sz w:val="18"/>
          <w:szCs w:val="18"/>
          <w:color w:val="auto"/>
        </w:rPr>
        <w:t>in terms of the number of votes received, that have no connection, whether direct or indirect, with the shareholders who have submitted or voted the Majority List (the Minority Lists).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5" w:name="page156"/>
    <w:bookmarkEnd w:id="155"/>
    <w:p>
      <w:pPr>
        <w:ind w:right="2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directors, by resolution passed by simple majority, upon proposal of those attending and entitled to vote, making sure that the requirements set out in the laws pro tempore in force and in the bylaws on the composition of the board of directors and, especially, on gender balance, are complied with.</w:t>
      </w:r>
    </w:p>
    <w:p>
      <w:pPr>
        <w:spacing w:after="0" w:line="21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chairman (president) is not already appointed by the shareholders, the board of directors must appoint one and may appoint a vice-chairman.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of directors is the legal representative of the Company. Our board of directors may delegate certain powers to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director and revoke such delegation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managing directors must report to the board of directors and the board of statutory auditors at least every 180 days on the Company’s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main transactions carried out by the Company or by its subsidiaries. Our board of directors may also appoint one or more general managers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confer powers for single acts or categories of acts to employees of the Company or persons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unaffiliated with the Company. These general managers may be employees, and the board may delegate certain powers to general managers that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already delegated to managing directors or an executive committee, subject to the limitations discussed below.</w:t>
      </w:r>
    </w:p>
    <w:p>
      <w:pPr>
        <w:spacing w:after="0" w:line="2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Italian law, our board of directors cannot delegate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Meetings of our board of directors are called no less than days in advance or, in case of urgency, at least one day in advance by registered letter or e-mail sent by the chairman own initiative. Statutory auditors are normally required to attend our board meetings, but if a meeting has been duly called, the board can validly take action at the meeting even if the board of statutory auditors does not attend. If the meeting has not been duly called, the meeting is nevertheless validly constituted if all of the directors in office and all of the statutory auditors are in attendance. The chairman may call meetings on his own initiative and meetings must be called upon the request of any director.</w:t>
      </w:r>
    </w:p>
    <w:p>
      <w:pPr>
        <w:spacing w:after="0" w:line="21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 The quorum for meetings of our board of directors is the attendance of the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6" w:name="page157"/>
    <w:bookmarkEnd w:id="156"/>
    <w:p>
      <w:pPr>
        <w:ind w:right="4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directors cannot be unlimitedly liable shareholders in competing companies, nor can they act as competitors on their own or on behalf of third parties, nor be directors or general managers in competing companies, unless authorized by the shareholders’ meeting. Failure to comply with such prohibition may result in the revocation of the director from office and in his or her liability for damages.</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board of directors may transfer the Company’s registered office within Italy, set up and eliminate secondary offices and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21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Under Italian law, directors may be removed from office at any time by the vote of shareholders at an ordinary shareholders’ meeting. Whilst the removal is immediately effective within the company, it is effective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third parties only upon entry of the relevant resolution in the companies register. The resolution of the shareholders’ meeting in favor of a liability suit against the director and the occurrence of causes of ineligibility also constitute justified causes for removal. If the removal of a director occurs without just cause, such directors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our board of directors and to the chairman of our board of statutory auditors. Our board of directors must appoint substitute directors to fill vacancies arising from removals or resignations, subject to the approval of the board of statutory auditors, to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members of the board of directors have resigned or ceased to be directors) must promptly call an ordinary shareholders’ meeting to appoint new directors.</w:t>
      </w:r>
    </w:p>
    <w:p>
      <w:pPr>
        <w:spacing w:after="0" w:line="19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nominating and compensation committee will recommend the compensation of our directors to our board of directors, which in turn makes recommendations to our shareholders. Under Italian law, our shareholders determine the compensation of our directors relating to basic board service, such as annual fees for serving on the board and/or fees for attending board meetings. Our board of directors, after consultation with our board of statutory auditors, may determine the remuneration of directors that serve on the various board committees and/or perform management or other special services for us, such as managing directors. Our directors are entitled to reimbursement for expenses incurred in connection with their service as directors, such as expenses incurred in travel to attend board meetings. Our articles of association and bylaws do not contain any provisions with respect to borrowing powers exercisable by our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our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7" w:name="page158"/>
    <w:bookmarkEnd w:id="157"/>
    <w:p>
      <w:pPr>
        <w:ind w:right="6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of a company shall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be appointed as statutory auditors:</w:t>
      </w:r>
    </w:p>
    <w:p>
      <w:pPr>
        <w:spacing w:after="0" w:line="214"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one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Following the expiration of the above board of statutory auditors currently in force, future members will be appointed by means of a list voting</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system: lists may be presented by the shareholders representing at least % of share capital represented by ordinary shares. The list of candidates shall be split into two sections, one for the candidates for the position of statutory auditor and one for the candidates for the position of alternate auditor. According to the Company’s bylaws, the board of statutory auditors will be appointed as follows: statutory auditors and alternate auditor will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drawn from the list that has obtained the highest number of votes on the shareholders meeting (the Majority List), based on the progressive order in which</w:t>
      </w:r>
    </w:p>
    <w:p>
      <w:pPr>
        <w:spacing w:after="0" w:line="3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they are listed, while statutory auditor and alternate auditor will be drawn from the second list, in terms of the number of votes received, that have no connection, whether direct or indirect, with the shareholders who have submitted or voted the Majority List (the Minority Lists). The statutory auditor drawn by the Minority Lists will be the chairman of the board of statutory auditors.</w:t>
      </w:r>
    </w:p>
    <w:p>
      <w:pPr>
        <w:spacing w:after="0" w:line="21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shareholder and shareholders belonging to the same group shall not present, or contribute to present, or vote for more than one list, including through an intermediary or trust company. Each candidate may only appear on one list or, otherwise, will be ineligible for election.</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no list is presented the shareholders shall make the necessary appointments during the shareholders meeting convened for the appointment of new members of the board of statutory auditors, by resolution passed by simple majority, upon proposal of those attending and entitled to vote, making sure that the requirements set out in the laws pro tempore in force and in the bylaws on the composition of the board of statutory auditors and, especially, on gender balance, are complied with.</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statutory auditors may decide to call a meeting of our shareholders,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(see Section “Comparison Of Italian Law And Delaware Law”)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The external auditor’s opinion on the financial statements must be published.</w:t>
      </w:r>
    </w:p>
    <w:p>
      <w:pPr>
        <w:spacing w:after="0" w:line="211"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revocation, the Company and the external auditor or auditing firm must timely inform the Italian Ministry of Economics and Finance, explaining the reasons justifying the revocation. In case we are considered an Open Company, such communication must be served to the Consob.</w:t>
      </w:r>
    </w:p>
    <w:p>
      <w:pPr>
        <w:sectPr>
          <w:pgSz w:w="11900" w:h="16838" w:orient="portrait"/>
          <w:cols w:equalWidth="0" w:num="1">
            <w:col w:w="11180"/>
          </w:cols>
          <w:pgMar w:left="320" w:top="719" w:right="399" w:bottom="1440" w:gutter="0" w:footer="0" w:header="0"/>
        </w:sectPr>
      </w:pP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 our shareholders appointed meeting to approve the financial statement for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540" w:hanging="5"/>
        <w:spacing w:after="0" w:line="277" w:lineRule="auto"/>
        <w:rPr>
          <w:sz w:val="20"/>
          <w:szCs w:val="20"/>
          <w:color w:val="auto"/>
        </w:rPr>
      </w:pPr>
      <w:r>
        <w:rPr>
          <w:rFonts w:ascii="Arial" w:cs="Arial" w:eastAsia="Arial" w:hAnsi="Arial"/>
          <w:sz w:val="18"/>
          <w:szCs w:val="18"/>
          <w:color w:val="auto"/>
        </w:rPr>
        <w:t>, as our external auditors for three-year term expiring at the time of the annual shareholders .</w:t>
      </w:r>
    </w:p>
    <w:p>
      <w:pPr>
        <w:spacing w:after="0" w:line="197" w:lineRule="exact"/>
        <w:rPr>
          <w:sz w:val="20"/>
          <w:szCs w:val="20"/>
          <w:color w:val="auto"/>
        </w:rPr>
      </w:pPr>
    </w:p>
    <w:p>
      <w:pPr>
        <w:sectPr>
          <w:pgSz w:w="11900" w:h="16838" w:orient="portrait"/>
          <w:cols w:equalWidth="0" w:num="2">
            <w:col w:w="3400" w:space="700"/>
            <w:col w:w="7080"/>
          </w:cols>
          <w:pgMar w:left="320" w:top="719" w:right="3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our board of directors (or by our board of statutory auditors) and must be called if requested by holders of at least 10% of the outstanding shares. Shareholders are not entitled to request that a meeting of shareholders be convened to vote on issues which as a matter of law is falling within the authority of the board of directors. If the shareholders’ meeting is not called despite the shareholders’ request and such refusal is unjustified, a competent court may call the meeting.</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may hold meetings of shareholders at our registered office, or elsewhere within Italy and . Our bylaws provides that we must provide written notice of meetings to our shareholders at least eight days before the date fixed for the meeting, and such notice must contain documentation necessary to inform shareholders about the topics in discussion.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w:t>
      </w:r>
    </w:p>
    <w:p>
      <w:pPr>
        <w:spacing w:after="0" w:line="21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type w:val="continuous"/>
        </w:sectPr>
      </w:pPr>
    </w:p>
    <w:bookmarkStart w:id="159" w:name="page160"/>
    <w:bookmarkEnd w:id="159"/>
    <w:p>
      <w:pPr>
        <w:ind w:right="40" w:firstLine="648"/>
        <w:spacing w:after="0" w:line="291" w:lineRule="auto"/>
        <w:rPr>
          <w:sz w:val="20"/>
          <w:szCs w:val="20"/>
          <w:color w:val="auto"/>
        </w:rPr>
      </w:pPr>
      <w:r>
        <w:rPr>
          <w:rFonts w:ascii="Arial" w:cs="Arial" w:eastAsia="Arial" w:hAnsi="Arial"/>
          <w:sz w:val="16"/>
          <w:szCs w:val="16"/>
          <w:color w:val="auto"/>
        </w:rPr>
        <w:t>We may call extraordinary shareholders’ meetings to vote upon split-ups, dissolutions, appointment of receivers and similar extraordinary actions. We may also call extraordinary shareholders’ meetings to vote upon proposed amendments to our bylaws, issuance of convertible debentures, mergers and de-mergers and capital increases and reductions, if the actions may not be authorized by the board of directors.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193"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quorum for an ordinary meeting of our shareholders on the first call, also in the event we are considered an Open Company, is at least 50% of the outstanding ordinary shares, while on second call there is no quorum requirement. In either case, resolutions are adopted by the majority of ordinary shares in attendance or represented at the meeting. The quorum for an extraordinary shareholders’ meeting is more than half of the outstanding ordinary shares on the first call and more than one-third of the outstanding shares on second call. Resolutions are adopted by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holders of shares present or represented at such meeting, provided that a quorum of at least half of the share capital is attending; on second call, the majority of at least two-thirds of the holders of shares present or represented at such meeting, provided that a quorum of more than one-third of the share capital is attending. In addition, certain matters (such as, for example, a change in our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Shareholders may appoint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issuance of ordinary shares or convertible debentures in proportion to their holdings at the time that the shareholders authorize the capital increase for those issuances, unless those issuances are for non-cash considerations. Those who exercise the preemptive right, provided they make such request simultaneously, have a pre-emption right on the purchase of shares and debentures convertible into shares that have not been subscribed. The preemptive rights may be excluded or limited by resolution of the shareholders at an extraordinary meeting of shareholders, or by a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illustrated by the directors with a specific report which handles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Italian law permits us to issue preference shares with limited voting rights, other classes of equity securities with different economic and voting rights, shares with economic rights related to the results of the corporate activity in a specific sector, to issue “participation instruments” with limited economic and voting rights against the contribution, by shareholders or third-parties, of work or services, as well as “participation instruments” in favor of employees.</w:t>
      </w:r>
    </w:p>
    <w:p>
      <w:pPr>
        <w:spacing w:after="0" w:line="21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“Participation instruments”, which may include, for example, convertible equity and/or “hybrid” instruments endow the right to vote on specific matters and/or grant economic rights, to be determined at the time of the issuance of such instruments, or administrative rights, such as the right to appoint, in accordance with the procedures established by the bylaws, an independent member of the board of directors or a statutory auditor.</w:t>
      </w:r>
    </w:p>
    <w:p>
      <w:pPr>
        <w:spacing w:after="0" w:line="17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any share premium and any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inter alia, either reducing the legal reserves and capital by the amount of the remaining losses, or carrying the losses forward for up to one year. If the shareholders vote to elect to carry the losses forward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ordinary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(Italian Golden Power regulation),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in companies having assets and relations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registration statement.</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the contemplated initial public offering of our ADS, our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For the purpose of the present section, it is appropriate to specify that our Italian corporate legal framework, while regulating joint-stock companies as a unitary type, draws a distinction between those companies that do not have access to the capital markets (hereinafter referred to as the </w:t>
      </w:r>
      <w:r>
        <w:rPr>
          <w:rFonts w:ascii="Arial" w:cs="Arial" w:eastAsia="Arial" w:hAnsi="Arial"/>
          <w:sz w:val="17"/>
          <w:szCs w:val="17"/>
          <w:b w:val="1"/>
          <w:bCs w:val="1"/>
          <w:i w:val="1"/>
          <w:iCs w:val="1"/>
          <w:color w:val="auto"/>
        </w:rPr>
        <w:t>Private Companies</w:t>
      </w:r>
      <w:r>
        <w:rPr>
          <w:rFonts w:ascii="Arial" w:cs="Arial" w:eastAsia="Arial" w:hAnsi="Arial"/>
          <w:sz w:val="17"/>
          <w:szCs w:val="17"/>
          <w:color w:val="auto"/>
        </w:rPr>
        <w:t>) and companies that instead do have it. This latter category comprises both companies listed on European regulated markets (</w:t>
      </w:r>
      <w:r>
        <w:rPr>
          <w:rFonts w:ascii="Arial" w:cs="Arial" w:eastAsia="Arial" w:hAnsi="Arial"/>
          <w:sz w:val="17"/>
          <w:szCs w:val="17"/>
          <w:b w:val="1"/>
          <w:bCs w:val="1"/>
          <w:i w:val="1"/>
          <w:iCs w:val="1"/>
          <w:color w:val="auto"/>
        </w:rPr>
        <w:t>Public Companies</w:t>
      </w:r>
      <w:r>
        <w:rPr>
          <w:rFonts w:ascii="Arial" w:cs="Arial" w:eastAsia="Arial" w:hAnsi="Arial"/>
          <w:sz w:val="17"/>
          <w:szCs w:val="17"/>
          <w:color w:val="auto"/>
        </w:rPr>
        <w:t>) and companies whose securities are not listed on such markets, insofar as they have a significant distribution of their securities among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(so-called “</w:t>
      </w:r>
      <w:r>
        <w:rPr>
          <w:rFonts w:ascii="Arial" w:cs="Arial" w:eastAsia="Arial" w:hAnsi="Arial"/>
          <w:sz w:val="17"/>
          <w:szCs w:val="17"/>
          <w:i w:val="1"/>
          <w:iCs w:val="1"/>
          <w:color w:val="auto"/>
        </w:rPr>
        <w:t>emittenti aventi strumenti finanziari diffusi tra il pubblico in maniera rilevante</w:t>
      </w:r>
      <w:r>
        <w:rPr>
          <w:rFonts w:ascii="Arial" w:cs="Arial" w:eastAsia="Arial" w:hAnsi="Arial"/>
          <w:sz w:val="17"/>
          <w:szCs w:val="17"/>
          <w:color w:val="auto"/>
        </w:rPr>
        <w:t xml:space="preserve">”), according to the relevant provisions set forth in Italian Financials’ Consolidated Act and its implementing provisions (hereinafter referred to as the </w:t>
      </w:r>
      <w:r>
        <w:rPr>
          <w:rFonts w:ascii="Arial" w:cs="Arial" w:eastAsia="Arial" w:hAnsi="Arial"/>
          <w:sz w:val="17"/>
          <w:szCs w:val="17"/>
          <w:b w:val="1"/>
          <w:bCs w:val="1"/>
          <w:i w:val="1"/>
          <w:iCs w:val="1"/>
          <w:color w:val="auto"/>
        </w:rPr>
        <w:t>Open Companies</w:t>
      </w:r>
      <w:r>
        <w:rPr>
          <w:rFonts w:ascii="Arial" w:cs="Arial" w:eastAsia="Arial" w:hAnsi="Arial"/>
          <w:sz w:val="17"/>
          <w:szCs w:val="17"/>
          <w:color w:val="auto"/>
        </w:rPr>
        <w:t>).</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right="40" w:hanging="324"/>
        <w:spacing w:after="0" w:line="277"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having shareholders other than the majority shareholders accounting for more than 500, and holding overall at least a 5% participation in the corporate capital;</w:t>
      </w:r>
    </w:p>
    <w:p>
      <w:pPr>
        <w:spacing w:after="0" w:line="150" w:lineRule="exact"/>
        <w:rPr>
          <w:rFonts w:ascii="Arial" w:cs="Arial" w:eastAsia="Arial" w:hAnsi="Arial"/>
          <w:sz w:val="18"/>
          <w:szCs w:val="18"/>
          <w:color w:val="auto"/>
        </w:rPr>
      </w:pPr>
    </w:p>
    <w:p>
      <w:pPr>
        <w:ind w:left="980" w:hanging="324"/>
        <w:spacing w:after="0"/>
        <w:tabs>
          <w:tab w:leader="none" w:pos="980" w:val="left"/>
        </w:tabs>
        <w:numPr>
          <w:ilvl w:val="0"/>
          <w:numId w:val="120"/>
        </w:numPr>
        <w:rPr>
          <w:rFonts w:ascii="Arial" w:cs="Arial" w:eastAsia="Arial" w:hAnsi="Arial"/>
          <w:sz w:val="36"/>
          <w:szCs w:val="36"/>
          <w:color w:val="auto"/>
          <w:vertAlign w:val="superscript"/>
        </w:rPr>
      </w:pPr>
      <w:r>
        <w:rPr>
          <w:rFonts w:ascii="Arial" w:cs="Arial" w:eastAsia="Arial" w:hAnsi="Arial"/>
          <w:sz w:val="18"/>
          <w:szCs w:val="18"/>
          <w:color w:val="auto"/>
        </w:rPr>
        <w:t>exceeding two out of three limits indicated under the first subsection of Article 2435-</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Italian Civil Code</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0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Based on the foregoing, in the event that, following completion of the initial public offering, our Company issues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plan to apply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ectPr>
          <w:pgSz w:w="11900" w:h="16838" w:orient="portrait"/>
          <w:cols w:equalWidth="0" w:num="1">
            <w:col w:w="11140"/>
          </w:cols>
          <w:pgMar w:left="320" w:top="715" w:right="439" w:bottom="1440" w:gutter="0" w:footer="0" w:header="0"/>
        </w:sectPr>
      </w:pP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share register is currently kept by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4312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which acts as transfer agent and registrar. The share register reflects only record owners of our</w:t>
      </w:r>
    </w:p>
    <w:p>
      <w:pPr>
        <w:spacing w:after="0" w:line="493" w:lineRule="exact"/>
        <w:rPr>
          <w:sz w:val="20"/>
          <w:szCs w:val="20"/>
          <w:color w:val="auto"/>
        </w:rPr>
      </w:pPr>
    </w:p>
    <w:p>
      <w:pPr>
        <w:sectPr>
          <w:pgSz w:w="11900" w:h="16838" w:orient="portrait"/>
          <w:cols w:equalWidth="0" w:num="2">
            <w:col w:w="3480" w:space="720"/>
            <w:col w:w="6940"/>
          </w:cols>
          <w:pgMar w:left="320" w:top="715" w:right="439" w:bottom="1440" w:gutter="0" w:footer="0" w:header="0"/>
          <w:type w:val="continuous"/>
        </w:sect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6"/>
          <w:szCs w:val="16"/>
          <w:color w:val="auto"/>
        </w:rPr>
        <w:t>Article 2435-</w:t>
      </w:r>
      <w:r>
        <w:rPr>
          <w:rFonts w:ascii="Arial" w:cs="Arial" w:eastAsia="Arial" w:hAnsi="Arial"/>
          <w:sz w:val="16"/>
          <w:szCs w:val="16"/>
          <w:i w:val="1"/>
          <w:iCs w:val="1"/>
          <w:color w:val="auto"/>
        </w:rPr>
        <w:t>bis</w:t>
      </w:r>
      <w:r>
        <w:rPr>
          <w:rFonts w:ascii="Arial" w:cs="Arial" w:eastAsia="Arial" w:hAnsi="Arial"/>
          <w:sz w:val="16"/>
          <w:szCs w:val="16"/>
          <w:color w:val="auto"/>
        </w:rPr>
        <w:t xml:space="preserve"> of the Italian Civil Code provides the following requirements:</w:t>
      </w:r>
    </w:p>
    <w:p>
      <w:pPr>
        <w:spacing w:after="0" w:line="197"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balance sheet total assets side: Eur 4,400,000;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total revenues coming out from sales and services: Eur 8,800,000;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average number of employees during the accounting period: 50 units.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type w:val="continuous"/>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ythe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65" w:name="page166"/>
    <w:bookmarkEnd w:id="165"/>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67" w:name="page168"/>
    <w:bookmarkEnd w:id="167"/>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8" w:name="page169"/>
    <w:bookmarkEnd w:id="168"/>
    <w:p>
      <w:pPr>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9" w:name="page170"/>
    <w:bookmarkEnd w:id="169"/>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decision and the related documents with the competent companies’ register. This time limit, in particular, is intended to allow the company’s creditors, subject to limited exceptions, to file an opposition to the merger, provided however that if such an opposition is deemed groundless and the company has given an adequate guarantee, the competent court may nevertheless decide that the merger shall take place notwithstanding the opposition.</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Italian law also provides for simplified forms of merger (with less documentation needed) in cases where the merger is carried out by embedding wholly-owned subsidiaries and subsidiaries which are at least 90% owned. In both cases the decision to merge is delegated to the administrative body, provided that the company’s bylaws (as in our case) so provide. The delegation of powers to the administrative body does not, in any event, release the administrative body from the obligation to file and/or publish, as the case may be, the merger plan in order to make shareholders informed of the merger and to postpone, unless the shareholders waive their right thereof, 30 days from the filing/publication of the merger plan before passing the merger resolution. Shareholders of the “acquiring” company representing at least 5% of the share capital may in any event request the decision on the merger to be taken by the extraordinary shareholders’ meeting. In such a case the jurisdiction of the extraordinary shareholders’ meeting, as provided for the non-simplified procedure, shall apply.</w:t>
      </w:r>
    </w:p>
    <w:p>
      <w:pPr>
        <w:spacing w:after="0" w:line="194"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3" w:name="page174"/>
    <w:bookmarkEnd w:id="17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our company be classified as an Open Company, our board of statutory auditors must investigate without delay and report its findings and recommendations at our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that may cause damage to the company, the shareholders representing, in Private Companies, one-tenth of the share capital or, in Open Companies, one-twentieth can report the facts to the court. The court, having heard the directors and the statutory auditors, may order an audit of the company. The court does not order the audit and suspends the legal proceedings for a fixed period in the event the shareholders’ meeting replaces the directors and the auditors with other subjects having adequate prerequisites, who take action without delay to ascertain whether the violations exist and, if so, to eliminate them, reporting to the court on the findings and the activities carried out. If the reported violations exist or if the above investigations are insufficient to eliminate them, the court may order the appropriate provisional measures and call the shareholders’ meeting for the relevant resolutions. In the most serious cases, the court can revoke the directors and also the auditors, and appoint a receiver, determining his powers and duration of office.</w:t>
      </w:r>
    </w:p>
    <w:p>
      <w:pPr>
        <w:spacing w:after="0" w:line="200" w:lineRule="exact"/>
        <w:rPr>
          <w:sz w:val="20"/>
          <w:szCs w:val="20"/>
          <w:color w:val="auto"/>
        </w:rPr>
      </w:pPr>
    </w:p>
    <w:p>
      <w:pPr>
        <w:spacing w:after="0" w:line="2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Liability claim against directors and general managers may be brought either by our shareholders’ meeting, by our board of statutory auditors (following a resolution passed with the favorable vote of two thirds of its members) or directly by shareholders representing a certain percentage of the corporate capital.</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reference to the shareholders’ meeting, the resolution concerning the liability of the directors may be taken by the ordinary shareholders’ meeting either at a meeting convened for that purpose or at the meeting called to approve the financial statements. Unless otherwise provided for in the bylaws, the shareholders’ meeting shall pass the resolution by the majority normally prescribed for it. The liability claim is time-barred in five years from the date of termination of the director’s office and can be waived or settled upon resolution of the shareholders’ meeting, unless a minority of shareholders, in Private Companies such as ours, representing at least one-fifth of the share capital and, in Open Companies, one-twentieth of the share capital, vote against. The legal costs of such action in the event that the claim of such shareholders is successful and the court does not award such costs against the relevant directors, statutory auditors or general managers will be reimburse by us.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anticipated also shareholders representing a certain percentage of the share capital may bring claims against directors. Such percentages differ depending on whether the company is a Private Company or an Open Company. In case of a Private Company like our case, the percentage required is equal to at least one-fifth of our share capital, while for an Open Company the percentage amounts to one-fortieth of the share capital.</w:t>
      </w:r>
    </w:p>
    <w:p>
      <w:pPr>
        <w:spacing w:after="0" w:line="191" w:lineRule="exact"/>
        <w:rPr>
          <w:sz w:val="20"/>
          <w:szCs w:val="20"/>
          <w:color w:val="auto"/>
        </w:rPr>
      </w:pPr>
    </w:p>
    <w:p>
      <w:pPr>
        <w:sectPr>
          <w:pgSz w:w="11900" w:h="16838" w:orient="portrait"/>
          <w:cols w:equalWidth="0" w:num="2">
            <w:col w:w="5480" w:space="2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74" w:name="page175"/>
    <w:bookmarkEnd w:id="17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conformity with applicable law or our bylaws may be challenged (with certain limitations and exceptions) within ninety days of such resolution (or, if such resolution is subject to registration or filing with the Italian Company Register, within ninety days of its registration or filing) by any absent, dissenting or abstaining shareholders representing, individually or in the aggregate, at least 5% of our share capital, or should the our company be considered an Open Company, at least one per thousand of the share capital (or by our board of directors or our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claimed resolution, in order to anticipate the effects of a possible winning award. Dissenting or absent shareholders may withdraw from the company as a result of shareholders’ resolutions approving, among other things, material modifications to our corporate purpose, the rights attached to our ordinary shares (e.g., voting rights and/or economic rights related to ordinary shares), our conversion from a share corporation into a different legal entity or a transfer of our registered office outside of Italy. Under any such circumstances, our other shareholders would have pre-emptive rights to purchase the shares of the withdrawing shareholders. Should no shareholder exercise its pre-emptive right, the shares must be offered to third parties. If no third-party desires to purchase the shares, we will purchase them with our available reserves. In the event that there are no reserves available, we must reduce our capital accordingly. According to Italian law, the liquidation value of any such shares must be on terms determined by our board of directors, after consultation with our board of statutory auditors and our external auditor, and after careful consideration of our net asset value, our prospective earnings and the market value of our ordinary shares, if any. Under Italian law, we may include provisions in our bylaws governing the criteria for determining the liquidation value of shares in the event of withdrawal. We have not done so as of the date of this registration statement.</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75" w:name="page176"/>
    <w:bookmarkEnd w:id="17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160"/>
          </w:cols>
          <w:pgMar w:left="320" w:top="711" w:right="41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the shareholders’ meeting. The compensation of the chief executive officers shall be established by the board of directors, with the opinion of the board of statutory auditors. If the bylaws so provide, the shareholders’ meeting may determine a total amount for the compensation of the directors, including that of the chief executive officers.</w:t>
      </w:r>
    </w:p>
    <w:p>
      <w:pPr>
        <w:spacing w:after="0" w:line="160" w:lineRule="exact"/>
        <w:rPr>
          <w:sz w:val="20"/>
          <w:szCs w:val="20"/>
          <w:color w:val="auto"/>
        </w:rPr>
      </w:pPr>
    </w:p>
    <w:p>
      <w:pPr>
        <w:sectPr>
          <w:pgSz w:w="11900" w:h="16838" w:orient="portrait"/>
          <w:cols w:equalWidth="0" w:num="2">
            <w:col w:w="5260" w:space="480"/>
            <w:col w:w="5420"/>
          </w:cols>
          <w:pgMar w:left="320" w:top="711" w:right="419" w:bottom="264" w:gutter="0" w:footer="0" w:header="0"/>
          <w:type w:val="continuous"/>
        </w:sectPr>
      </w:pPr>
    </w:p>
    <w:p>
      <w:pPr>
        <w:jc w:val="center"/>
        <w:ind w:right="-9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of directors is elected by the ordinary shareholders’ meeting of the Company, for the period established at the time of election but in no case for longer than three fiscal years. A director, who may be, but is not required to be, a shareholder of the Company, may be reappointed for successive terms.</w:t>
      </w:r>
    </w:p>
    <w:p>
      <w:pPr>
        <w:spacing w:after="0" w:line="183" w:lineRule="exact"/>
        <w:rPr>
          <w:sz w:val="20"/>
          <w:szCs w:val="20"/>
          <w:color w:val="auto"/>
        </w:rPr>
      </w:pPr>
    </w:p>
    <w:p>
      <w:pPr>
        <w:sectPr>
          <w:pgSz w:w="11900" w:h="16838" w:orient="portrait"/>
          <w:cols w:equalWidth="0" w:num="2">
            <w:col w:w="5300" w:space="440"/>
            <w:col w:w="5420"/>
          </w:cols>
          <w:pgMar w:left="320" w:top="711" w:right="419" w:bottom="264" w:gutter="0" w:footer="0" w:header="0"/>
          <w:type w:val="continuous"/>
        </w:sectPr>
      </w:pPr>
    </w:p>
    <w:p>
      <w:pPr>
        <w:jc w:val="center"/>
        <w:ind w:right="-79"/>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160"/>
          </w:cols>
          <w:pgMar w:left="320" w:top="711" w:right="41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that degree of diligence that is required by the nature of their office and pursuant to their specific level of competence.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and prevents creditors from meeting their claims. If we cannot repay our creditors, and a court determines that our directors did not adequately perform their duties relating to the preservation of our assets, the court may find our directors liable to our creditors. Liability, as mentioned above, does not arise when the damage to the assets is the result of correctly adopted management decisions.</w:t>
      </w:r>
    </w:p>
    <w:p>
      <w:pPr>
        <w:spacing w:after="0" w:line="5192" w:lineRule="exact"/>
        <w:rPr>
          <w:sz w:val="20"/>
          <w:szCs w:val="20"/>
          <w:color w:val="auto"/>
        </w:rPr>
      </w:pPr>
    </w:p>
    <w:p>
      <w:pPr>
        <w:sectPr>
          <w:pgSz w:w="11900" w:h="16838" w:orient="portrait"/>
          <w:cols w:equalWidth="0" w:num="2">
            <w:col w:w="5480" w:space="260"/>
            <w:col w:w="5420"/>
          </w:cols>
          <w:pgMar w:left="320" w:top="711" w:right="41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264" w:gutter="0" w:footer="0" w:header="0"/>
          <w:type w:val="continuous"/>
        </w:sectPr>
      </w:pPr>
    </w:p>
    <w:bookmarkStart w:id="176" w:name="page177"/>
    <w:bookmarkEnd w:id="17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160"/>
          </w:cols>
          <w:pgMar w:left="320" w:top="711" w:right="41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Italian law, directors must perform the duties imposed on them by law and company’s bylaws with the degree of diligence that is required by the nature of their office and pursuant to their specific level of competence.</w:t>
      </w:r>
    </w:p>
    <w:p>
      <w:pPr>
        <w:spacing w:after="0" w:line="4549" w:lineRule="exact"/>
        <w:rPr>
          <w:sz w:val="20"/>
          <w:szCs w:val="20"/>
          <w:color w:val="auto"/>
        </w:rPr>
      </w:pPr>
    </w:p>
    <w:p>
      <w:pPr>
        <w:sectPr>
          <w:pgSz w:w="11900" w:h="16838" w:orient="portrait"/>
          <w:cols w:equalWidth="0" w:num="2">
            <w:col w:w="5520" w:space="220"/>
            <w:col w:w="5420"/>
          </w:cols>
          <w:pgMar w:left="320" w:top="711" w:right="4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1" w:right="419" w:bottom="1440" w:gutter="0" w:footer="0" w:header="0"/>
          <w:type w:val="continuous"/>
        </w:sectPr>
      </w:pPr>
    </w:p>
    <w:bookmarkStart w:id="177" w:name="page178"/>
    <w:bookmarkEnd w:id="17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shareholders’ meeting, both ordinary and extraordinary, may be called by our board of directors and must be called if requested by holders of at least 10% of the issued shares, or should our Company be considered an Open Company, at least 5% of the share capital, or, in both cases, the lower threshold set out in in the bylaws. Shareholders are not entitled to request that a meeting of shareholders be convened to vote on issues which as a matter of law shall be resolved upon the basis of a proposal, plan or report by our board of directors. If a request by the shareholders for an extraordinary meeting, or even an ordinary meeting, is refused by the board of directors, and such refusal is unjustified, the meeting may be called by a competent court.</w:t>
      </w:r>
    </w:p>
    <w:p>
      <w:pPr>
        <w:spacing w:after="0" w:line="167"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Registered holders of the Company’s ordinary shares are entitled to attend and vote at ordinary and extraordinary shareholders’ meetings.</w:t>
      </w:r>
    </w:p>
    <w:p>
      <w:pPr>
        <w:spacing w:after="0" w:line="17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When shareholders who represent at least 10% of the share capital of an Italian corporation, or should our Company be considered an Open Company, at least 5% of the share capital, or, in both cases, the lower threshold set out in in the bylaws, request the board of directors to call a meeting of the company’s shareholders, they must set out in their request the proposals to be discussed.</w:t>
      </w:r>
    </w:p>
    <w:p>
      <w:pPr>
        <w:spacing w:after="0" w:line="174"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The directors of a corporation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78" w:name="page179"/>
    <w:bookmarkEnd w:id="17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Whilst the removal is immediately effective within the company, it is effective vis-à-vis third parties only upon entry of the relevant resolution in the companies register.</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resolution of the shareholders’ meeting approved in favor of a liability suit against the director and the occurrence of causes of ineligibility also constitute justified causes for removal.</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removal of a director was without just cause, such director may have a claim for damages against us.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who will serve until the next ordinary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 of the board of directors (or the board of statutory auditors if all the members of the board of directors have resigned or ceased to be directors) must promptly call an ordinary shareholders’ meeting to appoint new directors.</w:t>
      </w:r>
    </w:p>
    <w:p>
      <w:pPr>
        <w:spacing w:after="0" w:line="163" w:lineRule="exact"/>
        <w:rPr>
          <w:sz w:val="20"/>
          <w:szCs w:val="20"/>
          <w:color w:val="auto"/>
        </w:rPr>
      </w:pPr>
    </w:p>
    <w:p>
      <w:pPr>
        <w:sectPr>
          <w:pgSz w:w="11900" w:h="16838" w:orient="portrait"/>
          <w:cols w:equalWidth="0" w:num="2">
            <w:col w:w="5360" w:space="38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Italian law provides that the resolution of the shareholders’ meeting approved with the decisive vote of our shareholders who have, on their own behalf or on behalf of third parties, an interest in conflict with that of the company may be challenged in case it could damage it.</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Furthermore, under Italian law, a director having any interest in a proposed transaction must disclose his or her interest to the board of directors and to the board of statutory auditors, even if such interest does not conflict with our interest in the transaction. The interested director is not required to abstain from voting on the resolution approving the transaction, but the resolution must explicitly state the reasons for the approved transaction, the terms thereto and the benefit of the transaction to us. If these provisions are not complied with, or if the transaction would not have been approved without the vote of the interested director, the resolution may be challenged within ninety days from the date of the resolution by any director or by our board of statutory auditors on grounds that the approved transaction would be prejudicial to us. An authorized representative of our company having any interest in a proposed transaction that he or she has authority to approve must solicit prior board approval before consenting to such transaction. The interested director may be held liable for damages to us resulting from a resolution adopted in breach of the above rules. Finally, a director may be held liable for illicitly profiting from insider information or a corporate opportunity.</w:t>
      </w:r>
    </w:p>
    <w:p>
      <w:pPr>
        <w:spacing w:after="0" w:line="198"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Italian law, and subject to the satisfaction of the claims of all creditors, upon liquidation our shareholders are entitled to a distribution that is equal to an amount resulting from the division of the positive liquidation balance by the number of shares or shareholders (to the extent available out of our net assets). Asset distribution to preferred shareholders and holders of “participating certificates” upon corporate dissolution is typically limited to established contractual preferences. Once the rights of preferred shareholders and holders of participating certificates have been fully satisfied, holders of ordinary shares are entitled to any remaining assets.</w:t>
      </w:r>
    </w:p>
    <w:p>
      <w:pPr>
        <w:spacing w:after="0" w:line="162"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40"/>
          </w:cols>
          <w:pgMar w:left="320" w:top="711" w:right="33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Italian law allows the Company to issue preference shares with limited voting rights, to issue other classes of equity securities with different economic and voting rights, shares with economic rights related to the results of the corporate activity in a specific sector, to issue “participation instruments” (</w:t>
      </w:r>
      <w:r>
        <w:rPr>
          <w:rFonts w:ascii="Arial" w:cs="Arial" w:eastAsia="Arial" w:hAnsi="Arial"/>
          <w:sz w:val="18"/>
          <w:szCs w:val="18"/>
          <w:i w:val="1"/>
          <w:iCs w:val="1"/>
          <w:color w:val="auto"/>
        </w:rPr>
        <w:t>strumenti finanziari partecipativi</w:t>
      </w:r>
      <w:r>
        <w:rPr>
          <w:rFonts w:ascii="Arial" w:cs="Arial" w:eastAsia="Arial" w:hAnsi="Arial"/>
          <w:sz w:val="18"/>
          <w:szCs w:val="18"/>
          <w:color w:val="auto"/>
        </w:rPr>
        <w:t>) with limited economic and voting rights against the 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500"/>
          </w:cols>
          <w:pgMar w:left="320" w:top="71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Italian law, the charter documents consist of articles of association and bylaws. An amendment to these documents requires the approval of the extraordinary shareholders’ meeting.</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perspective, according to Italian law, resolutions at an extraordinary shareholders’ meeting are adopted, on first call, by more than half of the share capital, on second call, by a majority of at least two-thirds of the holders of shares present or represented at such meeting, provided that a quorum of more than one-third of the issued shares is attending. In addition, certain matters (such as a change in business purpose or corporate form of the company, demergers, mergers, the transfer of its registered office outside Italy, its liquidation prior to the term set forth in its bylaws, the extension of the term, the revocation of liquidation and the issuance of special categories of shares) are approved by the extraordinary shareholders’ meeting pursuant to the quora indicated above.</w:t>
      </w:r>
    </w:p>
    <w:p>
      <w:pPr>
        <w:spacing w:after="0" w:line="19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Should our Company be considered an Open Company, according to Italian law, such resolutions are adopted, on first call, by a majority of at least two-thirds of the holders of shares present or represented at such meeting, provided that a quorum of at least half of the share capital is attending; on second call, by a majority of at least two-thirds of the holders of shares present or represented at such meeting, provided that a quorum of more than one-third of the share capital is attending; on third and subsequent calls, by a majority of at least two-thirds of the holders of shares present or represented at such meeting, provided that a quorum of at least one-fifth of the share capital is attending.</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the shares has the right to withdraw from the company.</w:t>
      </w:r>
    </w:p>
    <w:p>
      <w:pPr>
        <w:spacing w:after="0" w:line="192" w:lineRule="exact"/>
        <w:rPr>
          <w:sz w:val="20"/>
          <w:szCs w:val="20"/>
          <w:color w:val="auto"/>
        </w:rPr>
      </w:pPr>
    </w:p>
    <w:p>
      <w:pPr>
        <w:sectPr>
          <w:pgSz w:w="11900" w:h="16838" w:orient="portrait"/>
          <w:cols w:equalWidth="0" w:num="2">
            <w:col w:w="5380" w:space="36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our company and the report of our statutory auditors and accounting firm on our financial statements during the fifteen days prior to the ordinary shareholders’ meeting to approve those financial statements. The report remains on file at our offices and may be reviewed after the annual shareholders’ meeting. The report is also filed with the Companies’ Register of Milan and made publicly available. Moreover, any shareholder is entitled to examine the ledger of the minutes of the shareholders’ meeting, at any time.</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since our Company is not a Private Company, the ownership of the participations to our corporate capital may vary on a daily basis and related transactions are electronically registered by intermediaries (banks and financial institutions) on specific accounting records. So, for each financial instruments account holder, the intermediary shall record in the register managed by the intermediary the financial instruments held, their transfer, the rights exercised and any restrictions, if any. After such registration, the account holder (basically the shareholder) shall legitimately have full and exclusive exercise of rights pertaining to the financial instruments registered on that account (such as voting, economic, administrative rights etc.). The entitlement to exercise such rights is then proven by the exhibition of certifications or communications to the issuer made by the intermediaries, pursuant to their own accounting records, in favor of the subject entitled to the right.</w:t>
      </w:r>
    </w:p>
    <w:p>
      <w:pPr>
        <w:spacing w:after="0" w:line="180"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40"/>
          </w:cols>
          <w:pgMar w:left="320" w:top="711" w:right="33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our payment of any annual dividend must be proposed by our board of directors to the shareholders and is subject to the approval of our shareholders at the annual ordinary shareholders’ meeting. Before dividends may be paid out of our profits in any year, we must allocate an amount equal to 5% of the net profit to our legal reserve until such reserve is at least equal to 20% of our corporate capital. If our capital is reduced as a result of accumulated losses, we may not pay dividends until the capital is reconstituted or reduced by the amount of such losses. We may distribute reserves derived from available earnings retained from prior years, provided that after such payment we will have a legal reserve at least equal to the legally required minimum of 20% of the capital. We may not approve or pay dividends until this minimum (i.e., 20% of the capital) is met. If the minimum is met, the board of directors could propose the issuance of a dividend and the shareholders’ resolution might approve that issuance. The shareholders’ resolution will specify the manner and the date of dividend payment. Any dividends which shareholders do not collect within five years of the date on which they become payable will be forfeited by those shareholders and the money will return to us. The board of directors may not approve interim dividends at times between our annual ordinary shareholders’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60"/>
          </w:cols>
          <w:pgMar w:left="320" w:top="711" w:right="33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Italian law, we are permitted to purchase our outstanding shares, subject to certain conditions and limitations. We may only purchase the shares out of profits available for dividends or out of distributable reserves, in each case as appearing on the latest shareholders-approved financial statements. Further, we may only repurchase fully paid-in shares. Such purchases and the conditions thereto must be authorized by shareholder vote at an ordinary shareholders’ meeting and the authorization may be issued for a period not to exceed eighteen (18) months. The aggregate purchase price of such shares may not exceed the earnings reserve specifically approved by shareholders. Shares held in violation of the above conditions and limitations must be sold within one year of the date of purchase; in lack, they must be cancelled and the corporate capital must be reduced accordingly. Similar limitations apply with respect to purchases of the Company’s shares by its subsidiaries.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the issuance of any shares, ordinary or otherwise, requires an amendment to our bylaws to increase our capital, which must be recommended to our shareholders by our board of directors and approved by a vote of our shareholders at an extraordinary meeting of the shareholders. Shares so issued can be placed by the board of directors through delegation of powers resolved upon by the extraordinary shareholders’ meeting. Once our shareholders have authorized the issuance of securities and the same have been subscribed, those securities must be paid for before the newly issued shares may be purchased. The board would also need to recommend, and the shareholders would need to approve by vote at the extraordinary meeting, specific terms of the securities.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shareholders’ resolution has been, also partially, executed. Finally, once our shareholders authorize a capital increase, all those authorized shares that have been subscribed must be paid-up entirely before a new capital increase may be executed.</w:t>
      </w:r>
    </w:p>
    <w:p>
      <w:pPr>
        <w:spacing w:after="0" w:line="200" w:lineRule="exact"/>
        <w:rPr>
          <w:sz w:val="20"/>
          <w:szCs w:val="20"/>
          <w:color w:val="auto"/>
        </w:rPr>
      </w:pPr>
    </w:p>
    <w:p>
      <w:pPr>
        <w:spacing w:after="0" w:line="2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By means of shareholders’ extraordinary resolution, we can also increase our corporate capital by allocating to capital the reserves and other funds registered in our financial statements. In this case, the newly issued shares must have the same characteristics as those previously issued, and they must be placed to the shareholders proportionally to their shareholdings in the company.</w:t>
      </w:r>
    </w:p>
    <w:p>
      <w:pPr>
        <w:spacing w:after="0" w:line="200"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Italian law, shareholders and holders of convertible debentures are entitled to subscribe for issuance of ordinary shares or convertible debentures in proportion to their holdings at the time of authorization of the capital increase for those issuances, except in the case of contributions in kind. Those who exercise such option right, provided they make such request simultaneously, have a pre-emption right on the purchase of shares and bonds convertible into shares that have not been subscribed. The option rights may be excluded or limited by a shareholders’ resolution at an extraordinary meeting of the shareholders, if such exclusion or limitation is in the interest of our company, or if the shares are to be paid by means of contributions in kind. Bylaws of Public Companies and of companies with stocks traded in multilateral trading systems may also exclude the option right within the limits of ten per cent of the pre-existing share capital, provided that the issue price corresponds to the market value of the shares and this is confirmed in a specific report issued by an auditor or an auditing company.</w:t>
      </w:r>
    </w:p>
    <w:p>
      <w:pPr>
        <w:spacing w:after="0" w:line="20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share capital with exclusion or limitation of option rights must be illustrated by the directors with a specific report which sets out the reasons for the exclusion or limitation of the option right, or, if the exclusion derives from a contribution in kind, the reasons for such contribution in kind, and in any case the criteria adopted for determining the issue price. The report must be communicated by the directors to the board of statutory auditors and to the person appointed to audit the accounts at least thirty days prior to the date set for the shareholders’ meeting. Within fifteen days, the board of statutory auditors must express its opinion on the fairness of the issue price of the shares. The opinion of the board of statutory auditors and, only in the case of contribution in kind, the sworn report of the expert appointed by the Court or the documentation provided by Italian law, must remain deposited at the company’s registered office during the fifteen days prior to the shareholders’ meeting and until the latter has passed a resolution. Such terms may be waived by unanimous consent of the shareholders. The resolution shall determine the issue price of the shares on the basis of the value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460"/>
          </w:cols>
          <w:pgMar w:left="320" w:top="711" w:right="379" w:bottom="1440" w:gutter="0" w:footer="0" w:header="0"/>
          <w:type w:val="continuous"/>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right="80"/>
        <w:spacing w:after="0" w:line="287"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we allocate 5% of our net income each year until it equals at least 20% of our corporate capital. One of the other reserves that we maintain on our balance sheet is a “share premium reserve,” which reflects the amount paid for our ordinary shares in excess of the amount of such ordinary shares allocated to our capital. We may not voluntarily reduce our capital or distribute our reserves (such as by declaring dividends) until our outstanding debt securities are repaid in full. In the event the aggregate of the capital and reserves, following such reduction of capital and/or distribution of reserves, is less than half of the outstanding amount of the debt securities. If our equity is reduced by losses or otherwise, such that the amount of the outstanding debt securities is more than twice the amount of our equity, we cannot distribute profits to our shareholders until the ratio between the amount of our debt securities and our capital and reserves is restored. Some legal scholars are of the opinion that the ratio must be restored by a recapitalization of our company. If our equity is reduced, we could recapitalize by means of issuing new shares by or having our current shareholders contribute additional capital to our company, although there can be no assurance that we would be able to find purchasers for new shares or that any of our current shareholders would be willing to contribute additional capital. These provisions regarding the ratio of debt securities to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60"/>
          </w:cols>
          <w:pgMar w:left="320" w:top="711" w:right="33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Italian law requires us to reduce our shareholders’ equity in certain situations. Our shareholders’ equity has three main components: capital, legal reserves and other shareholders’ equity (such as any premium paid for the shares over the par value and any retained earnings). We first apply our losses from operations against our shareholders’ equity other than legal reserves and capital. If additional losses remain and, after the legal reserves, our corporate capital is reduced by more than one-third as a result of losses, our board of directors must call a shareholders’ meeting as soon as possible. The shareholders, having received an updated report on the company financial situation with the board of statutory auditors’ opinion, should take appropriate measures, which may include, </w:t>
      </w:r>
      <w:r>
        <w:rPr>
          <w:rFonts w:ascii="Arial" w:cs="Arial" w:eastAsia="Arial" w:hAnsi="Arial"/>
          <w:sz w:val="16"/>
          <w:szCs w:val="16"/>
          <w:i w:val="1"/>
          <w:iCs w:val="1"/>
          <w:color w:val="auto"/>
        </w:rPr>
        <w:t>inter alia</w:t>
      </w:r>
      <w:r>
        <w:rPr>
          <w:rFonts w:ascii="Arial" w:cs="Arial" w:eastAsia="Arial" w:hAnsi="Arial"/>
          <w:sz w:val="16"/>
          <w:szCs w:val="16"/>
          <w:color w:val="auto"/>
        </w:rPr>
        <w:t>, reducing the legal reserves and capital by the amount of the remaining losses, or carrying the losses forward up to one year. If the shareholders vote to carry the losses forward up to one year, and the losses are still more than one-third of the amount of the capital at the end of that year, then we must reduce our capital by the amount of the losses suffered. However, as an S.p.A., we must maintain capital of at least €50,000. If the amount of the losses would reduce our corporate capital to less than €50,000, then:</w:t>
      </w:r>
    </w:p>
    <w:p>
      <w:pPr>
        <w:spacing w:after="0" w:line="198" w:lineRule="exact"/>
        <w:rPr>
          <w:sz w:val="20"/>
          <w:szCs w:val="20"/>
          <w:color w:val="auto"/>
        </w:rPr>
      </w:pPr>
    </w:p>
    <w:p>
      <w:pPr>
        <w:ind w:left="400" w:right="60" w:hanging="242"/>
        <w:spacing w:after="0" w:line="296" w:lineRule="auto"/>
        <w:tabs>
          <w:tab w:leader="none" w:pos="4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40" w:hanging="242"/>
        <w:spacing w:after="0" w:line="279" w:lineRule="auto"/>
        <w:tabs>
          <w:tab w:leader="none" w:pos="40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our shareholders would need to convert our company to an “S.r.l.”, a private limited liability company, which has a lower capital requirement of €10,000. Such arrangement would, however, prevent the Company to remain listed on Nasdaq; or</w:t>
      </w:r>
    </w:p>
    <w:p>
      <w:pPr>
        <w:spacing w:after="0" w:line="198" w:lineRule="exact"/>
        <w:rPr>
          <w:rFonts w:ascii="Arial" w:cs="Arial" w:eastAsia="Arial" w:hAnsi="Arial"/>
          <w:sz w:val="17"/>
          <w:szCs w:val="17"/>
          <w:color w:val="auto"/>
        </w:rPr>
      </w:pPr>
    </w:p>
    <w:p>
      <w:pPr>
        <w:ind w:left="400" w:right="300" w:hanging="242"/>
        <w:spacing w:after="0" w:line="257" w:lineRule="auto"/>
        <w:tabs>
          <w:tab w:leader="none" w:pos="4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480"/>
          </w:cols>
          <w:pgMar w:left="320" w:top="711" w:right="35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88" w:name="page189"/>
    <w:bookmarkEnd w:id="188"/>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jc w:val="both"/>
        <w:ind w:right="200" w:firstLine="8"/>
        <w:spacing w:after="0" w:line="292" w:lineRule="auto"/>
        <w:tabs>
          <w:tab w:leader="none" w:pos="2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 million); (b) 6%, if the beneficiary (or donee) is a brother or sister (such rate only applying on the net asset value exceeding, for each person, €100,000);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89" w:name="page190"/>
    <w:bookmarkEnd w:id="189"/>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0" w:name="page191"/>
    <w:bookmarkEnd w:id="190"/>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1" w:name="page192"/>
    <w:bookmarkEnd w:id="191"/>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 will be included in the income of U.S. Holders at a U.S. dollar amount based upon the spot rate of exchange in effect on the date the dividend is includible in the income of the U.S. Holder, and U.S. Holders will have a tax basis in such EUR for U.S. federal income tax purposes equal to such U.S. dollar value. If the U.S. Holder subsequently converts the EUR into U.S. dollars or otherwise disposes of it, any subsequent gain or loss in respect of such EUR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9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have not made the analysis necessary to determine whether or not we are currently a PFIC or whether we have ever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2" w:name="page193"/>
    <w:bookmarkEnd w:id="192"/>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Canaccord Genuity LLC is acting as representative of each of the underwriters named below. We have entered into an underwriting agreement dated ,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9%)</w:t>
            </w: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discounts and commissions (reserved share program, 6.5%)</w:t>
            </w:r>
          </w:p>
        </w:tc>
        <w:tc>
          <w:tcPr>
            <w:tcW w:w="32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2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187</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95" w:name="page196"/>
    <w:bookmarkEnd w:id="195"/>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Upon the closing of this offering, we have agreed to issue to Canaccord Genuity LLC and Roth Capital Partners LLC warrants, or the Underwriter Warrants, to purchase a number of ADSs equal to 4% of the total number of ADSs sold in this public offering. The Underwriter Warrants will be exercisable at a per share exercise price equal to 125% of the public offering price per ADS sold in this offering. The Underwriter Warrants are exercisable at any time and from time to time, in whole or in part, during the four and one-half year period commencing six months from the deemed effective date of the registration statement related to this offering. The Underwriter Warrants also provide for one demand registration right of the ADSs underlying the Underwriter Warrants, and unlimited “piggyback” registration rights with respect to the registration of the ADSs underlying the Underwriter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Underwriter Warrants and the ADSs underlying the Underwriter Warrants have been deemed compensation by the Financial Industry Regulatory Authority, or FINRA, and are therefore subject to a 180-day lock-up pursuant to Rule 5110(g)(1) of FINRA. The representative, or permitted assignees under such rule, may not sell, transfer, assign, pledge, or hypothecate the Underwriter Warrants or the securities underlying the Underwriter Warrants, nor will the representative engage in any hedging, short sale, derivative, put, or call transaction that would result in the effective economic disposition of the Underwriter Warrants or the underlying ADSs for a period of 180 days from the deemed effective date of the registration statement. Additionally, the Underwriter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 Warrants will provide for adjustment in the number and price of the Underwriter Warrants and the ADSs underlying such Underwriter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56" w:lineRule="exact"/>
        <w:rPr>
          <w:sz w:val="20"/>
          <w:szCs w:val="20"/>
          <w:color w:val="auto"/>
        </w:rPr>
      </w:pPr>
    </w:p>
    <w:p>
      <w:pPr>
        <w:ind w:left="660"/>
        <w:spacing w:after="0"/>
        <w:tabs>
          <w:tab w:leader="none" w:pos="5200" w:val="left"/>
          <w:tab w:leader="none" w:pos="8100" w:val="left"/>
        </w:tabs>
        <w:rPr>
          <w:sz w:val="20"/>
          <w:szCs w:val="20"/>
          <w:color w:val="auto"/>
        </w:rPr>
      </w:pPr>
      <w:r>
        <w:rPr>
          <w:rFonts w:ascii="Arial" w:cs="Arial" w:eastAsia="Arial" w:hAnsi="Arial"/>
          <w:sz w:val="18"/>
          <w:szCs w:val="18"/>
          <w:color w:val="auto"/>
        </w:rPr>
        <w:t>At our request, the underwriter has reserved up to</w:t>
      </w:r>
      <w:r>
        <w:rPr>
          <w:sz w:val="20"/>
          <w:szCs w:val="20"/>
          <w:color w:val="auto"/>
        </w:rPr>
        <w:tab/>
      </w:r>
      <w:r>
        <w:rPr>
          <w:rFonts w:ascii="Arial" w:cs="Arial" w:eastAsia="Arial" w:hAnsi="Arial"/>
          <w:sz w:val="18"/>
          <w:szCs w:val="18"/>
          <w:color w:val="auto"/>
        </w:rPr>
        <w:t>ordinary shares, representing</w:t>
      </w:r>
      <w:r>
        <w:rPr>
          <w:sz w:val="20"/>
          <w:szCs w:val="20"/>
          <w:color w:val="auto"/>
        </w:rPr>
        <w:tab/>
      </w:r>
      <w:r>
        <w:rPr>
          <w:rFonts w:ascii="Arial" w:cs="Arial" w:eastAsia="Arial" w:hAnsi="Arial"/>
          <w:sz w:val="16"/>
          <w:szCs w:val="16"/>
          <w:color w:val="auto"/>
        </w:rPr>
        <w:t>% of the ADSs offered by this prospectus,</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sale to existing shareholders of the Company (“Reserved Share Investors”). All of the persons purchasing such ordinary shares must commit to purchase no later than the close of business on the day following the date of this prospectus. The number of ADSs available for sale to the general public will be reduced to the extent these persons purchase the reserved ordinary shares.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 prospectus, less an underwriting discount of 6.5%.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Private Placement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European retail or family office investors introduced by us (“President’s List Investors”) have agreed to purchase an aggregate of</w:t>
      </w:r>
    </w:p>
    <w:p>
      <w:pPr>
        <w:spacing w:after="0" w:line="35" w:lineRule="exact"/>
        <w:rPr>
          <w:sz w:val="20"/>
          <w:szCs w:val="20"/>
          <w:color w:val="auto"/>
        </w:rPr>
      </w:pPr>
    </w:p>
    <w:p>
      <w:pPr>
        <w:ind w:firstLine="855"/>
        <w:spacing w:after="0" w:line="277" w:lineRule="auto"/>
        <w:rPr>
          <w:sz w:val="20"/>
          <w:szCs w:val="20"/>
          <w:color w:val="auto"/>
        </w:rPr>
      </w:pPr>
      <w:r>
        <w:rPr>
          <w:rFonts w:ascii="Arial" w:cs="Arial" w:eastAsia="Arial" w:hAnsi="Arial"/>
          <w:sz w:val="17"/>
          <w:szCs w:val="17"/>
          <w:color w:val="auto"/>
        </w:rPr>
        <w:t>ADSs in a concurrent private placement, at a price per ADS equal to the purchase price to the public in this offering. The underwriters for this offering will serve as placement agents for the concurrent private placement and will receive a placement agent fee equal to 2.0% of the total purchase price of the private placement shares. The closing of this offering is not conditioned upon the closing of the concurrent private placement.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of the ADSs or any securities that are convertible into or exercisable or exchangeable for the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controlled affiliates to abide by the restrictions of the lock-up agreement. In addition, each of our directors and executive officers and each beneficial owner of 10% or more of the ADSs or ordinary shares will abide by similar 180-day lock-up agreement with respect to the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shares of common stock purchased in this offering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Prior to this offering, there has not been a public market for our securities in the U.S. and the public offering price for our ordinary shares and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plan to apply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Area—Belgium, Germany, Luxembourg and Netherlands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in this document has been prepared on the basis that all offers of securities will be made pursuant to an exemption under the Directive 2003/71/EC (“Prospectus Directive”), as implemented in Member States of the EEA (each, a “Relevant Member State”), from the requirement to produce a prospectus for offers of securities.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97" w:lineRule="exact"/>
        <w:rPr>
          <w:sz w:val="20"/>
          <w:szCs w:val="20"/>
          <w:color w:val="auto"/>
        </w:rPr>
      </w:pPr>
    </w:p>
    <w:p>
      <w:pPr>
        <w:ind w:left="66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5" w:right="399" w:bottom="1440" w:gutter="0" w:footer="0" w:header="0"/>
        </w:sectPr>
      </w:pPr>
    </w:p>
    <w:bookmarkStart w:id="199" w:name="page200"/>
    <w:bookmarkEnd w:id="199"/>
    <w:p>
      <w:pPr>
        <w:ind w:left="660" w:right="4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29" w:lineRule="exact"/>
        <w:rPr>
          <w:rFonts w:ascii="Arial" w:cs="Arial" w:eastAsia="Arial" w:hAnsi="Arial"/>
          <w:sz w:val="18"/>
          <w:szCs w:val="18"/>
          <w:color w:val="auto"/>
        </w:rPr>
      </w:pPr>
    </w:p>
    <w:p>
      <w:pPr>
        <w:ind w:left="660" w:right="64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21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Italy</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offering of the securities in the Republic of Italy has not been authorized by the Italian Securities Regulator (</w:t>
      </w:r>
      <w:r>
        <w:rPr>
          <w:rFonts w:ascii="Arial" w:cs="Arial" w:eastAsia="Arial" w:hAnsi="Arial"/>
          <w:sz w:val="18"/>
          <w:szCs w:val="18"/>
          <w:i w:val="1"/>
          <w:iCs w:val="1"/>
          <w:color w:val="auto"/>
        </w:rPr>
        <w:t>Commissione Nazionale per le</w:t>
      </w:r>
      <w:r>
        <w:rPr>
          <w:rFonts w:ascii="Arial" w:cs="Arial" w:eastAsia="Arial" w:hAnsi="Arial"/>
          <w:sz w:val="18"/>
          <w:szCs w:val="18"/>
          <w:color w:val="auto"/>
        </w:rPr>
        <w:t xml:space="preserve"> </w:t>
      </w:r>
      <w:r>
        <w:rPr>
          <w:rFonts w:ascii="Arial" w:cs="Arial" w:eastAsia="Arial" w:hAnsi="Arial"/>
          <w:sz w:val="18"/>
          <w:szCs w:val="18"/>
          <w:i w:val="1"/>
          <w:iCs w:val="1"/>
          <w:color w:val="auto"/>
        </w:rPr>
        <w:t>Società e la Borsa</w:t>
      </w:r>
      <w:r>
        <w:rPr>
          <w:rFonts w:ascii="Arial" w:cs="Arial" w:eastAsia="Arial" w:hAnsi="Arial"/>
          <w:sz w:val="18"/>
          <w:szCs w:val="18"/>
          <w:color w:val="auto"/>
        </w:rPr>
        <w:t>, “</w:t>
      </w:r>
      <w:r>
        <w:rPr>
          <w:rFonts w:ascii="Arial" w:cs="Arial" w:eastAsia="Arial" w:hAnsi="Arial"/>
          <w:sz w:val="18"/>
          <w:szCs w:val="18"/>
          <w:i w:val="1"/>
          <w:iCs w:val="1"/>
          <w:color w:val="auto"/>
        </w:rPr>
        <w:t>CONSOB</w:t>
      </w:r>
      <w:r>
        <w:rPr>
          <w:rFonts w:ascii="Arial" w:cs="Arial" w:eastAsia="Arial" w:hAnsi="Arial"/>
          <w:sz w:val="18"/>
          <w:szCs w:val="18"/>
          <w:color w:val="auto"/>
        </w:rPr>
        <w:t>”) pursuant to the Italian securities legislation and, accordingly, no offering material relating to the securities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in Italy and such securities may not be offered or sold in Italy, except:</w:t>
      </w:r>
    </w:p>
    <w:p>
      <w:pPr>
        <w:spacing w:after="0" w:line="211" w:lineRule="exact"/>
        <w:rPr>
          <w:sz w:val="20"/>
          <w:szCs w:val="20"/>
          <w:color w:val="auto"/>
        </w:rPr>
      </w:pPr>
    </w:p>
    <w:p>
      <w:pPr>
        <w:ind w:left="660" w:right="80" w:hanging="328"/>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Italian qualified investors, as defined in Article 100 of Legislative Decree no.58 of 24 February 1998 (“Decree No. 58”) by reference to Article 34-ter of CONSOB Regulation no. 11971 of 14 May 1999 (“Regulation no. 1197l”) as amended (“Qualified Investors”);</w:t>
      </w:r>
    </w:p>
    <w:p>
      <w:pPr>
        <w:spacing w:after="0" w:line="105"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other circumstances that are exempt from the rules on public offer pursuant to Article 100 of Decree No. 58 and Article 34-ter of Regulation No. 11971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other circumstances that are exempt from the rules on European prospectus pursuant to Article 1 of EU Regulation No. 2017/1129.</w:t>
      </w:r>
    </w:p>
    <w:p>
      <w:pPr>
        <w:spacing w:after="0" w:line="26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Any offer, sale or delivery of the securities or distribution of any offer document relating to the securities in Italy under the paragraphs above must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38" w:lineRule="exact"/>
        <w:rPr>
          <w:sz w:val="20"/>
          <w:szCs w:val="20"/>
          <w:color w:val="auto"/>
        </w:rPr>
      </w:pPr>
    </w:p>
    <w:p>
      <w:pPr>
        <w:ind w:left="660" w:right="160" w:hanging="328"/>
        <w:spacing w:after="0" w:line="263"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compliance with any applicable laws, regulations or requirements imposed by CONSOB, the Bank of Italy and/or any other Italian authorities.</w:t>
      </w:r>
    </w:p>
    <w:p>
      <w:pPr>
        <w:spacing w:after="0" w:line="2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Sweden</w:t>
      </w:r>
    </w:p>
    <w:p>
      <w:pPr>
        <w:spacing w:after="0" w:line="25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686"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03" w:name="page204"/>
    <w:bookmarkEnd w:id="203"/>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gridSpan w:val="2"/>
          </w:tcPr>
          <w:p>
            <w:pPr>
              <w:jc w:val="center"/>
              <w:ind w:right="135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gridSpan w:val="2"/>
          </w:tcPr>
          <w:p>
            <w:pPr>
              <w:jc w:val="center"/>
              <w:ind w:right="133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06">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0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9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Statement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0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9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Balance Sheet</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04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Statement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0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96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Statement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0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66"/>
        </w:trPr>
        <w:tc>
          <w:tcPr>
            <w:tcW w:w="10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05" w:name="page206"/>
    <w:bookmarkEnd w:id="20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Quotaholders of Genenta Science S.r.l.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audited the accompanying balance sheet of Genenta Science S.r.l. (the “Company”) as of December 31, 2019, and the related statements of operations and comprehensive loss, changes in quotaholders’ equity, and cash flows for year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ended December 31, 2019, in conformity with accounting principles generally accepted in the 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06" w:name="page207"/>
    <w:bookmarkEnd w:id="206"/>
    <w:p>
      <w:pPr>
        <w:jc w:val="center"/>
        <w:ind w:left="2760"/>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per share - basic and diluted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 formal weighted average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7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0840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(in Euros)</w:t>
      </w:r>
    </w:p>
    <w:p>
      <w:pPr>
        <w:spacing w:after="0" w:line="201" w:lineRule="exact"/>
        <w:rPr>
          <w:sz w:val="20"/>
          <w:szCs w:val="20"/>
          <w:color w:val="auto"/>
        </w:rPr>
      </w:pPr>
    </w:p>
    <w:p>
      <w:pPr>
        <w:ind w:left="1200" w:hanging="1192"/>
        <w:spacing w:after="0"/>
        <w:tabs>
          <w:tab w:leader="none" w:pos="12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3,702,982</w:t>
      </w:r>
    </w:p>
    <w:p>
      <w:pPr>
        <w:spacing w:after="0" w:line="34"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18"/>
          <w:szCs w:val="18"/>
          <w:color w:val="auto"/>
        </w:rPr>
        <w:t>921,520</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4,624,502</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(4,624,502)</w:t>
      </w:r>
    </w:p>
    <w:p>
      <w:pPr>
        <w:spacing w:after="0" w:line="200" w:lineRule="exact"/>
        <w:rPr>
          <w:sz w:val="20"/>
          <w:szCs w:val="20"/>
          <w:color w:val="auto"/>
        </w:rPr>
      </w:pPr>
    </w:p>
    <w:p>
      <w:pPr>
        <w:spacing w:after="0" w:line="24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36,331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(9,552)</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26,779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(4,597,723)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(4,597,723)</w:t>
      </w: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40" w:hanging="1132"/>
        <w:spacing w:after="0"/>
        <w:tabs>
          <w:tab w:leader="none" w:pos="11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(4,597,723)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084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2084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2084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ectPr>
          <w:pgSz w:w="11900" w:h="16838" w:orient="portrait"/>
          <w:cols w:equalWidth="0" w:num="2">
            <w:col w:w="8500" w:space="720"/>
            <w:col w:w="1980"/>
          </w:cols>
          <w:pgMar w:left="320" w:top="692" w:right="37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At December 31,</w:t>
            </w:r>
          </w:p>
        </w:tc>
      </w:tr>
      <w:tr>
        <w:trPr>
          <w:trHeight w:val="178"/>
        </w:trPr>
        <w:tc>
          <w:tcPr>
            <w:tcW w:w="6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r>
      <w:tr>
        <w:trPr>
          <w:trHeight w:val="148"/>
        </w:trPr>
        <w:tc>
          <w:tcPr>
            <w:tcW w:w="6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(in Euros)</w:t>
            </w: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30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36"/>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assets</w:t>
            </w:r>
          </w:p>
        </w:tc>
        <w:tc>
          <w:tcPr>
            <w:tcW w:w="30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00" w:type="dxa"/>
            <w:vAlign w:val="bottom"/>
          </w:tcPr>
          <w:p>
            <w:pPr>
              <w:spacing w:after="0" w:line="203" w:lineRule="exact"/>
              <w:rPr>
                <w:sz w:val="20"/>
                <w:szCs w:val="20"/>
                <w:color w:val="auto"/>
              </w:rPr>
            </w:pPr>
            <w:r>
              <w:rPr>
                <w:rFonts w:ascii="Arial" w:cs="Arial" w:eastAsia="Arial" w:hAnsi="Arial"/>
                <w:sz w:val="18"/>
                <w:szCs w:val="18"/>
                <w:i w:val="1"/>
                <w:iCs w:val="1"/>
                <w:color w:val="auto"/>
              </w:rPr>
              <w:t>Non-current assets</w:t>
            </w:r>
          </w:p>
        </w:tc>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30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0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4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liabilites</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30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30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12)</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(15,898,461)</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30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quotaholders’ equity</w:t>
            </w:r>
          </w:p>
        </w:tc>
        <w:tc>
          <w:tcPr>
            <w:tcW w:w="3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Euro)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2019</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Capital increase, net of issuance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ind w:right="2880"/>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 capital</w:t>
            </w:r>
          </w:p>
        </w:tc>
        <w:tc>
          <w:tcPr>
            <w:tcW w:w="18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4"/>
                <w:szCs w:val="14"/>
                <w:color w:val="auto"/>
              </w:rPr>
            </w:pPr>
          </w:p>
        </w:tc>
        <w:tc>
          <w:tcPr>
            <w:tcW w:w="140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0" w:type="dxa"/>
            <w:vAlign w:val="bottom"/>
            <w:gridSpan w:val="2"/>
          </w:tcPr>
          <w:p>
            <w:pPr>
              <w:jc w:val="right"/>
              <w:ind w:right="66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19,202,381</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(11,300,738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7,930,822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180"/>
              <w:spacing w:after="0" w:line="201" w:lineRule="exact"/>
              <w:rPr>
                <w:sz w:val="20"/>
                <w:szCs w:val="20"/>
                <w:color w:val="auto"/>
              </w:rPr>
            </w:pPr>
            <w:r>
              <w:rPr>
                <w:rFonts w:ascii="Arial" w:cs="Arial" w:eastAsia="Arial" w:hAnsi="Arial"/>
                <w:sz w:val="18"/>
                <w:szCs w:val="18"/>
                <w:color w:val="auto"/>
                <w:w w:val="86"/>
              </w:rPr>
              <w:t>14,761,332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14,768,202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749,512</w:t>
            </w:r>
          </w:p>
        </w:tc>
        <w:tc>
          <w:tcPr>
            <w:tcW w:w="14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749,512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(4,597,723)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(4,597,723)</w:t>
            </w: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34,713,225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(15,898,461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18,850,813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-753745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-453390</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-162560</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center"/>
        <w:ind w:right="288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7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60" w:space="180"/>
            <w:col w:w="8260"/>
          </w:cols>
          <w:pgMar w:left="320" w:top="692" w:right="37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For the Year Ended</w:t>
            </w:r>
          </w:p>
        </w:tc>
      </w:tr>
      <w:tr>
        <w:trPr>
          <w:trHeight w:val="162"/>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r>
      <w:tr>
        <w:trPr>
          <w:trHeight w:val="178"/>
        </w:trPr>
        <w:tc>
          <w:tcPr>
            <w:tcW w:w="9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9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1"/>
              </w:rPr>
              <w:t>(in Euros)</w:t>
            </w:r>
          </w:p>
        </w:tc>
        <w:tc>
          <w:tcPr>
            <w:tcW w:w="100" w:type="dxa"/>
            <w:vAlign w:val="bottom"/>
            <w:gridSpan w:val="2"/>
          </w:tcPr>
          <w:p>
            <w:pPr>
              <w:spacing w:after="0"/>
              <w:rPr>
                <w:sz w:val="12"/>
                <w:szCs w:val="12"/>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(4,597,723)</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Retirement benefit obligation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4,867</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749,512</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151,091</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(588,681)</w:t>
            </w: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190,088</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(217,670)</w:t>
            </w: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133,797</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1,666,295</w:t>
            </w:r>
          </w:p>
        </w:tc>
        <w:tc>
          <w:tcPr>
            <w:tcW w:w="80" w:type="dxa"/>
            <w:vAlign w:val="bottom"/>
          </w:tcPr>
          <w:p>
            <w:pPr>
              <w:spacing w:after="0"/>
              <w:rPr>
                <w:sz w:val="18"/>
                <w:szCs w:val="18"/>
                <w:color w:val="auto"/>
              </w:rPr>
            </w:pPr>
          </w:p>
        </w:tc>
      </w:tr>
      <w:tr>
        <w:trPr>
          <w:trHeight w:val="249"/>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18,237</w:t>
            </w:r>
          </w:p>
        </w:tc>
        <w:tc>
          <w:tcPr>
            <w:tcW w:w="80" w:type="dxa"/>
            <w:vAlign w:val="bottom"/>
            <w:shd w:val="clear" w:color="auto" w:fill="CCEEFF"/>
          </w:tcPr>
          <w:p>
            <w:pPr>
              <w:spacing w:after="0"/>
              <w:rPr>
                <w:sz w:val="21"/>
                <w:szCs w:val="21"/>
                <w:color w:val="auto"/>
              </w:rPr>
            </w:pPr>
          </w:p>
        </w:tc>
      </w:tr>
      <w:tr>
        <w:trPr>
          <w:trHeight w:val="203"/>
        </w:trPr>
        <w:tc>
          <w:tcPr>
            <w:tcW w:w="9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9220" w:type="dxa"/>
            <w:vAlign w:val="bottom"/>
          </w:tcPr>
          <w:p>
            <w:pPr>
              <w:ind w:left="180"/>
              <w:spacing w:after="0"/>
              <w:rPr>
                <w:sz w:val="20"/>
                <w:szCs w:val="20"/>
                <w:color w:val="auto"/>
              </w:rPr>
            </w:pPr>
            <w:r>
              <w:rPr>
                <w:rFonts w:ascii="Arial" w:cs="Arial" w:eastAsia="Arial" w:hAnsi="Arial"/>
                <w:sz w:val="18"/>
                <w:szCs w:val="18"/>
                <w:color w:val="auto"/>
              </w:rPr>
              <w:t>Proceeds from capital increase, net of issuance costs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14,768,202</w:t>
            </w:r>
          </w:p>
        </w:tc>
        <w:tc>
          <w:tcPr>
            <w:tcW w:w="80" w:type="dxa"/>
            <w:vAlign w:val="bottom"/>
          </w:tcPr>
          <w:p>
            <w:pPr>
              <w:spacing w:after="0"/>
              <w:rPr>
                <w:sz w:val="20"/>
                <w:szCs w:val="20"/>
                <w:color w:val="auto"/>
              </w:rPr>
            </w:pPr>
          </w:p>
        </w:tc>
      </w:tr>
      <w:tr>
        <w:trPr>
          <w:trHeight w:val="236"/>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22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6"/>
        </w:trPr>
        <w:tc>
          <w:tcPr>
            <w:tcW w:w="9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0" w:name="page211"/>
    <w:bookmarkEnd w:id="210"/>
    <w:p>
      <w:pPr>
        <w:jc w:val="center"/>
        <w:ind w:right="-5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GBM indications in the United States.</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9. Quotaholders’ Equity.) The Company’s reporting currency is Euros.</w:t>
      </w:r>
    </w:p>
    <w:p>
      <w:pPr>
        <w:spacing w:after="0" w:line="21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has incurred recurring losses since its inception, including a net loss of €4,597,723 for the year ended December 31, 2019. In addition, as of December 31, 2019, the Company had an accumulated deficit of €15,898,461.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2019 of €20,141,379 will be more than sufficient to fund current planned operations and capital expenditure requirements for at least the next twelve months from the filing date of these financial statements. The Company’s cash and cash equivalents on hand as of December 31, 2020 was €15,465,243.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1" w:name="page212"/>
    <w:bookmarkEnd w:id="211"/>
    <w:p>
      <w:pPr>
        <w:ind w:right="40" w:firstLine="648"/>
        <w:spacing w:after="0" w:line="257" w:lineRule="auto"/>
        <w:rPr>
          <w:sz w:val="20"/>
          <w:szCs w:val="20"/>
          <w:color w:val="auto"/>
        </w:rPr>
      </w:pPr>
      <w:r>
        <w:rPr>
          <w:rFonts w:ascii="Arial" w:cs="Arial" w:eastAsia="Arial" w:hAnsi="Arial"/>
          <w:sz w:val="18"/>
          <w:szCs w:val="18"/>
          <w:color w:val="auto"/>
        </w:rPr>
        <w:t>The Company has primarily funded its operations with proceeds from several capital increases. The Company has primarily funded its operations with proceeds from several capital increases and at December 31, 2020, had €15,465,243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21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ectPr>
          <w:pgSz w:w="11900" w:h="16838" w:orient="portrait"/>
          <w:cols w:equalWidth="0" w:num="1">
            <w:col w:w="11220"/>
          </w:cols>
          <w:pgMar w:left="320" w:top="6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in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Cash in hand &amp; prepaid cards</w:t>
      </w:r>
    </w:p>
    <w:p>
      <w:pPr>
        <w:spacing w:after="0" w:line="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0015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0015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jc w:val="center"/>
        <w:ind w:right="1180"/>
        <w:spacing w:after="0"/>
        <w:rPr>
          <w:sz w:val="20"/>
          <w:szCs w:val="20"/>
          <w:color w:val="auto"/>
        </w:rPr>
      </w:pPr>
      <w:r>
        <w:rPr>
          <w:rFonts w:ascii="Arial" w:cs="Arial" w:eastAsia="Arial" w:hAnsi="Arial"/>
          <w:sz w:val="14"/>
          <w:szCs w:val="14"/>
          <w:b w:val="1"/>
          <w:bCs w:val="1"/>
          <w:color w:val="auto"/>
        </w:rPr>
        <w:t>(in Euros)</w:t>
      </w:r>
    </w:p>
    <w:p>
      <w:pPr>
        <w:spacing w:after="0" w:line="1" w:lineRule="exact"/>
        <w:rPr>
          <w:sz w:val="20"/>
          <w:szCs w:val="20"/>
          <w:color w:val="auto"/>
        </w:rPr>
      </w:pPr>
    </w:p>
    <w:p>
      <w:pPr>
        <w:ind w:left="1080" w:hanging="1078"/>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20,137,033</w:t>
      </w:r>
    </w:p>
    <w:p>
      <w:pPr>
        <w:spacing w:after="0" w:line="3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4,346</w:t>
      </w:r>
    </w:p>
    <w:p>
      <w:pPr>
        <w:spacing w:after="0" w:line="71" w:lineRule="exact"/>
        <w:rPr>
          <w:rFonts w:ascii="Arial" w:cs="Arial" w:eastAsia="Arial" w:hAnsi="Arial"/>
          <w:sz w:val="16"/>
          <w:szCs w:val="16"/>
          <w:color w:val="auto"/>
        </w:rPr>
      </w:pPr>
    </w:p>
    <w:p>
      <w:pPr>
        <w:ind w:left="1080" w:hanging="1078"/>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20,141,379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2001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080"/>
          </w:cols>
          <w:pgMar w:left="320" w:top="692" w:right="35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loss per share (“EPS”) is computed in accordance with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252" w:lineRule="exact"/>
        <w:rPr>
          <w:sz w:val="20"/>
          <w:szCs w:val="20"/>
          <w:color w:val="auto"/>
        </w:rPr>
      </w:pPr>
    </w:p>
    <w:p>
      <w:pPr>
        <w:jc w:val="both"/>
        <w:ind w:right="320" w:firstLine="648"/>
        <w:spacing w:after="0" w:line="301" w:lineRule="auto"/>
        <w:rPr>
          <w:sz w:val="20"/>
          <w:szCs w:val="20"/>
          <w:color w:val="auto"/>
        </w:rPr>
      </w:pPr>
      <w:r>
        <w:rPr>
          <w:rFonts w:ascii="Arial" w:cs="Arial" w:eastAsia="Arial" w:hAnsi="Arial"/>
          <w:sz w:val="16"/>
          <w:szCs w:val="16"/>
          <w:color w:val="auto"/>
        </w:rPr>
        <w:t>Pro forma net loss per share has not been presented at December 31, 2019. Pro forma basic and diluted net loss per share will be computed by dividing pro forma net loss by the weighted average number of common shares outstanding when the Company transitions to an S.p.A. in 2021 and the information presented is meaningful to a user of the financial statements. The Company has reported net losses since inception, the potential impact of outstanding options being exercised would be anti-dilutive, and therefore basic and diluted loss per share would be the same when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 ended December 31, 2019, foreign exchange gains and losses were insignificant.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52"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 in eligible research and development activities, regardless of the legal form and economic sector in which they operate, can benefit from a tax credit up to 50% of the increase of annual research and development expenses compared to the median expense for the years 2012-2014, which can be used in order to reduce most taxes payable, including income tax or regional tax on productive activities, as well as social security contributions and withholding taxes.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660" w:right="4280" w:hanging="652"/>
        <w:spacing w:after="0" w:line="589" w:lineRule="auto"/>
        <w:tabs>
          <w:tab w:leader="none" w:pos="20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 of operations and comprehensive loss in the same manner in which the award recipient’s payroll costs are classified or in which the award recipient’s service payments are classified.</w:t>
      </w:r>
    </w:p>
    <w:p>
      <w:pPr>
        <w:spacing w:after="0" w:line="21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is currently evaluating the impact that the adoption of ASU 2017-11 will have on its financial statements.</w:t>
      </w:r>
    </w:p>
    <w:p>
      <w:pPr>
        <w:spacing w:after="0" w:line="22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w:t>
      </w:r>
    </w:p>
    <w:p>
      <w:pPr>
        <w:spacing w:after="0" w:line="19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9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3. Research and development</w:t>
      </w:r>
    </w:p>
    <w:p>
      <w:pPr>
        <w:spacing w:after="0" w:line="25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11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 ending December 31, 2019. The Company is taxed in various countries where it has permanent establishment, as applicable.</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21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7" w:name="page218"/>
    <w:bookmarkEnd w:id="217"/>
    <w:p>
      <w:pPr>
        <w:jc w:val="both"/>
        <w:ind w:right="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ectPr>
          <w:pgSz w:w="11900" w:h="16838" w:orient="portrait"/>
          <w:cols w:equalWidth="0" w:num="1">
            <w:col w:w="11100"/>
          </w:cols>
          <w:pgMar w:left="320" w:top="692" w:right="479" w:bottom="1440" w:gutter="0" w:footer="0" w:header="0"/>
        </w:sectPr>
      </w:pP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Company’s effective tax rate is summarized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taxes at Italy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provision expense for income taxes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components of the Company’s net deferred tax assets are summarized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At December 31,</w:t>
      </w:r>
    </w:p>
    <w:p>
      <w:pPr>
        <w:spacing w:after="0" w:line="17"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0015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b w:val="1"/>
          <w:bCs w:val="1"/>
          <w:color w:val="auto"/>
        </w:rPr>
        <w:t>(in Euros)</w:t>
      </w:r>
    </w:p>
    <w:p>
      <w:pPr>
        <w:spacing w:after="0" w:line="1" w:lineRule="exact"/>
        <w:rPr>
          <w:sz w:val="20"/>
          <w:szCs w:val="20"/>
          <w:color w:val="auto"/>
        </w:rPr>
      </w:pPr>
    </w:p>
    <w:p>
      <w:pPr>
        <w:ind w:left="1120" w:hanging="1118"/>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(1,103,454)</w:t>
      </w:r>
    </w:p>
    <w:p>
      <w:pPr>
        <w:spacing w:after="0" w:line="30"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11,370</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1,092,084</w:t>
      </w:r>
    </w:p>
    <w:p>
      <w:pPr>
        <w:spacing w:after="0" w:line="6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12001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At December 31,</w:t>
      </w:r>
    </w:p>
    <w:p>
      <w:pPr>
        <w:spacing w:after="0" w:line="11"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7420" w:space="720"/>
            <w:col w:w="2960"/>
          </w:cols>
          <w:pgMar w:left="320" w:top="692" w:right="47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4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2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2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 expiration date - DL 98/2011</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years of operations starting from the inception of the Company.</w:t>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92" w:right="47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56"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Research and development tax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At December 31,</w:t>
      </w:r>
    </w:p>
    <w:p>
      <w:pPr>
        <w:spacing w:after="0" w:line="17"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0015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b w:val="1"/>
          <w:bCs w:val="1"/>
          <w:color w:val="auto"/>
        </w:rPr>
        <w:t>(in Euros)</w:t>
      </w:r>
    </w:p>
    <w:p>
      <w:pPr>
        <w:spacing w:after="0" w:line="1" w:lineRule="exact"/>
        <w:rPr>
          <w:sz w:val="20"/>
          <w:szCs w:val="20"/>
          <w:color w:val="auto"/>
        </w:rPr>
      </w:pPr>
    </w:p>
    <w:p>
      <w:pPr>
        <w:ind w:left="1300" w:hanging="1298"/>
        <w:spacing w:after="0"/>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237,569</w:t>
      </w:r>
    </w:p>
    <w:p>
      <w:pPr>
        <w:spacing w:after="0" w:line="3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192,020</w:t>
      </w:r>
    </w:p>
    <w:p>
      <w:pPr>
        <w:spacing w:after="0" w:line="32"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28,529</w:t>
      </w:r>
    </w:p>
    <w:p>
      <w:pPr>
        <w:spacing w:after="0" w:line="71" w:lineRule="exact"/>
        <w:rPr>
          <w:rFonts w:ascii="Arial" w:cs="Arial" w:eastAsia="Arial" w:hAnsi="Arial"/>
          <w:sz w:val="16"/>
          <w:szCs w:val="16"/>
          <w:color w:val="auto"/>
        </w:rPr>
      </w:pPr>
    </w:p>
    <w:p>
      <w:pPr>
        <w:ind w:left="1320" w:hanging="1318"/>
        <w:spacing w:after="0"/>
        <w:tabs>
          <w:tab w:leader="none" w:pos="13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458,118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001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12001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080"/>
          </w:cols>
          <w:pgMar w:left="320" w:top="688" w:right="359" w:bottom="1440" w:gutter="0" w:footer="0" w:header="0"/>
        </w:sectPr>
      </w:pP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€3,469,206,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management’s best estimate of the amount of tax credit that can be used in offsetting taxes payable for 2020, 2021, and 2022. In 2019, the Company utilized €192,020 to offset certain taxes payable. The benefit recorded in 2019 to offset research and development expenses is €448,079. The Company reclassified to other non-current assets a portion of the receivable which is expected to be realized beyond 12 months.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of the balance is comprised of miscellaneous minor prepaid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non-current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research and development tax credit,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At December 31,</w:t>
            </w:r>
          </w:p>
        </w:tc>
      </w:tr>
      <w:tr>
        <w:trPr>
          <w:trHeight w:val="178"/>
        </w:trPr>
        <w:tc>
          <w:tcPr>
            <w:tcW w:w="4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r>
      <w:tr>
        <w:trPr>
          <w:trHeight w:val="148"/>
        </w:trPr>
        <w:tc>
          <w:tcPr>
            <w:tcW w:w="4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4"/>
              </w:rPr>
              <w:t>(in Euros)</w:t>
            </w:r>
          </w:p>
        </w:tc>
        <w:tc>
          <w:tcPr>
            <w:tcW w:w="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364,641</w:t>
            </w:r>
          </w:p>
        </w:tc>
        <w:tc>
          <w:tcPr>
            <w:tcW w:w="80" w:type="dxa"/>
            <w:vAlign w:val="bottom"/>
            <w:shd w:val="clear" w:color="auto" w:fill="CCEEFF"/>
          </w:tcPr>
          <w:p>
            <w:pPr>
              <w:spacing w:after="0"/>
              <w:rPr>
                <w:sz w:val="18"/>
                <w:szCs w:val="18"/>
                <w:color w:val="auto"/>
              </w:rPr>
            </w:pPr>
          </w:p>
        </w:tc>
      </w:tr>
      <w:tr>
        <w:trPr>
          <w:trHeight w:val="23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tax credit</w:t>
            </w:r>
          </w:p>
        </w:tc>
        <w:tc>
          <w:tcPr>
            <w:tcW w:w="2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384,040</w:t>
            </w:r>
          </w:p>
        </w:tc>
        <w:tc>
          <w:tcPr>
            <w:tcW w:w="80" w:type="dxa"/>
            <w:vAlign w:val="bottom"/>
            <w:tcBorders>
              <w:bottom w:val="single" w:sz="8" w:color="CCEEFF"/>
            </w:tcBorders>
          </w:tcPr>
          <w:p>
            <w:pPr>
              <w:spacing w:after="0"/>
              <w:rPr>
                <w:sz w:val="20"/>
                <w:szCs w:val="20"/>
                <w:color w:val="auto"/>
              </w:rPr>
            </w:pPr>
          </w:p>
        </w:tc>
      </w:tr>
      <w:tr>
        <w:trPr>
          <w:trHeight w:val="23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obligation</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amount of the obligation at December 31, 2019 was €11,332.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9. Quotaholders’ equity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or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 capital</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Ownership</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Quota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At January 1,</w:t>
            </w:r>
          </w:p>
        </w:tc>
        <w:tc>
          <w:tcPr>
            <w:tcW w:w="142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jc w:val="right"/>
              <w:ind w:right="315"/>
              <w:spacing w:after="0" w:line="126" w:lineRule="exact"/>
              <w:rPr>
                <w:sz w:val="20"/>
                <w:szCs w:val="20"/>
                <w:color w:val="auto"/>
              </w:rPr>
            </w:pPr>
            <w:r>
              <w:rPr>
                <w:rFonts w:ascii="Arial" w:cs="Arial" w:eastAsia="Arial" w:hAnsi="Arial"/>
                <w:sz w:val="14"/>
                <w:szCs w:val="14"/>
                <w:b w:val="1"/>
                <w:bCs w:val="1"/>
                <w:color w:val="auto"/>
              </w:rPr>
              <w:t>At December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6,043</w:t>
            </w:r>
          </w:p>
        </w:tc>
        <w:tc>
          <w:tcPr>
            <w:tcW w:w="160" w:type="dxa"/>
            <w:vAlign w:val="bottom"/>
          </w:tcPr>
          <w:p>
            <w:pPr>
              <w:spacing w:after="0"/>
              <w:rPr>
                <w:sz w:val="18"/>
                <w:szCs w:val="18"/>
                <w:color w:val="auto"/>
              </w:rPr>
            </w:pPr>
          </w:p>
        </w:tc>
        <w:tc>
          <w:tcPr>
            <w:tcW w:w="1420" w:type="dxa"/>
            <w:vAlign w:val="bottom"/>
          </w:tcPr>
          <w:p>
            <w:pPr>
              <w:jc w:val="right"/>
              <w:ind w:right="276"/>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6,450</w:t>
            </w:r>
          </w:p>
        </w:tc>
        <w:tc>
          <w:tcPr>
            <w:tcW w:w="160" w:type="dxa"/>
            <w:vAlign w:val="bottom"/>
          </w:tcPr>
          <w:p>
            <w:pPr>
              <w:spacing w:after="0"/>
              <w:rPr>
                <w:sz w:val="18"/>
                <w:szCs w:val="18"/>
                <w:color w:val="auto"/>
              </w:rPr>
            </w:pPr>
          </w:p>
        </w:tc>
        <w:tc>
          <w:tcPr>
            <w:tcW w:w="1520" w:type="dxa"/>
            <w:vAlign w:val="bottom"/>
            <w:gridSpan w:val="2"/>
          </w:tcPr>
          <w:p>
            <w:pPr>
              <w:jc w:val="right"/>
              <w:ind w:right="379"/>
              <w:spacing w:after="0"/>
              <w:rPr>
                <w:sz w:val="20"/>
                <w:szCs w:val="20"/>
                <w:color w:val="auto"/>
              </w:rPr>
            </w:pPr>
            <w:r>
              <w:rPr>
                <w:rFonts w:ascii="Arial" w:cs="Arial" w:eastAsia="Arial" w:hAnsi="Arial"/>
                <w:sz w:val="18"/>
                <w:szCs w:val="18"/>
                <w:color w:val="auto"/>
              </w:rPr>
              <w:t>18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29</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rPr>
              <w:t>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4,034</w:t>
            </w:r>
          </w:p>
        </w:tc>
        <w:tc>
          <w:tcPr>
            <w:tcW w:w="160" w:type="dxa"/>
            <w:vAlign w:val="bottom"/>
          </w:tcPr>
          <w:p>
            <w:pPr>
              <w:spacing w:after="0"/>
              <w:rPr>
                <w:sz w:val="18"/>
                <w:szCs w:val="18"/>
                <w:color w:val="auto"/>
              </w:rPr>
            </w:pPr>
          </w:p>
        </w:tc>
        <w:tc>
          <w:tcPr>
            <w:tcW w:w="1420" w:type="dxa"/>
            <w:vAlign w:val="bottom"/>
          </w:tcPr>
          <w:p>
            <w:pPr>
              <w:jc w:val="right"/>
              <w:ind w:right="276"/>
              <w:spacing w:after="0"/>
              <w:rPr>
                <w:sz w:val="20"/>
                <w:szCs w:val="20"/>
                <w:color w:val="auto"/>
              </w:rPr>
            </w:pPr>
            <w:r>
              <w:rPr>
                <w:rFonts w:ascii="Arial" w:cs="Arial" w:eastAsia="Arial" w:hAnsi="Arial"/>
                <w:sz w:val="18"/>
                <w:szCs w:val="18"/>
                <w:color w:val="auto"/>
              </w:rPr>
              <w:t>14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4,034</w:t>
            </w:r>
          </w:p>
        </w:tc>
        <w:tc>
          <w:tcPr>
            <w:tcW w:w="160" w:type="dxa"/>
            <w:vAlign w:val="bottom"/>
          </w:tcPr>
          <w:p>
            <w:pPr>
              <w:spacing w:after="0"/>
              <w:rPr>
                <w:sz w:val="18"/>
                <w:szCs w:val="18"/>
                <w:color w:val="auto"/>
              </w:rPr>
            </w:pPr>
          </w:p>
        </w:tc>
        <w:tc>
          <w:tcPr>
            <w:tcW w:w="1520" w:type="dxa"/>
            <w:vAlign w:val="bottom"/>
            <w:gridSpan w:val="2"/>
          </w:tcPr>
          <w:p>
            <w:pPr>
              <w:jc w:val="right"/>
              <w:ind w:right="379"/>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9"/>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E</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7"/>
        </w:trPr>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29,179</w:t>
            </w: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36,049</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All quota B ownership has limited rights and carry a par value of €1 per quota.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52" w:lineRule="exact"/>
        <w:rPr>
          <w:sz w:val="20"/>
          <w:szCs w:val="20"/>
          <w:color w:val="auto"/>
        </w:rPr>
      </w:pPr>
    </w:p>
    <w:p>
      <w:pPr>
        <w:ind w:left="660" w:right="20" w:hanging="328"/>
        <w:spacing w:after="0" w:line="259"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46"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4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220" w:name="page221"/>
    <w:bookmarkEnd w:id="220"/>
    <w:p>
      <w:pPr>
        <w:ind w:left="660" w:hanging="328"/>
        <w:spacing w:after="0"/>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financing fees).</w:t>
      </w:r>
    </w:p>
    <w:p>
      <w:pPr>
        <w:spacing w:after="0" w:line="129" w:lineRule="exact"/>
        <w:rPr>
          <w:rFonts w:ascii="Arial" w:cs="Arial" w:eastAsia="Arial" w:hAnsi="Arial"/>
          <w:sz w:val="18"/>
          <w:szCs w:val="18"/>
          <w:color w:val="auto"/>
        </w:rPr>
      </w:pPr>
    </w:p>
    <w:p>
      <w:pPr>
        <w:ind w:left="660" w:right="60" w:hanging="328"/>
        <w:spacing w:after="0" w:line="269" w:lineRule="auto"/>
        <w:tabs>
          <w:tab w:leader="none" w:pos="660"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Quotas C, D, E &amp; A</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C, D, E &amp; A, shall be distributed to each quota separately according to a detailed formula specified in the Company’s By-Laws, including quota B. Similar to a divestiture, net profits, if any, shall be distributed in the same manner to quotas C, D, E, A &amp; B,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208" w:lineRule="exact"/>
        <w:rPr>
          <w:rFonts w:ascii="Arial" w:cs="Arial" w:eastAsia="Arial" w:hAnsi="Arial"/>
          <w:sz w:val="17"/>
          <w:szCs w:val="17"/>
          <w:color w:val="auto"/>
        </w:rPr>
      </w:pPr>
    </w:p>
    <w:p>
      <w:pPr>
        <w:ind w:left="280" w:hanging="272"/>
        <w:spacing w:after="0"/>
        <w:tabs>
          <w:tab w:leader="none" w:pos="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share option activity for the year ended December 31, 2019 is represented by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Options</w:t>
            </w:r>
          </w:p>
        </w:tc>
        <w:tc>
          <w:tcPr>
            <w:tcW w:w="1700" w:type="dxa"/>
            <w:vAlign w:val="bottom"/>
            <w:gridSpan w:val="2"/>
            <w:vMerge w:val="continue"/>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(in €’s)</w:t>
            </w:r>
          </w:p>
        </w:tc>
        <w:tc>
          <w:tcPr>
            <w:tcW w:w="3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(in €’s)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vested and expected to vest as of January 1,</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1,380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443,396</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4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F-17</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The Company’s share-based compensation expense for the year ended December 31, 2019 is represented by the following table:</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2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 2019</w:t>
            </w:r>
          </w:p>
        </w:tc>
        <w:tc>
          <w:tcPr>
            <w:tcW w:w="19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at December 31, 2019 of €769,779 will be expensed over 2020 and 2021, as the options vest.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5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91"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184"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2" w:name="page223"/>
    <w:bookmarkEnd w:id="222"/>
    <w:p>
      <w:pPr>
        <w:ind w:left="660" w:right="56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52"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860" w:type="dxa"/>
            <w:vAlign w:val="bottom"/>
          </w:tcPr>
          <w:p>
            <w:pPr>
              <w:ind w:left="2000"/>
              <w:spacing w:after="0"/>
              <w:rPr>
                <w:sz w:val="20"/>
                <w:szCs w:val="20"/>
                <w:color w:val="auto"/>
              </w:rPr>
            </w:pPr>
            <w:r>
              <w:rPr>
                <w:rFonts w:ascii="Arial" w:cs="Arial" w:eastAsia="Arial" w:hAnsi="Arial"/>
                <w:sz w:val="14"/>
                <w:szCs w:val="14"/>
                <w:b w:val="1"/>
                <w:bCs w:val="1"/>
                <w:color w:val="auto"/>
              </w:rPr>
              <w:t>(In Euros)</w:t>
            </w:r>
          </w:p>
        </w:tc>
        <w:tc>
          <w:tcPr>
            <w:tcW w:w="400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For the Year Ended December 31, 2019</w:t>
            </w: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8"/>
        </w:trPr>
        <w:tc>
          <w:tcPr>
            <w:tcW w:w="4860" w:type="dxa"/>
            <w:vAlign w:val="bottom"/>
          </w:tcPr>
          <w:p>
            <w:pPr>
              <w:spacing w:after="0"/>
              <w:rPr>
                <w:sz w:val="12"/>
                <w:szCs w:val="12"/>
                <w:color w:val="auto"/>
              </w:rPr>
            </w:pPr>
          </w:p>
        </w:tc>
        <w:tc>
          <w:tcPr>
            <w:tcW w:w="18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Third Parties</w:t>
            </w:r>
          </w:p>
        </w:tc>
        <w:tc>
          <w:tcPr>
            <w:tcW w:w="21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Related Parties</w:t>
            </w:r>
          </w:p>
        </w:tc>
        <w:tc>
          <w:tcPr>
            <w:tcW w:w="1140" w:type="dxa"/>
            <w:vAlign w:val="bottom"/>
          </w:tcPr>
          <w:p>
            <w:pPr>
              <w:jc w:val="right"/>
              <w:ind w:right="513"/>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74,518</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2,036,870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2,111,388</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Compensation (including share-based)</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171,289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581,949</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649,574</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97,063</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36,510</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55,209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55,209</w:t>
            </w:r>
          </w:p>
        </w:tc>
        <w:tc>
          <w:tcPr>
            <w:tcW w:w="80" w:type="dxa"/>
            <w:vAlign w:val="bottom"/>
            <w:shd w:val="clear" w:color="auto" w:fill="CCEEFF"/>
          </w:tcPr>
          <w:p>
            <w:pPr>
              <w:spacing w:after="0"/>
              <w:rPr>
                <w:sz w:val="21"/>
                <w:szCs w:val="21"/>
                <w:color w:val="auto"/>
              </w:rPr>
            </w:pPr>
          </w:p>
        </w:tc>
      </w:tr>
      <w:tr>
        <w:trPr>
          <w:trHeight w:val="216"/>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2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2019, the Company recorded a research and development tax credit in the amount of €448,079 to offset Consultants and other third parties related research and development expenses. (See Note 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3" w:name="page224"/>
    <w:bookmarkEnd w:id="223"/>
    <w:p>
      <w:pPr>
        <w:ind w:left="660"/>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860" w:type="dxa"/>
            <w:vAlign w:val="bottom"/>
          </w:tcPr>
          <w:p>
            <w:pPr>
              <w:ind w:left="2000"/>
              <w:spacing w:after="0"/>
              <w:rPr>
                <w:sz w:val="20"/>
                <w:szCs w:val="20"/>
                <w:color w:val="auto"/>
              </w:rPr>
            </w:pPr>
            <w:r>
              <w:rPr>
                <w:rFonts w:ascii="Arial" w:cs="Arial" w:eastAsia="Arial" w:hAnsi="Arial"/>
                <w:sz w:val="14"/>
                <w:szCs w:val="14"/>
                <w:b w:val="1"/>
                <w:bCs w:val="1"/>
                <w:color w:val="auto"/>
              </w:rPr>
              <w:t>(In Euros)</w:t>
            </w:r>
          </w:p>
        </w:tc>
        <w:tc>
          <w:tcPr>
            <w:tcW w:w="400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For the Year Ended December 31, 2019</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860" w:type="dxa"/>
            <w:vAlign w:val="bottom"/>
          </w:tcPr>
          <w:p>
            <w:pPr>
              <w:spacing w:after="0"/>
              <w:rPr>
                <w:sz w:val="19"/>
                <w:szCs w:val="19"/>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Third Parties</w:t>
            </w:r>
          </w:p>
        </w:tc>
        <w:tc>
          <w:tcPr>
            <w:tcW w:w="2160" w:type="dxa"/>
            <w:vAlign w:val="bottom"/>
            <w:gridSpan w:val="3"/>
          </w:tcPr>
          <w:p>
            <w:pPr>
              <w:ind w:left="280"/>
              <w:spacing w:after="0"/>
              <w:rPr>
                <w:sz w:val="20"/>
                <w:szCs w:val="20"/>
                <w:color w:val="auto"/>
              </w:rPr>
            </w:pPr>
            <w:r>
              <w:rPr>
                <w:rFonts w:ascii="Arial" w:cs="Arial" w:eastAsia="Arial" w:hAnsi="Arial"/>
                <w:sz w:val="14"/>
                <w:szCs w:val="14"/>
                <w:b w:val="1"/>
                <w:bCs w:val="1"/>
                <w:color w:val="auto"/>
              </w:rPr>
              <w:t>Related Parties</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171,698</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277,849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Consultants &amp; other third parties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375,201</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375,201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14,759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w:t>
            </w:r>
          </w:p>
        </w:tc>
      </w:tr>
      <w:tr>
        <w:trPr>
          <w:trHeight w:val="236"/>
        </w:trPr>
        <w:tc>
          <w:tcPr>
            <w:tcW w:w="4860" w:type="dxa"/>
            <w:vAlign w:val="bottom"/>
          </w:tcPr>
          <w:p>
            <w:pPr>
              <w:spacing w:after="0"/>
              <w:rPr>
                <w:sz w:val="20"/>
                <w:szCs w:val="20"/>
                <w:color w:val="auto"/>
              </w:rPr>
            </w:pPr>
            <w:r>
              <w:rPr>
                <w:rFonts w:ascii="Arial" w:cs="Arial" w:eastAsia="Arial" w:hAnsi="Arial"/>
                <w:sz w:val="18"/>
                <w:szCs w:val="18"/>
                <w:color w:val="auto"/>
              </w:rPr>
              <w:t>Facility &amp; insurance related</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13,630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13,630</w:t>
            </w: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accounts payable to related parties are comprised as follows:</w:t>
      </w:r>
    </w:p>
    <w:p>
      <w:pPr>
        <w:sectPr>
          <w:pgSz w:w="11900" w:h="16838" w:orient="portrait"/>
          <w:cols w:equalWidth="0" w:num="1">
            <w:col w:w="10880"/>
          </w:cols>
          <w:pgMar w:left="320" w:top="69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 Raffaele Hospital</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XDG Biomed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At December 31,</w:t>
      </w:r>
    </w:p>
    <w:p>
      <w:pPr>
        <w:spacing w:after="0" w:line="17"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0015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0" cy="171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b w:val="1"/>
          <w:bCs w:val="1"/>
          <w:color w:val="auto"/>
        </w:rPr>
        <w:t>(in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0</wp:posOffset>
            </wp:positionV>
            <wp:extent cx="570039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hanging="1318"/>
        <w:spacing w:after="0"/>
        <w:tabs>
          <w:tab w:leader="none" w:pos="13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283,115</w:t>
      </w:r>
    </w:p>
    <w:p>
      <w:pPr>
        <w:spacing w:after="0" w:line="3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9,626</w:t>
      </w:r>
    </w:p>
    <w:p>
      <w:pPr>
        <w:spacing w:after="0" w:line="71" w:lineRule="exact"/>
        <w:rPr>
          <w:rFonts w:ascii="Arial" w:cs="Arial" w:eastAsia="Arial" w:hAnsi="Arial"/>
          <w:sz w:val="16"/>
          <w:szCs w:val="16"/>
          <w:color w:val="auto"/>
        </w:rPr>
      </w:pPr>
    </w:p>
    <w:p>
      <w:pPr>
        <w:ind w:left="1300" w:hanging="1298"/>
        <w:spacing w:after="0"/>
        <w:tabs>
          <w:tab w:leader="none" w:pos="13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292,741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-132715</wp:posOffset>
            </wp:positionV>
            <wp:extent cx="5700395"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0039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2740"/>
          </w:cols>
          <w:pgMar w:left="320" w:top="692" w:right="69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At December 31,</w:t>
            </w:r>
          </w:p>
        </w:tc>
      </w:tr>
      <w:tr>
        <w:trPr>
          <w:trHeight w:val="178"/>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r>
      <w:tr>
        <w:trPr>
          <w:trHeight w:val="148"/>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(in Euros)</w:t>
            </w:r>
          </w:p>
        </w:tc>
        <w:tc>
          <w:tcPr>
            <w:tcW w:w="8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Pierluigi Paracchi</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52"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He is the President, Chief Executive Officer and the Company’s Chairman of the Board of Directors as well as co-founder. In addition to his annual remuneration of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At December 31, 2019 the Company also accrued a bonus of €50,000 as approved by the Board of Directors.</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692" w:right="69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They are co-founders of Genenta and part of the SAB – Scientific Advisory Board, with Dr. Naldini as Chairman, and Dr. Gentner as a member.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Dr. Naldini has an advisory agreement approved by the Board of Directors and performs the preclinical studies for Genenta. In particular, the preclinical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experiments are in solid tumor indications. The last agreement with Dr. Naldini is still in effect and was signed on December 12, 2019. In the 2019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Dr. Naldini’s compensation amounted to €8,750 each quarter and a year-end bonus of €20,500 which was approved by the Company’s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Dr. Gentner, like Dr. Naldini, oversees preclinical research related to the platform technology. In addition , he analyzes clinical biological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last agreement with Dr. Gentner, which is still in force, was signed on October 26, 2017. In the 2019 fiscal year, Dr. Gentner’s compensation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€7,800 each quarter and a year-end bonus of €13,150 as approved by the Company’s Board of Directors. No amounts were owed at the year end. In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on 1,000 class B quotas to Dr. Russo, of which 400 were exercised and converted to class B quotas in the year;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600 are outstanding and will vest over the next two years. The fair value of the options based on the Company’s valuation was €1,084 per quota B.</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5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€200,000 per year (€300,000 effective from August 1, 2019) plus a variable year-end compensation (minimum €50,000) based on the results obtained and depending on the Company’s Board of Directors approval. In 2019, XDG related expenses amounted to €283,610 and an accrual of € 50,000 was made at the year end to take into account the above reported variable compensation that was approved by the Board of Directors. The amount owed at December 31, 2019 was €59,626.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OSR is a co-founder of the Company. The Company pays preclinical and clinical activities to OSR with contracts approved by the Board of Directors. The Company has a license agreement with OSR entered in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that are important and necessary to the Company’s business. The Company’s rights to use these patents and patent applications and employ the inventions claimed in these licensed patents are subject to the continuation of, and our compliance with, the terms of the Company’s license agreement. OSR may terminate the Company’s rights as to certain fields of use for the Company’s failure to develop (a) with respect to a solid cancer indication, upon third (3rd) anniversary of the date the Company exercised such option, if the Company has not filed an IND with respect to such optioned solid cancer indication or (b) with respect to a lympho-hematopoietic indication, on the earlier of (i) the fifth (5th)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 The Company will pay milestones and royalties for any products sold based on OSR research activity. (See Commitments and contingencies Note 12 for further details.) In particular, the Company will pay a royalty of four percent (4%) for any of the license products sold and an upfront fee of €250,000 when the Company receives €2,750,000 of cash infusion in accordance with the shareholders’ agreements. At December 31, 2019, the Company accrued €500,000 relating to the option exercised during 2019 for its Glioblastoma Multiforme trial. The option fee was contingent upon the Company dosing the tenth patient in the trial, which the Company concluded was probable at December 31, 2019. The option fee was revised to €500,000 upon the execution of amendments entered into in 2020. (See Subsequent event Note 13.) The Company exercised its right to pursue a second solid cancer indication and is obligated to pay OSR €500,000 on June 30, 2021. (See Commitments and contingencies – Note 12.) The Company will be obligated to pay €300,000 if it exercises its right to pursue a third solid cancer indication. The Company will not be obligated to pay an option fee if the Company exercises its right to pursue a fourth, fifth or any additional solid cancer indications under the License Agreement. Moreover, linked to the License Agreement mentioned above, the Company signed a Collaboration Agreement and subsequent Addenda with OSR summarized below:</w:t>
      </w:r>
    </w:p>
    <w:p>
      <w:pPr>
        <w:spacing w:after="0" w:line="209" w:lineRule="exact"/>
        <w:rPr>
          <w:sz w:val="20"/>
          <w:szCs w:val="20"/>
          <w:color w:val="auto"/>
        </w:rPr>
      </w:pPr>
    </w:p>
    <w:p>
      <w:pPr>
        <w:ind w:left="660" w:right="54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Addendum #3 to the Scientific Collaboration Agreement, entered into on July 31, 2018, to regulate the performance of additional toxicity, tumorigenicity and immune reconstitution after transplantation studies.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5" w:name="page226"/>
    <w:bookmarkEnd w:id="225"/>
    <w:p>
      <w:pPr>
        <w:ind w:left="660" w:right="120" w:hanging="328"/>
        <w:spacing w:after="0" w:line="25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a result of Amendment #2 to the License Agreement and Amendment #4 to the Scientific Collaboration Agreement (entered into on February 1, 2019), the Company and OSR agreed to conduct a clinical trial according to the following protocol: TEM-GBM_001 - A phase I/IIa dose escalation study evaluating the safety and efficacy of autologous CD34+-enriched hematopoietic progenitor cells genetically modified with a lentiviral vector encoding for the human interferon-α2 in patients with glioblastoma multiforme who have an unmethylated O-6-methylguanine-DNA methyltransferase gene promoter.”</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Collaboration Agreement and the related 3 Addenda to conduct the clinical trial according to protocol TEM-GBM_001; TEM-GBM_001 received approval by national competent authorities in September 2018 and recruited the first patient in April 2019.</w:t>
      </w:r>
    </w:p>
    <w:p>
      <w:pPr>
        <w:spacing w:after="0" w:line="170" w:lineRule="exact"/>
        <w:rPr>
          <w:rFonts w:ascii="Arial" w:cs="Arial" w:eastAsia="Arial" w:hAnsi="Arial"/>
          <w:sz w:val="18"/>
          <w:szCs w:val="18"/>
          <w:color w:val="auto"/>
        </w:rPr>
      </w:pPr>
    </w:p>
    <w:p>
      <w:pPr>
        <w:ind w:left="660" w:right="180" w:hanging="328"/>
        <w:spacing w:after="0" w:line="296" w:lineRule="auto"/>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After the Company and OSR entered into a Research Funding Agreement on March 2, 2019, the parties agreed to conduct a second clinical trial according to the following protocol: TEM-MM-101 - A phase I/II dose escalation study evaluating safety and activity of autologous CD34+-enriched hematopoietic progenitor cells genetically modified with a lentiviral vector encoding for the human Interferon-alpha2 gene in multiple myeloma patients with early relapse after intensive front-line therapy.” TEM-MM-101 received approval by national Competent Authorities in November 2018 and recruited the first patient in August 2019. All three patients enrolled in the study were withdrawn before being dosed.</w:t>
      </w:r>
    </w:p>
    <w:p>
      <w:pPr>
        <w:spacing w:after="0" w:line="188"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Furthermore, the Company had a service agreement (up to December 31, 2019) with OSR to provide certain accounting services free of charge (accounting/bookkeeping and rent of spaces, the latter with an addendum effective from January 1, 2016). In January 2020, the Company entered into a leasing agreement for the use of office space in an OSR’s building. The fair value of such services is not significant. In January 2020, the Company also engaged a third-party vendor for certain accounting and bookkeeping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6" w:name="page227"/>
    <w:bookmarkEnd w:id="226"/>
    <w:p>
      <w:pPr>
        <w:ind w:left="660"/>
        <w:spacing w:after="0"/>
        <w:rPr>
          <w:sz w:val="20"/>
          <w:szCs w:val="20"/>
          <w:color w:val="auto"/>
        </w:rPr>
      </w:pPr>
      <w:r>
        <w:rPr>
          <w:rFonts w:ascii="Arial" w:cs="Arial" w:eastAsia="Arial" w:hAnsi="Arial"/>
          <w:sz w:val="18"/>
          <w:szCs w:val="18"/>
          <w:color w:val="auto"/>
        </w:rPr>
        <w:t>The following table summarizes our obligations by contractual maturity as of December 31, 2019:</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Payments by period</w:t>
            </w: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(in Euros)</w:t>
            </w: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Less than a year</w:t>
            </w:r>
          </w:p>
        </w:tc>
        <w:tc>
          <w:tcPr>
            <w:tcW w:w="1240" w:type="dxa"/>
            <w:vAlign w:val="bottom"/>
            <w:gridSpan w:val="2"/>
          </w:tcPr>
          <w:p>
            <w:pPr>
              <w:jc w:val="right"/>
              <w:ind w:right="500"/>
              <w:spacing w:after="0" w:line="126" w:lineRule="exact"/>
              <w:rPr>
                <w:sz w:val="20"/>
                <w:szCs w:val="20"/>
                <w:color w:val="auto"/>
              </w:rPr>
            </w:pPr>
            <w:r>
              <w:rPr>
                <w:rFonts w:ascii="Arial" w:cs="Arial" w:eastAsia="Arial" w:hAnsi="Arial"/>
                <w:sz w:val="14"/>
                <w:szCs w:val="14"/>
                <w:b w:val="1"/>
                <w:bCs w:val="1"/>
                <w:color w:val="auto"/>
              </w:rPr>
              <w:t>1 to 3</w:t>
            </w:r>
          </w:p>
        </w:tc>
        <w:tc>
          <w:tcPr>
            <w:tcW w:w="200" w:type="dxa"/>
            <w:vAlign w:val="bottom"/>
          </w:tcPr>
          <w:p>
            <w:pPr>
              <w:spacing w:after="0"/>
              <w:rPr>
                <w:sz w:val="10"/>
                <w:szCs w:val="10"/>
                <w:color w:val="auto"/>
              </w:rPr>
            </w:pPr>
          </w:p>
        </w:tc>
        <w:tc>
          <w:tcPr>
            <w:tcW w:w="1420" w:type="dxa"/>
            <w:vAlign w:val="bottom"/>
            <w:gridSpan w:val="2"/>
          </w:tcPr>
          <w:p>
            <w:pPr>
              <w:ind w:left="380"/>
              <w:spacing w:after="0" w:line="126" w:lineRule="exact"/>
              <w:rPr>
                <w:sz w:val="20"/>
                <w:szCs w:val="20"/>
                <w:color w:val="auto"/>
              </w:rPr>
            </w:pPr>
            <w:r>
              <w:rPr>
                <w:rFonts w:ascii="Arial" w:cs="Arial" w:eastAsia="Arial" w:hAnsi="Arial"/>
                <w:sz w:val="14"/>
                <w:szCs w:val="14"/>
                <w:b w:val="1"/>
                <w:bCs w:val="1"/>
                <w:color w:val="auto"/>
              </w:rPr>
              <w:t>4 to 5</w:t>
            </w:r>
          </w:p>
        </w:tc>
        <w:tc>
          <w:tcPr>
            <w:tcW w:w="138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More than 5</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2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years</w:t>
            </w: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Collaborative agreements with research</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240" w:type="dxa"/>
            <w:vAlign w:val="bottom"/>
          </w:tcPr>
          <w:p>
            <w:pPr>
              <w:spacing w:after="0"/>
              <w:rPr>
                <w:sz w:val="20"/>
                <w:szCs w:val="20"/>
                <w:color w:val="auto"/>
              </w:rPr>
            </w:pPr>
            <w:r>
              <w:rPr>
                <w:rFonts w:ascii="Arial" w:cs="Arial" w:eastAsia="Arial" w:hAnsi="Arial"/>
                <w:sz w:val="18"/>
                <w:szCs w:val="18"/>
                <w:color w:val="auto"/>
              </w:rPr>
              <w:t>centers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amounts include an option fee for the first and second cancer indications payable to OSR (€500,000 in 2020 and €500,000 in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Related parties - Note 11 and Subsequent events - Note 13 for further information.</w:t>
      </w:r>
    </w:p>
    <w:p>
      <w:pPr>
        <w:spacing w:after="0" w:line="23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9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Raffaele Hospital</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December 31, 2019, the Company had two indications ongoing, multiple myeloma and glioblastoma. Multiple myeloma was subsequently placed on hold during 2020. The agreements also include a €7.8 million commitment related to the development and manufacturing of licensed products, of which the Company has incurred €2.6 million of expense through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AGC Biologics (formerly MolMed)</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AGC Biologics agreement is non-cancelable, except in the case of breach of contract, and includes a potential milestone of €0.3 million, as well as potential royalty fees between 0.5% and 1%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i w:val="1"/>
          <w:iCs w:val="1"/>
          <w:color w:val="auto"/>
        </w:rPr>
        <w:t>Adaptive Biotechnologies</w:t>
      </w:r>
    </w:p>
    <w:p>
      <w:pPr>
        <w:spacing w:after="0" w:line="252"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Adaptive agreement on exploratory analyses for trial endpoints is non-cancelable, except in the case of breach of contract, and carries a total cost for the entire trial of €0.2 million, of which €0.05 million has been incurred as of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Biogazelle NV</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Biogazelle agreement on exploratory analyses for trial endpoints is non-cancelable, except in the case of breach of contract, and carries a total cost for the entire trial of €106,000, of which €6,000 has been incurred as of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had no contractual obligation for office space in Milan, Italy or elsewhere at December 31, 2019; however, the Company entered into a non-cancelable lease agreement for office space in January 2020 (see Note 13. Subsequent events).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8"/>
          <w:szCs w:val="18"/>
          <w:i w:val="1"/>
          <w:iCs w:val="1"/>
          <w:color w:val="auto"/>
        </w:rPr>
        <w:t>Contingencie</w:t>
      </w:r>
      <w:r>
        <w:rPr>
          <w:rFonts w:ascii="Arial" w:cs="Arial" w:eastAsia="Arial" w:hAnsi="Arial"/>
          <w:sz w:val="18"/>
          <w:szCs w:val="18"/>
          <w:color w:val="auto"/>
        </w:rPr>
        <w:t>s. The Company expenses as incurred the costs related to its legal proceedings,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January 2020, the Company entered into a non-cancelable lease agreement for office space in Milan, Italy for six (6) years, renewable for another six (6) years, with an annual obligation of €13,400.</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February 2020, the Company entered into Amendment 4 to the Framework Service Agreement with AGC Biologics related to production and testing of the Company’s GBM trials, for a total amount of €360,000.</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March 2020, the Company entered into Amendment 5 to the Framework Service Agreement with AGC Biologics related to production and testing of the Company’s GBM trials, for a total amount of €259,000.</w:t>
      </w:r>
    </w:p>
    <w:p>
      <w:pPr>
        <w:spacing w:after="0" w:line="19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 March 2020, the Company entered into Amendment 1 to the Clinical Trial agreement with Fondazione IRCCS Istituto Neurologico Carlo Besta, related to conducting of the Company’s GBM trials. The agreement calls for payment of €124,000 to be incurred during the clinical trial related services.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8" w:name="page229"/>
    <w:bookmarkEnd w:id="228"/>
    <w:p>
      <w:pPr>
        <w:ind w:right="260" w:firstLine="648"/>
        <w:spacing w:after="0" w:line="277" w:lineRule="auto"/>
        <w:rPr>
          <w:sz w:val="20"/>
          <w:szCs w:val="20"/>
          <w:color w:val="auto"/>
        </w:rPr>
      </w:pPr>
      <w:r>
        <w:rPr>
          <w:rFonts w:ascii="Arial" w:cs="Arial" w:eastAsia="Arial" w:hAnsi="Arial"/>
          <w:sz w:val="18"/>
          <w:szCs w:val="18"/>
          <w:color w:val="auto"/>
        </w:rPr>
        <w:t>In March 2020, the Company entered into Amendment 6 to the Framework Service Agreement with AGC Biologics related to production and testing of the Company’s GBM trials, for a total amount of €41,000.</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August 2020, the Company entered into Amendment 7 to the Framework Service Agreement with AGC Biologics related to production and testing of the Company’s GBM trials, which provides the Company with an option to accelerate GBM production as stated in Amendment 5 at a 20% cost increase.</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September 2020, the Company entered into a consulting agreement with LifeSci Advisors for US$10,000 per month until the Company achieves a crossover financing event, at which point the fee will increase to US$20,000 per month, plus a success fee of US$10,000 per month from the time of the crossover/liquidity event will be paid.</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September 2020, the Company completed another fundraising round (i.e., Quota E. Refer to Corporate capital note above for further details) adding €1.5 million from qualified investors and sophisticated management companies, bringing the total gross proceeds raised in this series to approximately €16.6 million.</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October 2020, the Company entered into Amendment 8 to the Framework Service Agreement with AGC Biologics related to production and testing of the Company’s GBM trials, for a total amount of €17,000.</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December 2020, the Company entered into Amendment No.3 to the License Agreement with OSR. As part of Amendment No.3, the Company agreed to exercise its option to pursue a second solid cancer indication. The option fee for the exercise of the second solid cancer indication is €500,000, which shall be payable on June 30, 2021.</w:t>
      </w:r>
    </w:p>
    <w:p>
      <w:pPr>
        <w:spacing w:after="0" w:line="211"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December 2020, the Company entered into a partnership or collaboration Project Agreement with Image Analysis Limited for a total budget amount of approximately €364,000 of which the Company will contribute approximately €219,000, to deliver central imaging expert services for TEM-GBM_001 Study.</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92" w:right="4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328930</wp:posOffset>
            </wp:positionV>
            <wp:extent cx="1457325" cy="3257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898"/>
              <w:spacing w:after="0"/>
              <w:rPr>
                <w:sz w:val="20"/>
                <w:szCs w:val="20"/>
                <w:color w:val="auto"/>
              </w:rPr>
            </w:pPr>
            <w:r>
              <w:rPr>
                <w:rFonts w:ascii="Arial" w:cs="Arial" w:eastAsia="Arial" w:hAnsi="Arial"/>
                <w:sz w:val="32"/>
                <w:szCs w:val="32"/>
                <w:b w:val="1"/>
                <w:bCs w:val="1"/>
                <w:i w:val="1"/>
                <w:iCs w:val="1"/>
                <w:color w:val="auto"/>
                <w:w w:val="90"/>
              </w:rPr>
              <w:t>Genenta Science S.p.A.</w:t>
            </w:r>
          </w:p>
        </w:tc>
      </w:tr>
      <w:tr>
        <w:trPr>
          <w:trHeight w:val="714"/>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r>
      <w:tr>
        <w:trPr>
          <w:trHeight w:val="366"/>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4618"/>
              <w:spacing w:after="0"/>
              <w:rPr>
                <w:sz w:val="20"/>
                <w:szCs w:val="20"/>
                <w:color w:val="auto"/>
              </w:rPr>
            </w:pPr>
            <w:r>
              <w:rPr>
                <w:rFonts w:ascii="Arial" w:cs="Arial" w:eastAsia="Arial" w:hAnsi="Arial"/>
                <w:sz w:val="25"/>
                <w:szCs w:val="25"/>
                <w:b w:val="1"/>
                <w:bCs w:val="1"/>
                <w:color w:val="auto"/>
              </w:rPr>
              <w:t>PROSPECTUS</w:t>
            </w:r>
          </w:p>
        </w:tc>
      </w:tr>
      <w:tr>
        <w:trPr>
          <w:trHeight w:val="46"/>
        </w:trPr>
        <w:tc>
          <w:tcPr>
            <w:tcW w:w="2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3920" w:type="dxa"/>
            <w:vAlign w:val="bottom"/>
          </w:tcPr>
          <w:p>
            <w:pPr>
              <w:spacing w:after="0"/>
              <w:rPr>
                <w:sz w:val="3"/>
                <w:szCs w:val="3"/>
                <w:color w:val="auto"/>
              </w:rPr>
            </w:pPr>
          </w:p>
        </w:tc>
      </w:tr>
      <w:tr>
        <w:trPr>
          <w:trHeight w:val="723"/>
        </w:trPr>
        <w:tc>
          <w:tcPr>
            <w:tcW w:w="2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00" w:type="dxa"/>
            <w:vAlign w:val="bottom"/>
            <w:gridSpan w:val="2"/>
          </w:tcPr>
          <w:p>
            <w:pPr>
              <w:jc w:val="right"/>
              <w:ind w:right="3958"/>
              <w:spacing w:after="0"/>
              <w:rPr>
                <w:sz w:val="20"/>
                <w:szCs w:val="20"/>
                <w:color w:val="auto"/>
              </w:rPr>
            </w:pPr>
            <w:r>
              <w:rPr>
                <w:rFonts w:ascii="Arial" w:cs="Arial" w:eastAsia="Arial" w:hAnsi="Arial"/>
                <w:sz w:val="18"/>
                <w:szCs w:val="18"/>
                <w:b w:val="1"/>
                <w:bCs w:val="1"/>
                <w:i w:val="1"/>
                <w:iCs w:val="1"/>
                <w:color w:val="auto"/>
              </w:rPr>
              <w:t>Joint Book-Running Managers</w:t>
            </w:r>
          </w:p>
        </w:tc>
      </w:tr>
      <w:tr>
        <w:trPr>
          <w:trHeight w:val="623"/>
        </w:trPr>
        <w:tc>
          <w:tcPr>
            <w:tcW w:w="2760" w:type="dxa"/>
            <w:vAlign w:val="bottom"/>
          </w:tcPr>
          <w:p>
            <w:pPr>
              <w:spacing w:after="0"/>
              <w:rPr>
                <w:sz w:val="20"/>
                <w:szCs w:val="20"/>
                <w:color w:val="auto"/>
              </w:rPr>
            </w:pPr>
            <w:r>
              <w:rPr>
                <w:rFonts w:ascii="Arial" w:cs="Arial" w:eastAsia="Arial" w:hAnsi="Arial"/>
                <w:sz w:val="32"/>
                <w:szCs w:val="32"/>
                <w:b w:val="1"/>
                <w:bCs w:val="1"/>
                <w:color w:val="auto"/>
                <w:w w:val="93"/>
              </w:rPr>
              <w:t>Canaccord Genuity</w:t>
            </w: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32"/>
                <w:szCs w:val="32"/>
                <w:b w:val="1"/>
                <w:bCs w:val="1"/>
                <w:color w:val="auto"/>
              </w:rPr>
              <w:t>Roth Capital Partners</w:t>
            </w:r>
          </w:p>
        </w:tc>
      </w:tr>
      <w:tr>
        <w:trPr>
          <w:trHeight w:val="687"/>
        </w:trPr>
        <w:tc>
          <w:tcPr>
            <w:tcW w:w="2760" w:type="dxa"/>
            <w:vAlign w:val="bottom"/>
          </w:tcPr>
          <w:p>
            <w:pPr>
              <w:spacing w:after="0"/>
              <w:rPr>
                <w:sz w:val="24"/>
                <w:szCs w:val="24"/>
                <w:color w:val="auto"/>
              </w:rPr>
            </w:pPr>
          </w:p>
        </w:tc>
        <w:tc>
          <w:tcPr>
            <w:tcW w:w="4560" w:type="dxa"/>
            <w:vAlign w:val="bottom"/>
            <w:gridSpan w:val="2"/>
          </w:tcPr>
          <w:p>
            <w:pPr>
              <w:jc w:val="right"/>
              <w:ind w:right="1174"/>
              <w:spacing w:after="0"/>
              <w:rPr>
                <w:sz w:val="20"/>
                <w:szCs w:val="20"/>
                <w:color w:val="auto"/>
              </w:rPr>
            </w:pPr>
            <w:r>
              <w:rPr>
                <w:rFonts w:ascii="Arial" w:cs="Arial" w:eastAsia="Arial" w:hAnsi="Arial"/>
                <w:sz w:val="18"/>
                <w:szCs w:val="18"/>
                <w:color w:val="auto"/>
              </w:rPr>
              <w:t>, 2021</w:t>
            </w:r>
          </w:p>
        </w:tc>
        <w:tc>
          <w:tcPr>
            <w:tcW w:w="3920" w:type="dxa"/>
            <w:vAlign w:val="bottom"/>
          </w:tcPr>
          <w:p>
            <w:pPr>
              <w:spacing w:after="0"/>
              <w:rPr>
                <w:sz w:val="24"/>
                <w:szCs w:val="24"/>
                <w:color w:val="auto"/>
              </w:rPr>
            </w:pPr>
          </w:p>
        </w:tc>
      </w:tr>
      <w:tr>
        <w:trPr>
          <w:trHeight w:val="459"/>
        </w:trPr>
        <w:tc>
          <w:tcPr>
            <w:tcW w:w="2760" w:type="dxa"/>
            <w:vAlign w:val="bottom"/>
          </w:tcPr>
          <w:p>
            <w:pPr>
              <w:ind w:left="660"/>
              <w:spacing w:after="0"/>
              <w:rPr>
                <w:sz w:val="20"/>
                <w:szCs w:val="20"/>
                <w:color w:val="auto"/>
              </w:rPr>
            </w:pPr>
            <w:r>
              <w:rPr>
                <w:rFonts w:ascii="Arial" w:cs="Arial" w:eastAsia="Arial" w:hAnsi="Arial"/>
                <w:sz w:val="18"/>
                <w:szCs w:val="18"/>
                <w:b w:val="1"/>
                <w:bCs w:val="1"/>
                <w:color w:val="auto"/>
              </w:rPr>
              <w:t>Through and including</w:t>
            </w:r>
          </w:p>
        </w:tc>
        <w:tc>
          <w:tcPr>
            <w:tcW w:w="848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 2021 (25 days after the date of this prospectus), all dealers that effect transactions in these securities, whether</w:t>
            </w:r>
          </w:p>
        </w:tc>
      </w:tr>
    </w:tbl>
    <w:p>
      <w:pPr>
        <w:ind w:right="140"/>
        <w:spacing w:after="0" w:line="260"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0" w:name="page231"/>
    <w:bookmarkEnd w:id="23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2017,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31" w:name="page232"/>
    <w:bookmarkEnd w:id="231"/>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4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Underwriting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articles of association of Genenta Science S.p.A. (to be effective upon completion of this offering).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by-laws of Genenta Science S.p.A. (to be effective upon completion of this offering).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Opinion of Giovanelli and Associates, Italian counsel to Genenta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License Agreement between Ospedale San Raffaele S.r.l. and Genenta Science S.r.l. dated December 15, 2014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Master Service Agreement dated March 6, 2019 between Molecular Medicine S.p.A. and Genenta Science S.r.l.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Form of 2021-2025 Genenta Science Employee Share Option Plan with Chairman Sub-Plan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Mayer Hoffman McCann, P.C.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Giovanelli and Associates, Italian counsel to Genenta (included in Exhibit 5.1).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23.3*</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Consent of Stephen Squinto to be named as a potential director in the Registration Statement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24.1*</w:t>
            </w:r>
          </w:p>
        </w:tc>
        <w:tc>
          <w:tcPr>
            <w:tcW w:w="10260" w:type="dxa"/>
            <w:vAlign w:val="bottom"/>
            <w:gridSpan w:val="2"/>
          </w:tcPr>
          <w:p>
            <w:pPr>
              <w:ind w:left="120"/>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filed by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w:t>
      </w: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duly authorized, in Milan, Italy on</w:t>
            </w:r>
          </w:p>
        </w:tc>
        <w:tc>
          <w:tcPr>
            <w:tcW w:w="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S.r.l.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06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Stephen Squinto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Roger Abravanel</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Daniela Bellomo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Guido Guidi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33" w:name="page234"/>
    <w:bookmarkEnd w:id="233"/>
    <w:p>
      <w:pPr>
        <w:jc w:val="center"/>
        <w:ind w:right="-1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ectPr>
          <w:pgSz w:w="11900" w:h="16838" w:orient="portrait"/>
          <w:cols w:equalWidth="0" w:num="1">
            <w:col w:w="11060"/>
          </w:cols>
          <w:pgMar w:left="320" w:top="715" w:right="519" w:bottom="1440" w:gutter="0" w:footer="0" w:header="0"/>
        </w:sectPr>
      </w:pP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Securities Act of 1933, as amended, the undersigned, Science S.r.l., has signed this registration statement on , 2021.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the duly authorized representative in the United States of Genenta</w:t>
      </w:r>
    </w:p>
    <w:p>
      <w:pPr>
        <w:spacing w:after="0" w:line="491" w:lineRule="exact"/>
        <w:rPr>
          <w:sz w:val="20"/>
          <w:szCs w:val="20"/>
          <w:color w:val="auto"/>
        </w:rPr>
      </w:pPr>
    </w:p>
    <w:p>
      <w:pPr>
        <w:sectPr>
          <w:pgSz w:w="11900" w:h="16838" w:orient="portrait"/>
          <w:cols w:equalWidth="0" w:num="2">
            <w:col w:w="5600" w:space="640"/>
            <w:col w:w="4820"/>
          </w:cols>
          <w:pgMar w:left="320" w:top="715" w:right="519" w:bottom="1440" w:gutter="0" w:footer="0" w:header="0"/>
          <w:type w:val="continuous"/>
        </w:sect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-115570</wp:posOffset>
            </wp:positionV>
            <wp:extent cx="320611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71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2"/>
    </w:lvl>
  </w:abstractNum>
  <w:abstractNum w:abstractNumId="1">
    <w:nsid w:val="A0382C5"/>
    <w:multiLevelType w:val="hybridMultilevel"/>
    <w:lvl w:ilvl="0">
      <w:lvlJc w:val="left"/>
      <w:lvlText w:val="1"/>
      <w:numFmt w:val="bullet"/>
      <w:start w:val="1"/>
    </w:lvl>
  </w:abstractNum>
  <w:abstractNum w:abstractNumId="2">
    <w:nsid w:val="8F2B15E"/>
    <w:multiLevelType w:val="hybridMultilevel"/>
    <w:lvl w:ilvl="0">
      <w:lvlJc w:val="left"/>
      <w:lvlText w:val="(%1)"/>
      <w:numFmt w:val="decimal"/>
      <w:start w:val="1"/>
    </w:lvl>
  </w:abstractNum>
  <w:abstractNum w:abstractNumId="3">
    <w:nsid w:val="1A32234B"/>
    <w:multiLevelType w:val="hybridMultilevel"/>
    <w:lvl w:ilvl="0">
      <w:lvlJc w:val="left"/>
      <w:lvlText w:val="(%1)"/>
      <w:numFmt w:val="lowerRoman"/>
      <w:start w:val="2"/>
    </w:lvl>
    <w:lvl w:ilvl="1">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decimal"/>
      <w:start w:val="1"/>
    </w:lvl>
  </w:abstractNum>
  <w:abstractNum w:abstractNumId="15">
    <w:nsid w:val="6EB5BD4"/>
    <w:multiLevelType w:val="hybridMultilevel"/>
    <w:lvl w:ilvl="0">
      <w:lvlJc w:val="left"/>
      <w:lvlText w:val="(%1)"/>
      <w:numFmt w:val="decimal"/>
      <w:start w:val="1"/>
    </w:lvl>
  </w:abstractNum>
  <w:abstractNum w:abstractNumId="16">
    <w:nsid w:val="6F6DD9AC"/>
    <w:multiLevelType w:val="hybridMultilevel"/>
    <w:lvl w:ilvl="0">
      <w:lvlJc w:val="left"/>
      <w:lvlText w:val="(%1)"/>
      <w:numFmt w:val="decimal"/>
      <w:start w:val="3"/>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lowerLetter"/>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1)"/>
      <w:numFmt w:val="lowerRoman"/>
      <w:start w:val="1"/>
    </w:lvl>
  </w:abstractNum>
  <w:abstractNum w:abstractNumId="83">
    <w:nsid w:val="4C9B0904"/>
    <w:multiLevelType w:val="hybridMultilevel"/>
    <w:lvl w:ilvl="0">
      <w:lvlJc w:val="left"/>
      <w:lvlText w:val="%1"/>
      <w:numFmt w:val="upperLetter"/>
      <w:start w:val="1"/>
    </w:lvl>
    <w:lvl w:ilvl="1">
      <w:lvlJc w:val="left"/>
      <w:lvlText w:val="%2)"/>
      <w:numFmt w:val="upperLetter"/>
      <w:start w:val="1"/>
    </w:lvl>
  </w:abstractNum>
  <w:abstractNum w:abstractNumId="84">
    <w:nsid w:val="6AA7B75C"/>
    <w:multiLevelType w:val="hybridMultilevel"/>
    <w:lvl w:ilvl="0">
      <w:lvlJc w:val="left"/>
      <w:lvlText w:val="%1)"/>
      <w:numFmt w:val="upperLetter"/>
      <w:start w:val="2"/>
    </w:lvl>
    <w:lvl w:ilvl="1">
      <w:lvlJc w:val="left"/>
      <w:lvlText w:val="%2"/>
      <w:numFmt w:val="upperLetter"/>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1."/>
      <w:numFmt w:val="decimal"/>
      <w:start w:val="5"/>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lvl w:ilvl="1">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lvl w:ilvl="1">
      <w:lvlJc w:val="left"/>
      <w:lvlText w:val="(%2)"/>
      <w:numFmt w:val="decimal"/>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1)"/>
      <w:numFmt w:val="lowerRoman"/>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1)"/>
      <w:numFmt w:val="lowerRoman"/>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lvl w:ilvl="1">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1)"/>
      <w:numFmt w:val="lowerLetter"/>
      <w:start w:val="1"/>
    </w:lvl>
  </w:abstractNum>
  <w:abstractNum w:abstractNumId="130">
    <w:nsid w:val="1816F8C4"/>
    <w:multiLevelType w:val="hybridMultilevel"/>
    <w:lvl w:ilvl="0">
      <w:lvlJc w:val="left"/>
      <w:lvlText w:val="(%1)"/>
      <w:numFmt w:val="decimal"/>
      <w:start w:val="3"/>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1)"/>
      <w:numFmt w:val="lowerLetter"/>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1)"/>
      <w:numFmt w:val="lowerLetter"/>
      <w:start w:val="17"/>
    </w:lvl>
    <w:lvl w:ilvl="1">
      <w:lvlJc w:val="left"/>
      <w:lvlText w:val="●"/>
      <w:numFmt w:val="bullet"/>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1."/>
      <w:numFmt w:val="decimal"/>
      <w:start w:val="9"/>
    </w:lvl>
    <w:lvl w:ilvl="1">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
      <w:numFmt w:val="bullet"/>
      <w:start w:val="1"/>
    </w:lvl>
  </w:abstractNum>
  <w:abstractNum w:abstractNumId="150">
    <w:nsid w:val="3FC32E20"/>
    <w:multiLevelType w:val="hybridMultilevel"/>
    <w:lvl w:ilvl="0">
      <w:lvlJc w:val="left"/>
      <w:lvlText w:val="%1)"/>
      <w:numFmt w:val="lowerLetter"/>
      <w:start w:val="1"/>
    </w:lvl>
  </w:abstractNum>
  <w:abstractNum w:abstractNumId="151">
    <w:nsid w:val="49C0E823"/>
    <w:multiLevelType w:val="hybridMultilevel"/>
    <w:lvl w:ilvl="0">
      <w:lvlJc w:val="left"/>
      <w:lvlText w:val="%1)"/>
      <w:numFmt w:val="lowerLetter"/>
      <w:start w:val="2"/>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2021-11-09T22:52:43Z</dcterms:created>
  <dcterms:modified xsi:type="dcterms:W3CDTF">2021-11-09T22:52:43Z</dcterms:modified>
</cp:coreProperties>
</file>