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 (g) OF THE SECURITIES EXCHANGE ACT OF 1934</w:t>
      </w:r>
    </w:p>
    <w:p>
      <w:pPr>
        <w:spacing w:after="0" w:line="2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right="2120" w:hanging="332"/>
        <w:spacing w:after="0" w:line="500"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660" w:right="1740" w:hanging="5652"/>
        <w:spacing w:after="0" w:line="486" w:lineRule="auto"/>
        <w:tabs>
          <w:tab w:leader="none" w:pos="331"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OR</w:t>
      </w:r>
    </w:p>
    <w:p>
      <w:pPr>
        <w:spacing w:after="0" w:line="25" w:lineRule="exact"/>
        <w:rPr>
          <w:rFonts w:ascii="MS PGothic" w:cs="MS PGothic" w:eastAsia="MS PGothic" w:hAnsi="MS PGothic"/>
          <w:sz w:val="18"/>
          <w:szCs w:val="18"/>
          <w:color w:val="auto"/>
        </w:rPr>
      </w:pPr>
    </w:p>
    <w:p>
      <w:pPr>
        <w:ind w:left="340" w:right="1320" w:hanging="332"/>
        <w:spacing w:after="0" w:line="500"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report__________</w:t>
      </w:r>
    </w:p>
    <w:p>
      <w:pPr>
        <w:spacing w:after="0" w:line="1"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001-41115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Pierluigi Paracchi</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+39-02-2643-4681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pierluigi.paracchi@genenta.com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22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4"/>
        </w:trPr>
        <w:tc>
          <w:tcPr>
            <w:tcW w:w="3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American depositary shares (each American</w:t>
            </w:r>
          </w:p>
        </w:tc>
        <w:tc>
          <w:tcPr>
            <w:tcW w:w="240" w:type="dxa"/>
            <w:vAlign w:val="bottom"/>
          </w:tcPr>
          <w:p>
            <w:pPr>
              <w:spacing w:after="0"/>
              <w:rPr>
                <w:sz w:val="16"/>
                <w:szCs w:val="16"/>
                <w:color w:val="auto"/>
              </w:rPr>
            </w:pPr>
          </w:p>
        </w:tc>
        <w:tc>
          <w:tcPr>
            <w:tcW w:w="2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GNTA</w:t>
            </w:r>
          </w:p>
        </w:tc>
        <w:tc>
          <w:tcPr>
            <w:tcW w:w="220" w:type="dxa"/>
            <w:vAlign w:val="bottom"/>
          </w:tcPr>
          <w:p>
            <w:pPr>
              <w:spacing w:after="0"/>
              <w:rPr>
                <w:sz w:val="16"/>
                <w:szCs w:val="16"/>
                <w:color w:val="auto"/>
              </w:rPr>
            </w:pPr>
          </w:p>
        </w:tc>
        <w:tc>
          <w:tcPr>
            <w:tcW w:w="4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depositary share representing one ordinary</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10"/>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no par value</w:t>
            </w:r>
            <w:r>
              <w:rPr>
                <w:rFonts w:ascii="Times New Roman" w:cs="Times New Roman" w:eastAsia="Times New Roman" w:hAnsi="Times New Roman"/>
                <w:sz w:val="18"/>
                <w:szCs w:val="18"/>
                <w:color w:val="auto"/>
                <w:w w:val="99"/>
              </w:rPr>
              <w:t>*</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4"/>
          <w:szCs w:val="24"/>
          <w:color w:val="auto"/>
        </w:rPr>
      </w:pPr>
    </w:p>
    <w:p>
      <w:pPr>
        <w:ind w:left="2880" w:right="2460" w:hanging="2872"/>
        <w:spacing w:after="0" w:line="527" w:lineRule="auto"/>
        <w:tabs>
          <w:tab w:leader="none" w:pos="3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listing of American depositary shares on The Nasdaq Capital Market. Securities registered or to be registered pursuant to Section 12(g) of the Act: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registrant had 18,216,858 ordinary shares outstanding as of December 31, 2022.</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2"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33" w:lineRule="exact"/>
        <w:rPr>
          <w:sz w:val="20"/>
          <w:szCs w:val="20"/>
          <w:color w:val="auto"/>
        </w:rPr>
      </w:pPr>
    </w:p>
    <w:p>
      <w:pPr>
        <w:spacing w:after="0" w:line="207" w:lineRule="exact"/>
        <w:tabs>
          <w:tab w:leader="none" w:pos="2800" w:val="left"/>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4"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ind w:left="340" w:hanging="332"/>
        <w:spacing w:after="0" w:line="184" w:lineRule="auto"/>
        <w:tabs>
          <w:tab w:leader="none" w:pos="34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pacing w:after="0" w:line="198"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ind w:left="94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200" w:hanging="51"/>
        <w:spacing w:after="0" w:line="235"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92" w:lineRule="exact"/>
        <w:rPr>
          <w:sz w:val="20"/>
          <w:szCs w:val="20"/>
          <w:color w:val="auto"/>
        </w:rPr>
      </w:pPr>
    </w:p>
    <w:p>
      <w:pPr>
        <w:sectPr>
          <w:pgSz w:w="11900" w:h="16838" w:orient="portrait"/>
          <w:cols w:equalWidth="0" w:num="3">
            <w:col w:w="3040" w:space="720"/>
            <w:col w:w="5000" w:space="720"/>
            <w:col w:w="1760"/>
          </w:cols>
          <w:pgMar w:left="320" w:top="121"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0" w:type="dxa"/>
            <w:vAlign w:val="bottom"/>
            <w:gridSpan w:val="4"/>
            <w:shd w:val="clear" w:color="auto" w:fill="CCEEFF"/>
          </w:tcPr>
          <w:p>
            <w:pPr>
              <w:ind w:left="320"/>
              <w:spacing w:after="0" w:line="162"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5"/>
                <w:szCs w:val="15"/>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120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[Reserved]</w:t>
            </w:r>
          </w:p>
        </w:tc>
        <w:tc>
          <w:tcPr>
            <w:tcW w:w="8420" w:type="dxa"/>
            <w:vAlign w:val="bottom"/>
            <w:tcBorders>
              <w:top w:val="single" w:sz="8" w:color="CCEEFF"/>
            </w:tcBorders>
            <w:gridSpan w:val="2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Capitalization and Indebtedness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Reasons for the Offer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1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on the Company</w:t>
            </w:r>
          </w:p>
        </w:tc>
        <w:tc>
          <w:tcPr>
            <w:tcW w:w="75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6"/>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History and Development of the Company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Business Overview</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Organizational Structure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Property, Plants and Equipment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33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62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Operating Results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Liquidity and Capital Resources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112</w:t>
            </w:r>
          </w:p>
        </w:tc>
      </w:tr>
      <w:tr>
        <w:trPr>
          <w:trHeight w:val="176"/>
        </w:trPr>
        <w:tc>
          <w:tcPr>
            <w:tcW w:w="9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w:t>
            </w:r>
          </w:p>
        </w:tc>
        <w:tc>
          <w:tcPr>
            <w:tcW w:w="23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Research and Development</w:t>
            </w:r>
          </w:p>
        </w:tc>
        <w:tc>
          <w:tcPr>
            <w:tcW w:w="730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13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7"/>
              </w:rPr>
              <w:t>Trend Information</w:t>
            </w:r>
          </w:p>
        </w:tc>
        <w:tc>
          <w:tcPr>
            <w:tcW w:w="830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E.</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Critical Accounting Estimates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25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Directors and Senior Management</w:t>
            </w:r>
          </w:p>
        </w:tc>
        <w:tc>
          <w:tcPr>
            <w:tcW w:w="71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117</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Board Practices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118</w:t>
            </w:r>
          </w:p>
        </w:tc>
      </w:tr>
      <w:tr>
        <w:trPr>
          <w:trHeight w:val="176"/>
        </w:trPr>
        <w:tc>
          <w:tcPr>
            <w:tcW w:w="980" w:type="dxa"/>
            <w:vAlign w:val="bottom"/>
            <w:tcBorders>
              <w:top w:val="single" w:sz="8" w:color="CCEEFF"/>
            </w:tcBorders>
          </w:tcPr>
          <w:p>
            <w:pPr>
              <w:ind w:left="400"/>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11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Employees</w:t>
            </w:r>
          </w:p>
        </w:tc>
        <w:tc>
          <w:tcPr>
            <w:tcW w:w="8460" w:type="dxa"/>
            <w:vAlign w:val="bottom"/>
            <w:tcBorders>
              <w:top w:val="single" w:sz="8" w:color="CCEEFF"/>
            </w:tcBorders>
            <w:gridSpan w:val="3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E.</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Share Ownership</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F.</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Disclosure of a Registrant’s Action to Recover Erroneously Awarded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Major Shareholders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Related Party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122</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Interests of Experts and Counsel</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15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8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175"/>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Consolidated Statements and Other Financial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Significant Changes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15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8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176"/>
        </w:trPr>
        <w:tc>
          <w:tcPr>
            <w:tcW w:w="98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962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Offer and Listing Details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175"/>
        </w:trPr>
        <w:tc>
          <w:tcPr>
            <w:tcW w:w="980" w:type="dxa"/>
            <w:vAlign w:val="bottom"/>
            <w:tcBorders>
              <w:top w:val="single" w:sz="8" w:color="CCEEFF"/>
            </w:tcBorders>
          </w:tcPr>
          <w:p>
            <w:pPr>
              <w:ind w:left="420"/>
              <w:spacing w:after="0" w:line="176" w:lineRule="exact"/>
              <w:rPr>
                <w:sz w:val="20"/>
                <w:szCs w:val="20"/>
                <w:color w:val="auto"/>
              </w:rPr>
            </w:pPr>
            <w:r>
              <w:rPr>
                <w:rFonts w:ascii="Times New Roman" w:cs="Times New Roman" w:eastAsia="Times New Roman" w:hAnsi="Times New Roman"/>
                <w:sz w:val="18"/>
                <w:szCs w:val="18"/>
                <w:i w:val="1"/>
                <w:iCs w:val="1"/>
                <w:color w:val="auto"/>
              </w:rPr>
              <w:t>C.</w:t>
            </w:r>
          </w:p>
        </w:tc>
        <w:tc>
          <w:tcPr>
            <w:tcW w:w="14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Markets</w:t>
            </w:r>
          </w:p>
        </w:tc>
        <w:tc>
          <w:tcPr>
            <w:tcW w:w="8180" w:type="dxa"/>
            <w:vAlign w:val="bottom"/>
            <w:tcBorders>
              <w:top w:val="single" w:sz="8" w:color="CCEEFF"/>
            </w:tcBorders>
            <w:gridSpan w:val="2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9620" w:type="dxa"/>
            <w:vAlign w:val="bottom"/>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Selling Shareholders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439"/>
        </w:trPr>
        <w:tc>
          <w:tcPr>
            <w:tcW w:w="9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36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E.</w:t>
            </w:r>
          </w:p>
        </w:tc>
        <w:tc>
          <w:tcPr>
            <w:tcW w:w="60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EE"/>
                <w:w w:val="96"/>
              </w:rPr>
              <w:t>Dilution</w:t>
            </w:r>
          </w:p>
        </w:tc>
        <w:tc>
          <w:tcPr>
            <w:tcW w:w="5000" w:type="dxa"/>
            <w:vAlign w:val="bottom"/>
            <w:tcBorders>
              <w:bottom w:val="single" w:sz="8" w:color="CCEEFF"/>
            </w:tcBorders>
            <w:gridSpan w:val="33"/>
            <w:shd w:val="clear" w:color="auto" w:fill="CCEEFF"/>
          </w:tcPr>
          <w:p>
            <w:pPr>
              <w:spacing w:after="0"/>
              <w:rPr>
                <w:sz w:val="19"/>
                <w:szCs w:val="19"/>
                <w:color w:val="auto"/>
              </w:rPr>
            </w:pPr>
          </w:p>
        </w:tc>
        <w:tc>
          <w:tcPr>
            <w:tcW w:w="46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r>
      <w:tr>
        <w:trPr>
          <w:trHeight w:val="175"/>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0"/>
              </w:rPr>
              <w:t>F.</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Expenses of the Issue</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10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7"/>
              </w:rPr>
              <w:t>Share Capital</w:t>
            </w:r>
          </w:p>
        </w:tc>
        <w:tc>
          <w:tcPr>
            <w:tcW w:w="4600" w:type="dxa"/>
            <w:vAlign w:val="bottom"/>
            <w:tcBorders>
              <w:bottom w:val="single" w:sz="8" w:color="CCEEFF"/>
            </w:tcBorders>
            <w:gridSpan w:val="30"/>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175"/>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Memorandum and Articles of Association</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6"/>
              </w:rPr>
              <w:t>C.</w:t>
            </w:r>
          </w:p>
        </w:tc>
        <w:tc>
          <w:tcPr>
            <w:tcW w:w="5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Material Contracts</w:t>
            </w:r>
          </w:p>
        </w:tc>
        <w:tc>
          <w:tcPr>
            <w:tcW w:w="46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175"/>
        </w:trPr>
        <w:tc>
          <w:tcPr>
            <w:tcW w:w="980" w:type="dxa"/>
            <w:vAlign w:val="bottom"/>
            <w:tcBorders>
              <w:top w:val="single" w:sz="8" w:color="CCEEFF"/>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1380" w:type="dxa"/>
            <w:vAlign w:val="bottom"/>
            <w:tcBorders>
              <w:top w:val="single" w:sz="8" w:color="0000EE"/>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Exchange Controls</w:t>
            </w:r>
          </w:p>
        </w:tc>
        <w:tc>
          <w:tcPr>
            <w:tcW w:w="4220" w:type="dxa"/>
            <w:vAlign w:val="bottom"/>
            <w:tcBorders>
              <w:top w:val="single" w:sz="8" w:color="CCEEFF"/>
            </w:tcBorders>
            <w:gridSpan w:val="26"/>
          </w:tcPr>
          <w:p>
            <w:pPr>
              <w:spacing w:after="0"/>
              <w:rPr>
                <w:sz w:val="15"/>
                <w:szCs w:val="15"/>
                <w:color w:val="auto"/>
              </w:rPr>
            </w:pPr>
          </w:p>
        </w:tc>
        <w:tc>
          <w:tcPr>
            <w:tcW w:w="4660" w:type="dxa"/>
            <w:vAlign w:val="bottom"/>
            <w:tcBorders>
              <w:top w:val="single" w:sz="8" w:color="CCEEFF"/>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E.</w:t>
            </w:r>
          </w:p>
        </w:tc>
        <w:tc>
          <w:tcPr>
            <w:tcW w:w="5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Taxation</w:t>
            </w:r>
          </w:p>
        </w:tc>
        <w:tc>
          <w:tcPr>
            <w:tcW w:w="46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125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0"/>
              </w:rPr>
              <w:t>F.</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Dividends and Paying Agents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G.</w:t>
            </w:r>
          </w:p>
        </w:tc>
        <w:tc>
          <w:tcPr>
            <w:tcW w:w="15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Statement by Experts</w:t>
            </w:r>
          </w:p>
        </w:tc>
        <w:tc>
          <w:tcPr>
            <w:tcW w:w="4080" w:type="dxa"/>
            <w:vAlign w:val="bottom"/>
            <w:tcBorders>
              <w:bottom w:val="single" w:sz="8" w:color="CCEEFF"/>
            </w:tcBorders>
            <w:gridSpan w:val="24"/>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130</w:t>
            </w:r>
          </w:p>
        </w:tc>
      </w:tr>
      <w:tr>
        <w:trPr>
          <w:trHeight w:val="176"/>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H.</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Documents on Display</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4"/>
              </w:rPr>
              <w:t>I.</w:t>
            </w:r>
          </w:p>
        </w:tc>
        <w:tc>
          <w:tcPr>
            <w:tcW w:w="16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9"/>
              </w:rPr>
              <w:t>Subsidiary Information</w:t>
            </w:r>
          </w:p>
        </w:tc>
        <w:tc>
          <w:tcPr>
            <w:tcW w:w="3920" w:type="dxa"/>
            <w:vAlign w:val="bottom"/>
            <w:tcBorders>
              <w:bottom w:val="single" w:sz="8" w:color="CCEEFF"/>
            </w:tcBorders>
            <w:gridSpan w:val="21"/>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5"/>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5"/>
              </w:rPr>
              <w:t>J.</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Annual Report to Security Holders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A.</w:t>
            </w:r>
          </w:p>
        </w:tc>
        <w:tc>
          <w:tcPr>
            <w:tcW w:w="5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Debt Securities</w:t>
            </w:r>
          </w:p>
        </w:tc>
        <w:tc>
          <w:tcPr>
            <w:tcW w:w="466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B.</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Warrants and Rights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6"/>
              </w:rPr>
              <w:t>C.</w:t>
            </w:r>
          </w:p>
        </w:tc>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0000EE"/>
                <w:w w:val="98"/>
              </w:rPr>
              <w:t>Other Securities</w:t>
            </w:r>
          </w:p>
        </w:tc>
        <w:tc>
          <w:tcPr>
            <w:tcW w:w="4420" w:type="dxa"/>
            <w:vAlign w:val="bottom"/>
            <w:tcBorders>
              <w:bottom w:val="single" w:sz="8" w:color="CCEEFF"/>
            </w:tcBorders>
            <w:gridSpan w:val="28"/>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6"/>
        </w:trPr>
        <w:tc>
          <w:tcPr>
            <w:tcW w:w="9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rPr>
              <w:t>D.</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i w:val="1"/>
                <w:iCs w:val="1"/>
                <w:color w:val="0000EE"/>
              </w:rPr>
              <w:t>American Depositary Shares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6"/>
          </w:tcPr>
          <w:p>
            <w:pPr>
              <w:jc w:val="center"/>
              <w:ind w:right="50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4660" w:type="dxa"/>
            <w:vAlign w:val="bottom"/>
          </w:tcPr>
          <w:p>
            <w:pPr>
              <w:spacing w:after="0"/>
              <w:rPr>
                <w:sz w:val="15"/>
                <w:szCs w:val="15"/>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133</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600" w:type="dxa"/>
            <w:vAlign w:val="bottom"/>
            <w:tcBorders>
              <w:bottom w:val="single" w:sz="8" w:color="0000EE"/>
            </w:tcBorders>
            <w:gridSpan w:val="34"/>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Audit Committee Financial Expert</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Code of Ethics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Principal Accountant Fees and Services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Exemption from the Listing Standards for Audit Committees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Purchases of Equity Securities by the Issuer and Affiliated Purchasers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Change in Registrant’s Certifying Accountant</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Corporate Governance</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Mine Safety Disclosure</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 Disclosure Regarding Foreign Jurisdictions that Prevent Inspections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7"/>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4660" w:type="dxa"/>
            <w:vAlign w:val="bottom"/>
          </w:tcPr>
          <w:p>
            <w:pPr>
              <w:spacing w:after="0"/>
              <w:rPr>
                <w:sz w:val="15"/>
                <w:szCs w:val="15"/>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560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138</w:t>
            </w:r>
          </w:p>
        </w:tc>
      </w:tr>
      <w:tr>
        <w:trPr>
          <w:trHeight w:val="460"/>
        </w:trPr>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Annual Report on Form 20-F (this “Annual Report”), unless otherwise indicated or the context otherwise requires, references to</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“Genenta,” “us,” “our,” “the Company,” or “our company” are to Genenta Science S.p.A., including its subsidiaries;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no par value;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or “American Depositary Shares” are to our American depositary shares, each representing one ordinary share;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are to the Nasdaq Capital Market;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“Italy” are to the Republic of Italy;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“dollars,” “USD$” or “U.S. dollars” are to the legal currency of the United States;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“EURO” are to the legal currency of the European Union.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Solely for the convenience of the reader, this Annual Report contains translations of certain EURO amounts into U.S. dollars at specified rates. Except as otherwise stated in this Annual Report, all translations from EURO to U.S. dollars are based on the noon buying rate of €1.00 per $1.0666in the City of New York for cable transfers of EUROs, as certified for customs purposes by the Federal Reserve Bank of New York on December 30, 2022. No representation is made that such EURO amounts referred to in this Annual Report could have been or could be converted into U.S. dollars at such rates or any other rates. Any discrepancies in any table between totals and sums of the amounts listed are due to rounding.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and notes thereto as of and for fiscal 2022, 2021 and 2020 included elsewhere in this Annual Report have been prepared in accordance with U.S. generally accepted accounting principles (“US GAAP”). Our fiscal semi-annual year end is June 30 and our fiscal year end is December 31.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2021, we converted from a limited liability company (società a responsabilità limitata, or “S.r.l.”) to a joint stock company (società per azioni, or an “S.p.A.”) (the “Corporate Conversion”). This change in incorporation did not affect the financial information presented in this Annual Report, except for the transformation of our quotas into ordinary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contains many statements that are “forward-looking”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Annual Report, any or all of those assumptions could prove to be inaccurate. As a result, the forward-looking statements based on those assumptions could also be incorrect. The forward-looking statements in this Annual Report include, without limitation, statements relating to:</w:t>
      </w:r>
    </w:p>
    <w:p>
      <w:pPr>
        <w:spacing w:after="0" w:line="189"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 profits, earnings and other estimated financial information;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strong relationships with our customers and suppliers;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proceeds;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regarding our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included in this Annual Report are subject to known and unknown risks, uncertainties and assumptions about our businesses and business environments. These statements reflect our current views with respect to future events and are not a guarantee of future performance. Actual results of our operations may differ materially from information contained in the forward-looking statements as a result of risk factors, some of which are described under the headings “Risk Factors”, “Operating and Financial Review and Prospects,” “Information on our Company” and elsewhere in this Annual Report.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risks and uncertainties are not exhaustive. Other sections of this Annual Report include additional factors which could adversely impact our business and financial performance. The forward-looking statements contained in this Annual Report speak only as of the date of this Annual Report or, if obtained from third-party studies or reports, the date of the corresponding study or report, and are expressly qualified in their entirety by the cautionary statements in this Annual Report. Since we operate in an emerging and evolving environment and new risk factors and uncertainties emerge from time to time, you should not rely upon forward-looking statements as predictions of future events. Except as otherwise required by the securities laws of the United States, the European Union and Italy, we undertake no obligation to update or revise any forward-looking statements to reflect events or circumstances after the date of this Annual Report or to reflect the occurrence of unanticipated events.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Auditors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Statistics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Method and Expect</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8540" w:hanging="652"/>
        <w:spacing w:after="0" w:line="500" w:lineRule="auto"/>
        <w:tabs>
          <w:tab w:leader="none" w:pos="22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Reasons for the Offer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report, including various changing regulatory, competitive, economic, political and social risks and conditions described below, before making an investment in our ordinary shares. One or more of a combination of these risks could materially impact our business, results of operations and financial condition. In any such case, the market price of our ADSs or ordinary shares could decline, and you may lose all or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relating to our business include issues arising from the following matters and related adverse developments:</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San Raffaele Hospital (“OSR”) and any failure to comply with the terms of such license agreement could have a material adverse effect on our intellectual property position and our ability to seek approval for and ultimately commercialize such product candidates.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ind w:left="660" w:hanging="328"/>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very few employees and rely almost entirely on the efforts of third parties over which we have limited control and in certain cases are reliant on a sole supplier for our materials. Our contract research organizations (“CROs”) may fail to observe the standards to which our studies must be conducted, and our product candidates may not be approved as a result. Likewise, our contract manufacturing organizations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directors and shareholders who own more than 5% of our outstanding ordinary shares currently own approximately 30.59% of our ordinary shares and will therefore be able to exert significant control over matters submitted to our shareholders for approval.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will need to comply with extensive additional U.S. and Italian governmental regulations and Nasdaq rules, which will be expensive, and require significant management attention.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organized under the laws of Italy and whose shares are represented by ADSs, the rights of investors in the company differ in several material respects from the rights of holders of shares of common stock of a US domestic company and may not provide investors the same protections.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products approved for commercial sale, have not generated any revenue from commercial sales of our product candidates, and have incurred losses each year since our inception. Our losses for the years ended December 31, 2022, 2021, and 2020, were approximately €8.5 million, €5.5 million, and €5.6 million, respectively. As of December 31, 2022, we had an accumulated deficit of approximately €35.5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any product approved for commercial sale. We have funded our operations to date primarily through proceeds from our initial public offering of ADSs and ordinary shares in December 2021 (the “IPO”) and, prior to our IPO,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80"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regulatory approval for registration studies for our current product candidate, Temferon, and any additional product candidates that we may pursue in the future;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 that successfully complete clinical studies, including obtaining orphan drug designation;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industrialize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approach into a robust, scalable and, if approved, commercially viable process;</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qualified technical personnel, such as clinical, quality control, commercial and scientific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support our operations, including adding equipment and physical infrastructure to support our research and development;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revenue from product sales and may never be profitable.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 and non-clinical development of our products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studies, if 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if approved for marketing, as viable treatment options.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our cash and cash equivalents were approximately €29.8 million. If we continue to use cash at our historical rates of use, we will need significant additional financing, which we may seek through a combination of private and public equity offerings, debt financings and collaboration, in-licensing arrangements, joint ventures, strategic alliances or partnerships. For example, we may file with the Securities and Exchange Commission (the “SEC”) a shelf registration statement, which if declared effective by the SEC, may permit us to sell from time to time additional ordinary shares (including in the form of ADSs) or other securities in one or more offerings in amounts, at prices and on the terms that we will determine at the time of offering.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collaborations, licensing arrangements, joint ventures, strategic alliances or partnerships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 and non-clinical development and clinical trials for our product candidates, including Temferon;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and trademark applications, maintaining and enforcing our intellectual property rights and defending our intellectual property-related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concentrated our research and development efforts on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obtaining regulatory approval for our product candidates, as the FDA, the EMA, the AIFA and other regulatory authorities have limited experience with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therapies for cancer;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ind w:left="660" w:right="20" w:hanging="328"/>
        <w:spacing w:after="0" w:line="28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developing and deploying consistent and reliable processes for engineering a patient’s HSPCs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infusing the engineered HSPCs back into the patient;</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if approved, commercial supplies of the materials used to manufacture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programming modules with the desired properties, while avoiding adverse reactions;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viral vectors capable of delivering multiple programming modules;</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developing a reliable and consistent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modification and manufacturing process;</w:t>
      </w:r>
    </w:p>
    <w:p>
      <w:pPr>
        <w:spacing w:after="0" w:line="22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manufacturing capacity suitable for the manufacture of our product candidates in line with expanding enrollment in our clinical studies and our projected commercial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and avoiding infection and contamination during production of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protocols for the safe administration of our product candidates;</w:t>
      </w:r>
    </w:p>
    <w:p>
      <w:pPr>
        <w:spacing w:after="0" w:line="22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educating medical personnel regarding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technologies and the potential side effect profile of each of our product candidates, such as potential adverse effects related to pyrexia and infections;</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cell therapies;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may not be able to successfully develop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we are subject to additional regulatory challenges and risks, including:</w:t>
      </w:r>
    </w:p>
    <w:p>
      <w:pPr>
        <w:spacing w:after="0" w:line="17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regulatory requirements governing gene and cell therapy products are evolving in response to new clinical data. To date, several cell therapy products that involve the genetic modification of patient cells have been approved in the United States and/or the European Union, including two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products;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 w:name="page12"/>
    <w:bookmarkEnd w:id="1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therapy product candidates and the process for administering our product candidates may cause undesirable side effects or have other properties that could delay, prevent their regulatory approval, limit their commercial potential or result in significant negative consequences following any potential marketing approval.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side effects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glioblastoma multiforme (“GBM”) patients died (day +60 and +122) due to complications following the conditioning regimens.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 deaths and severe adverse events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Risk Evaluation and Mitigation Strategy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18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product candidate;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limitations of use in product labeling;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distributed, dispensed, or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evaluating Temferon in a Phase 1/2a clinical trial in newly diagnosed unmethylated MGMT gene promoter glioblastoma tumor patients (the “TEM-GBM Study”). To date, the TEM-GBM Study is ongoing and not complete.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(“BLA”) to the FDA for any product candidate.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commencement and completion of clinical trials.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(“IRB”) approval to conduct a clinical trial at a prospective site;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practices (“GCP”) or applicable regulatory guidelines in other countries;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contract research organizations (“CROs”) and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CROs, other third parties or us to adhere to clinical trial protocol and record keeping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sites or patients dropping out of a study;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associated with the product candidate that are viewed to outweigh its potential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a product candidate or other materials necessary to conduct our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 and</w:t>
      </w:r>
    </w:p>
    <w:p>
      <w:pPr>
        <w:spacing w:after="0" w:line="225" w:lineRule="exact"/>
        <w:rPr>
          <w:rFonts w:ascii="Times New Roman" w:cs="Times New Roman" w:eastAsia="Times New Roman" w:hAnsi="Times New Roman"/>
          <w:sz w:val="18"/>
          <w:szCs w:val="18"/>
          <w:color w:val="auto"/>
        </w:rPr>
      </w:pPr>
    </w:p>
    <w:p>
      <w:pPr>
        <w:ind w:left="5540" w:right="100" w:hanging="5208"/>
        <w:spacing w:after="0" w:line="532"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the EMA or other regulatory authorities elect to enact policy changes, as a result of the ongoing COVID-19 pandemic or otherwise.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those that result from the ongoing COVID-19 pandemic) or lack of effectiveness;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and the ability to obtain and maintain subject consent, as well as the risk that enrolled subjects will drop out before completion of the trial.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ongoing COVID-19 pandemic may directly or indirectly impact the pace of enrollment in our clinical trials or the ability of healthcare facilities and physician’ to perform clinical trial services. See “Risks Related to Our Business Operations – We face business disruption and related risks resulting from the ongoing COVID-19 pandemic, which could have a material adverse effect on our business and results of operations” for additional information.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gene therapy protocols;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laws, medical standards and regulatory requirements, including the regulation of pharmaceutical and biotechnology products and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may seek a regenerative medicine advanced therapy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will provide the comprehensive clinical data post-authorization;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unmet medical needs will be fulfilled;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is still required.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Temferon for the treatment of GBM and we may seek orphan drug designation for additional indications and for other product candidates. 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Temferon has been granted orphan drug designation in the United States for the treatment of GBM. If we request orphan drug designation from the FDA for Temferon for additional indications, if we request the international equivalent from the applicable regulatory authorities for Temferon or if we request orphan drug designation or the international equivalent for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183"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and maintain regulatory approval for a product candidate, our products will remain subject to ongoing regulatory oversight.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current good manufacturing practices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a regulatory authority may:</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that we are in violation of the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BLA or comparable foreign marketing application (or any supplements thereto) submitted by us or our strategic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products or require the withdrawal of the product from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the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or alternative transactions and arrangements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available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the EMA or other regulatory authority or agreed to by us as part of a mandatory or voluntary risk management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competitive products expected to be commercially launched in the near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in relation to alternative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is included under physician treatment guidelines as a first-, second-, or third-line therapy;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the willingness of patients to pay out-of-pocket in the absence of coverage by third-party payors;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for drugs out of pocket in the absence of third-party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collaborations or alternative transactions or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19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increased warnings on product labels;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to defend the related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our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clinical trial participants, patients or other claimants;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premiums;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initiation of investigations by regulators or other authorities;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our product candidates, if approved.</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certain of our drug products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ongoing regulatory requirements could cause us to suspend production or put in place costly or time-consuming remedial measures.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certain of our drug products.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 therapies are for autologous use only. Therefore, if a drug product is administered to the wrong patient, the patient could suffer harm.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collaborations, licensing arrangements, joint ventures, strategic alliances, partnerships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our CMO for the production of our viral vectors and certain of our drug products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our current CMO is entitled to terminate its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and/or drug product in the future and to perform quality testing, and reliance on these third parties entails risks including:</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for certain aspects of manufacturing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and service agreements with third parties in a manner or at a time that is costly or damaging to 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GCP, and Good Laboratory Practices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Our failure to comply with these regulations may require us to repeat clinical studies, which would delay the regulatory approval process.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reliance on these suppliers subjects us to a number of risks that could harm our reputation, business, and financial condition, including, among other things:</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supplier’s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variation in a component;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for key components with our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supply in a timely manner, or to obtain adequate supply on commercially reasonable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associated with locating and qualifying alternative suppliers for our components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our suppliers prioritizing other customer orders over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components produced by our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 based upon defects in components produced by our suppliers;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us or their other customers.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collaborations, licensing arrangements, joint ventures, strategic alliances or partnerships that we may enter into in the future may not be successful, which could adversely affect our ability to develop and commercialize our current and potential future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collaborations, licensing arrangements, joint ventures, strategic alliances or partnerships with biotechnology or pharmaceutical companies or other third parties for the development or commercialization of our current and potential future product candidates. We may enter into these transactions or arrangements on a selective basis depending on the merits of retaining commercialization rights for ourselves as compared to entering into selective transactions or arrangements with other biotechnology or pharmaceutical companies or other third parties for each product candidate, both in the United States and internationally. We will face, to the extent that we decide to enter into these transactions or arrangements, significant competition in seeking appropriate collaborators. Moreover, collaborations or alternative transactions or arrangements are complex and time consuming to negotiate, document and implement. We may not be successful in our efforts to establish and implement collaborations or other alternative transactions or arrangements should we so choose to enter into such transactions or arrangements. The terms of any collaborations or other transactions or arrangements that we may establish may not be favorable to us.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the ownership or control of intellectual property developed during the collaboration or the scope of our or our collaborators’ other rights or obligations related to development or commercialization activities.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Disagreements between us and our collaborators can lead to delays in the development process or commercializing the applicable product candidate or product, may result in litigation or arbitration, which would increase our expenses and divert the attention of our management, and may result in termination or dissolution of the transaction or arrangement and, in such event, we may not continue to have rights to the product candidate or products relating to such transaction or arrangement or may need to purchase such rights at a premium. These disagreements can be difficult to resolve if neither of the parties has final decision-making authority.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Our license agreement with OSR imposes upon us various diligence, payment and other obligations, including the following:</w:t>
      </w:r>
    </w:p>
    <w:p>
      <w:pPr>
        <w:spacing w:after="0" w:line="225" w:lineRule="exact"/>
        <w:rPr>
          <w:sz w:val="20"/>
          <w:szCs w:val="20"/>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OSR royalties based on net sales of each licensed product that we commercialize under the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a percentage of income derived from sublicenses for each licensed product sublicensed under the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fees associated with the prosecution, maintenance, or filing of the patents and patent applications we have licensed.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In particular, in March 2023, we entered into an amended and restated license agreement with OSR to expand the license to all solid tumor indications and (ii) carve out all lympho-hematopoietic indications and grant us an option to include lympho-hematopoietic indications. However, the amendment and restatement of the existing OSR license agreement is subject to Italy’s “Golden Power” regulations and will not be effective until the applicable Italian governmental authority consents or is deemed to have consented to the amendment and restatement. As a result, we may not be able to prevent competitors from developing and commercializing competitive products.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our license, we are required to commence a Phase III Clinical Trial in the U.S. regarding Temferon for GBM prior to 72 months from first patient dosed, or by July 8, 2025. If we fail to comply with the obligations under our license agreement, including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Disputes may arise regarding intellectual property subject to, and any of our rights and obligations under, any license or other strategic agreement, including:</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misappropriate or violate the intellectual property of the licensor that is not subject to the license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any such agreement or collaborative relationships;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left="580" w:hanging="275"/>
        <w:spacing w:after="0" w:line="282"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580" w:hanging="275"/>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effectiveness of the amendment and restatement of the OSR license agreement is subject to government consent, which may not be granted.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2023, we entered into an amended and restated license agreement with OSR (i) to expand the license to all solid tumor indications and (ii) carve out all lympho-hematopoietic indications and grant us an option to include lympho-hematopoietic indications. The amendment and restatement of the existing OSR license agreement is subject to Italy’s Law Decree No. 21 of March 15, 2012 (the so-called Italian </w:t>
      </w:r>
      <w:r>
        <w:rPr>
          <w:rFonts w:ascii="Times New Roman" w:cs="Times New Roman" w:eastAsia="Times New Roman" w:hAnsi="Times New Roman"/>
          <w:sz w:val="18"/>
          <w:szCs w:val="18"/>
          <w:i w:val="1"/>
          <w:iCs w:val="1"/>
          <w:color w:val="auto"/>
        </w:rPr>
        <w:t>“Golden Power”</w:t>
      </w:r>
      <w:r>
        <w:rPr>
          <w:rFonts w:ascii="Times New Roman" w:cs="Times New Roman" w:eastAsia="Times New Roman" w:hAnsi="Times New Roman"/>
          <w:sz w:val="18"/>
          <w:szCs w:val="18"/>
          <w:color w:val="auto"/>
        </w:rPr>
        <w:t xml:space="preserve"> regulations), as subsequently amended and supplemented, and will not be effective until the applicable Italian governmental authority consents to the amendment and restatement. This consent will be deemed given after the statutory period lapses without any response from the governmental authority. Further, the amended and restated license agreement stipulates that if such consent or deemed consent from the governmental authority is not granted within 90 days of the execution date of the agreement, the amendment and restatement will not be effective, and the original OSR license agreement will remain in place, with certain option rights extended until 30 days following such 90-day period. Under the Golden Power regulations, the Italian government has the power to veto or impose specific conditions regarding the amendment and restatement, and accordingly there can be no assurance that the consent or deemed consent will be granted and the amendment and restatement will become effective.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Composition of matter patent claims on the active pharmaceutical ingredient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may not be broad or strong enough to prevent competition from other gene therapy products including identical or similar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are not issued or if issued patents expire, there would be no protections against competitors making generic equivalents;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prior art of which we are not aware that may affect the validity or enforceability of a patent claim;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that we have been granted licenses to are challenged, a court could determine that they are not valid or enforceable;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could determine that a competitor’s technology or product does not infringe patents that we have been granted licenses to;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to which we have been granted licenses could irretrievably lapse due to failure to pay fees or otherwise comply with regulations, or could be subject to compulsory licensing;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delays in our development or clinical trials, the period of time during which we could market our products under patent protection would be reduced.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501"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The patents and pending patent applications licensed to us for our product candidates are expected to expire on various dates as described in “Business— Intellectual Property.” Upon the expiration, we will not be able to assert such licensed patent rights against potential competitors, which would materially adversely affect our business, financial condition,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possibility of litigation relating to infringement claims asserted against it, we may become a party to other patent litigation and other proceedings,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 -examination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upon our trademarks and we may not have adequate resources to enforce our trademarks.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we may not be able to compete effectively in our markets.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aware of issued patents in the United States that cover the lentiviral vectors used in the manufacture of our product candidates.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In this respect, our key people Mr. Luigi Naldini and Mr. Bernhard Gentner are also employees of OSR - San Raffaele Hospital,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claims challenging the inventorship of patents and other intellectual property that we have been granted licenses to.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compensation for their work in developing intellectual property, which in turn could impact our future profitability.</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not entered into non-competition agreements with our current employees in order to prevent them, after the termination of their employment, to perform competitive activity in favor of other employers. Therefore, we cannot exclude that such employers may benefit from the expertise of our current employees developed while working for us, after the termination of their employment.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both the employment agreements and consultancy agreements do not provide any specific compensation related to the inventive activity.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pending patent applications currently licensed or those to which we may enter into a license regarding in the future will not lead to issued patents;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the issued patents that have been licensed to us, or parts of such issued patents;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to may be held invalid or unenforceable, including as a result of legal challenges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patent applications, if and when issued, may not cover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scientific collaborations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intellectual property.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currently with substantial operations outside of the United States, our business is subject to global economic conditions, macro events, political, regulatory, pandemic, and other risks associated with international operations and macro-economic trends.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U.S. Federal Reserve recently raised interest rates multiple times in response to concerns about inflation and it may raise them again. Higher interest rates, coupled with reduced government spending and volatility in financial markets may increase economic uncertainty and affect investor confidence.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adversely affect our business or the third parties on whom we rely. If the equity and credit markets deteriorate, including as a result of political unrest or war, it may make any necessary debt or equity financing more costly or more dilutive or more difficult to obtain in a timely manner or on favorable terms, if at all. Accordingly, our future results could be harmed by a variety of factors, including:</w:t>
      </w:r>
    </w:p>
    <w:p>
      <w:pPr>
        <w:spacing w:after="0" w:line="190" w:lineRule="exact"/>
        <w:rPr>
          <w:sz w:val="20"/>
          <w:szCs w:val="20"/>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recessions, inflation, increasing interest rates, supply chain shortages, rising fuel prices, or political instability in particular non-U.S. economies and markets could negatively impact our budget projections, clinical trial cost estimates, and potential clinical timeline;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domestic and international banking systems where the Company has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 in the US and Italy;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 that could impact our ability to develop and/or license our technology;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 that could affect our need to hire subject matter experts or retain third-party experts;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risks and currency controls due to maintaining our cash and cash equivalents both in US dollars and Euros;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jc w:val="both"/>
        <w:ind w:left="580" w:hanging="275"/>
        <w:spacing w:after="0" w:line="255"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(including the ongoing war in Ukraine), health epidemics, or natural disasters including earthquakes, typhoons, floods and fires.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manage our business through a small number of employees, key consultants, and third-party contractors.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Barbara Regonini, our Finance Director and Stefania Mazzoleni, our Scientific Project Manager and Communications Officer.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ectPr>
          <w:pgSz w:w="11900" w:h="16838" w:orient="portrait"/>
          <w:cols w:equalWidth="0" w:num="1">
            <w:col w:w="11240"/>
          </w:cols>
          <w:pgMar w:left="320" w:top="657" w:right="339" w:bottom="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manufacturing facility, and if operations at that manufacturing facility are disrupted, we could experience delays in our clinical trials or we would need to expend additional time and capital to identify and onboard another manufacturing facility.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risks inherent in operating a single manufacturing facility, since any disruption, such as a fire, natural hazards or vandalism could significantly interrupt our manufacturing capability. We currently do not have alternative production plans in place or disaster-recovery facilities available. In case of a disruption, we will have to establish alternative manufacturing sources. This would require substantial capital on our part, which it may not be able to obtain on commercially acceptable terms or at all. Additionally, we would likely experience months or years of manufacturing delays as we build or locate replacement facilities and seek and obtain necessary regulatory approvals. If this occurs, we will be unable to satisfy manufacturing needs on a timely basis, if at all. Also, operating any new facilities may be more expensive than operating our current facility. Further, business interruption insurance may not adequately compensate us for any losses that may occur, and we would have to bear the additional cost of any disruption. For these reasons, a significant disruptive event of the manufacturing facility could have drastic consequences, including placing our financial stability at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significantly increase the size of our organization, and we may experience difficulties in managing growth.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and the regulatory process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administrative, accounting and management information systems and internal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train additional qualified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current and additional management, administrative, financial and sales and marketing personnel.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conduct or activities, including non-compliance with regulatory standards and requirements and insider trading.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3" w:lineRule="exact"/>
        <w:rPr>
          <w:sz w:val="20"/>
          <w:szCs w:val="20"/>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46" w:name="page47"/>
    <w:bookmarkEnd w:id="46"/>
    <w:p>
      <w:pPr>
        <w:jc w:val="both"/>
        <w:ind w:left="660" w:hanging="328"/>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as amended by the Health Care and Education Reconciliation Act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 and the European General Data Protection Regulation (the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reform measures may have a material adverse effect on our business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(the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an inherent risk of potential product liability or similar claims. The biotechnology and pharmaceutical industries have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8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vendors, collaborators or other contractors or consultants, may fail or suffer cyber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current and any future third -party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line="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impact of the COVID-19 pandemic, including any resurgences, could disrupt and cause harm to our business, operating results, or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duration and extent of the impact from the COVID-19 pandemic on our business will continue to depend on future developments that cannot be accurately forecasted at this time, such as the transmission rate and geographic spread of the disease, the extent and effectiveness of current or future containment actions, the widespread use of effective vaccines, the severity of breakthrough cases and emergence of new COVID-19 variants, and the impact of these and other factors on our employees, patients, partners, contract manufacturers, suppliers and other third-party providers. If we are not able to respond to and manage the impact of such events effectively and if the macroeconomic conditions of the general economy or the industry in which we operate do not improve, or worsen from present levels, our business, operating results, financial condition, and cash flows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business disruption and related risks resulting from the ongoing COVID-19 pandemic, which could have a material adverse effect on our business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its initial outbreak in December 2019, the spread of COVID 19 and its variants, and the measures taken in response to the pandemic have had a global and national impact, both direct and indirect, on businesses and commerce. Despite progress in the administration of vaccines, the future impact of the pandemic on global and local economies will continue to depend on future developments such as the emergence of future variant strains of COVID-19, the availability and distribution of effective medical treatments and vaccines, vaccination rates, as well as government-imposed restrictions or mandates.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pandemic, our operations and business have experienced periods of disruption. There can be no assurance we will be able to enact any remedial measures that will enable us to avoid part or all of any future impact from the pandemic or its consequences, including downturns in business sentiment generally or in our sector in particular. In addition, any future resurgences of the pandemic or other future new pandemics may cause delays to our preclinical studies and future clinical trials and may make it difficult for us to enroll patients to clinical trials.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See “</w:t>
      </w:r>
      <w:r>
        <w:rPr>
          <w:rFonts w:ascii="Times New Roman" w:cs="Times New Roman" w:eastAsia="Times New Roman" w:hAnsi="Times New Roman"/>
          <w:sz w:val="18"/>
          <w:szCs w:val="18"/>
          <w:i w:val="1"/>
          <w:iCs w:val="1"/>
          <w:color w:val="auto"/>
        </w:rPr>
        <w:t>Risks Related to Product Development, Regulatory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Commercialization – We may find it difficult to enroll patients in our clinical trials. Difficulty in enrolling patients could delay or prevent clinical trials of our product candidates</w:t>
      </w:r>
      <w:r>
        <w:rPr>
          <w:rFonts w:ascii="Times New Roman" w:cs="Times New Roman" w:eastAsia="Times New Roman" w:hAnsi="Times New Roman"/>
          <w:sz w:val="18"/>
          <w:szCs w:val="18"/>
          <w:color w:val="auto"/>
        </w:rPr>
        <w:t>” for additional information.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Unsuccessful compliance with certain European privacy regulations could have an adverse effect on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collection and use of personal health data in the EU is governed, as of May 2018, by the General Data Protection Regulation 2016/679 (the “GDPR”) as implemented by European Data Protection Board (the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w:t>
      </w:r>
    </w:p>
    <w:p>
      <w:pPr>
        <w:sectPr>
          <w:pgSz w:w="11900" w:h="16873" w:orient="portrait"/>
          <w:cols w:equalWidth="0" w:num="1">
            <w:col w:w="11240"/>
          </w:cols>
          <w:pgMar w:left="320" w:top="661" w:right="339" w:bottom="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satisfy the continued listing standards of the Nasdaq going forward.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ADS are listed on the Nasdaq. However, we cannot ensure that we will be able to satisfy the continued listing standards of the Nasdaq going forward. If we cannot satisfy the continued listing standards going forward, the Nasdaq Stock Market may commence delisting procedures against us, which could result in our ADS being removed from listing on the Nasdaq. If any of our ADSs were to be delisted, the liquidity of our ADSs could be adversely affected and the market price of our ADSs could decrease. Delisting could also adversely affect the ability of a holder of our ADSs to trade or obtain quotations on our ADSs because of lower trading volumes and transaction delays. These factors could contribute to lower prices and larger spreads in the bid and ask price for our ADSs. Investors may also not be able to resell their ADSs at or above the price they paid for such securities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highly volatile.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the ADSs has been and is likely to continue to be highly volatile. The following factors, in addition to other risk factors described in this section, may have a significant impact on the market price of the ADSs:</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 and non-clinical studies or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the approvals necessary to commence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results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the failure to obtain it, or specific label indications or patient populations for its use, or changes or delays in the regulatory review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authorities with respect to our clinical trials, manufacturing supply chain or sales and marketing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the treatment of cancer tumors, or any other indication that we may seek to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manufacturers or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biotechnology and pharmaceutical industries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 or our failure to meet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or involvement in,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regulatory, research and development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in the United States relating to the sale or pricing of biotechnology or gene therapy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of the trading market in the ADSs;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recessions, inflation, increasing interest rates, supply chain shortages, rising fuel prices, or political instability in global, U.S. or particular foreign economies and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or U.S. banking systems or the banking systems of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 local or worldwide pandemic, such as COVID-19, geopolitical actions, including war and terrorism (including the ongoing war in Ukraine), or natural disasters;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or exercise of employee stock options or other equity awards;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securities analysts’ perception of the business risks and conditions of our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of New York Mellon, the depositary for the ADSs (the “Depositary”),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must act through the Depositary to exercise voting rights relating to the ordinary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had limited financial and accounting personnel, which has resulted in a limited segregation of duties to fully execute our accounting processes and address our internal control over financial reporting. In connection with the audits of our consolidated financial statements as of and for the years ended December 31, 2022, 2021 and 2020, we identified certain material weaknesses in our internal control over financial reporting, including but not limited to our lack of adequate staff to: (i) process financial information in a timely manner; (ii) analyze and account for complex, non-routine transactions - 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began implementing and plan to continue to implement steps to address the internal control deficiencies that contributed to the material weaknesses, including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finance and accounting personnel with prior experience working for finance departments and technical accounting experience, supplemented by third-party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documenting and formally assessing our accounting and financial reporting policies and procedures;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are in the process of executing the following remediation activities:</w:t>
      </w:r>
    </w:p>
    <w:p>
      <w:pPr>
        <w:spacing w:after="0" w:line="225" w:lineRule="exact"/>
        <w:rPr>
          <w:sz w:val="20"/>
          <w:szCs w:val="20"/>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three additional finance staff members to effectively improve our segregation of duties and our financial reporting process and documentation;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technology experts who are helping design and implement a secure, cloud-based ERP system with controlled access, approval work flow and segregation of duties;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Documenting internal controls after our go live of the ERP system to effectively test and document controls and processes.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consolidated financial statements that would not be prevented or detected on a timely basis.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shareholders, which could harm our reputation, financial condition or divert financial and management resources from our core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Chief Executive Officer, directors and shareholders who own more than 5% of our outstanding ordinary shares currently own approximately 31.45% of our ordinary shares. They will therefore be able to exert significant control over matters submitted to our shareholders for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Chief Executive Officer and directors, and shareholders who own more than 5% of our outstanding ordinary shares beneficially own approximately 31.45% of our ordinary shares.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for U.S. tax purposes, U.S. holders of the ADSs could have adverse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consequences.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we will be treated as a passive foreign investment company (a “PFIC”) for U.S. federal income tax purposes in any taxable year in which either</w:t>
      </w:r>
    </w:p>
    <w:p>
      <w:pPr>
        <w:spacing w:after="0" w:line="27" w:lineRule="exact"/>
        <w:rPr>
          <w:sz w:val="20"/>
          <w:szCs w:val="20"/>
          <w:color w:val="auto"/>
        </w:rPr>
      </w:pPr>
    </w:p>
    <w:p>
      <w:pPr>
        <w:jc w:val="both"/>
        <w:ind w:firstLine="8"/>
        <w:spacing w:after="0" w:line="250" w:lineRule="auto"/>
        <w:tabs>
          <w:tab w:leader="none" w:pos="2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We have not made the formal analysis necessary to determine whether or not we are currently a PFIC or whether we have ever been a PFIC.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At this time, we do not expect to provide U.S. shareholders with the information necessary for a U.S. shareholder to make a QEF election. Prospective investors should assume that a QEF election will not be available.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“Item 10. Additional Information—E. Taxation—U.S. Federal Income Tax Consequences—Passive Foreign Investment Companies” for additional information.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associated with being a public company require significant company resources and management attention.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U.S. public company, we are subject to the reporting requirements of the Securities Exchange Act of 1934, as amended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have incurred and will continue to incur legal, accounting and other expenses that we did not incur as a nonpublic company, particularly after we are no longer an “emerging growth company” as defined in the JOBS Act.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62"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consolidated financial statements may not be comparable to companies that comply with the public company effective date;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that may be adopted by the Public Company Accounting Oversight Board requiring mandatory audit firm rotation or a supplement to the auditor’s report on the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our IPO, (b) in which we have total annual gross revenue of at least $1.235 billion, or (c) in which we are deemed to be a large accelerated filer, as defined in the rule under the Exchange Act, and (2) the date on which we have issued more than $1.0 billion in non-convertible debt during the prior three-year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and we do, follow certain home country corporate governance practices instead of otherwise applicable SEC and Nasdaq requirements, which may result in less protection than is accorded to investors under rules applicable to domestic U.S. issuers.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corporate governance rules of the Nasdaq Stock Market require listed companies to have, among other things, a majority of independent directors and independent director oversight of executive compensation, nomination of directors and corporate governance matters. As a foreign private issuer, we are permitted to, and we do, follow home country practice in lieu of these requirements. For more information, see “Item 6. Directors, Senior Management and Employees – C. Board Practices – Differences between Italian Laws and Nasdaq Requirements.” As long as we rely on the foreign private issuer exemption to certain of the Nasdaq’s corporate governance standards, a majority of the directors on our board of directors are not required to be independent directors. Therefore, our board of directors’ approach to governance may be different from that of a board of directors consisting of a majority of independent directors, and, as a result, the management oversight of our company may be more limited than if we were subject to all of the Nasdaq Stock Market’s corporate governance standards.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our shareholders will not have the same protection afforded to shareholders of companies that are subject to all of the corporate governance standards, and the ability of our independent directors to influence our business policies and affairs may be reduced.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taxable in a jurisdiction other than Italy and this may increase the aggregate tax burden on 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Italian Law and Our Operations in Italy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ADSs are listed exclusively on Nasdaq and not on Italy’s stock exchange, our shareholders do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are listed exclusively on Nasdaq, are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shareholders to bring actions or enforce judgments against us or our directors and executive officers may be limited. Claims of U.S. civil liabilities may not be enforceable against us.</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2022, the sum of our capital, legal reserves and other reserves on our unaudited Italian GAAP financial statements was €41.9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suffer losses that reduce our capital to less than €50,000, we would need to recapitalize, change our form of entity or be liquidated.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Italian labor laws could impair our flexibility to restructure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pandemic,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of our ordinary shares and ADSs may be exposed to increased transaction costs as a result of the Italian financial transaction tax or the proposed European financial transaction tax.</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“Item 10. Additional Information—E. Taxation.”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investors outside of Italy to enforce civil liabilities against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Italy and our registered office and domicile is located in Milan, Italy.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Judgments of U.S. courts may not be directly enforceable outside of the United States and the enforcement of judgments of U.S. courts outside of the United States may be subject to limitations. Investors may also have difficulties pursuing an original action brought in a court in a jurisdiction outside the United States for liabilities under the securities laws of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Operating Segment Evolution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were founded in 2014 by San Raffaele Hospital (“OSR”) in Milan, a globally recognized premier research hospital for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Its research has resulted in a number of approved products, including Strimvelis, an </w:t>
      </w:r>
      <w:r>
        <w:rPr>
          <w:rFonts w:ascii="Times New Roman" w:cs="Times New Roman" w:eastAsia="Times New Roman" w:hAnsi="Times New Roman"/>
          <w:sz w:val="18"/>
          <w:szCs w:val="18"/>
          <w:i w:val="1"/>
          <w:iCs w:val="1"/>
          <w:color w:val="auto"/>
        </w:rPr>
        <w:t xml:space="preserve">ex-vivo </w:t>
      </w:r>
      <w:r>
        <w:rPr>
          <w:rFonts w:ascii="Times New Roman" w:cs="Times New Roman" w:eastAsia="Times New Roman" w:hAnsi="Times New Roman"/>
          <w:sz w:val="18"/>
          <w:szCs w:val="18"/>
          <w:color w:val="auto"/>
        </w:rPr>
        <w:t>gammaretroviral vector-based gene therapy for adenosine deaminase severe combined immunodeficiency (“ADA-SCID”), and Libmeldy, an</w:t>
      </w:r>
      <w:r>
        <w:rPr>
          <w:rFonts w:ascii="Times New Roman" w:cs="Times New Roman" w:eastAsia="Times New Roman" w:hAnsi="Times New Roman"/>
          <w:sz w:val="18"/>
          <w:szCs w:val="18"/>
          <w:i w:val="1"/>
          <w:iCs w:val="1"/>
          <w:color w:val="auto"/>
        </w:rPr>
        <w:t xml:space="preserve"> ex-vivo </w:t>
      </w:r>
      <w:r>
        <w:rPr>
          <w:rFonts w:ascii="Times New Roman" w:cs="Times New Roman" w:eastAsia="Times New Roman" w:hAnsi="Times New Roman"/>
          <w:sz w:val="18"/>
          <w:szCs w:val="18"/>
          <w:color w:val="auto"/>
        </w:rPr>
        <w:t>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Via Olgettina No. 58, 20132 Milan, Italy and our telephone number is +39-02-2643-468120.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178" w:lineRule="exact"/>
        <w:rPr>
          <w:sz w:val="20"/>
          <w:szCs w:val="20"/>
          <w:color w:val="auto"/>
        </w:rPr>
      </w:pPr>
    </w:p>
    <w:p>
      <w:pPr>
        <w:jc w:val="both"/>
        <w:ind w:left="1300" w:hanging="644"/>
        <w:spacing w:after="0" w:line="267"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Trojan Horse Mechanism of Action (“MoA”): </w:t>
      </w:r>
      <w:r>
        <w:rPr>
          <w:rFonts w:ascii="Times New Roman" w:cs="Times New Roman" w:eastAsia="Times New Roman" w:hAnsi="Times New Roman"/>
          <w:sz w:val="18"/>
          <w:szCs w:val="18"/>
          <w:color w:val="auto"/>
        </w:rPr>
        <w:t>We use and modify TEMs, a subpopulation of tumor-associated myeloid cells, known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in tumor growth and in the inhibition of immune system response, to allow the immune system to recognize the tumor and to deliver to the cancer site a chosen therapeutic.</w:t>
      </w:r>
    </w:p>
    <w:p>
      <w:pPr>
        <w:spacing w:after="0" w:line="17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 Regulation of Transgene Expression: </w:t>
      </w:r>
      <w:r>
        <w:rPr>
          <w:rFonts w:ascii="Times New Roman" w:cs="Times New Roman" w:eastAsia="Times New Roman" w:hAnsi="Times New Roman"/>
          <w:sz w:val="18"/>
          <w:szCs w:val="18"/>
          <w:color w:val="auto"/>
        </w:rPr>
        <w:t>Our selected control of the chosen therapeutic gene expression is designed to avoid off-target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systemic toxicity.</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Long-Term Effect: </w:t>
      </w:r>
      <w:r>
        <w:rPr>
          <w:rFonts w:ascii="Times New Roman" w:cs="Times New Roman" w:eastAsia="Times New Roman" w:hAnsi="Times New Roman"/>
          <w:sz w:val="18"/>
          <w:szCs w:val="18"/>
          <w:color w:val="auto"/>
        </w:rPr>
        <w:t>Through the use of hematopoietic stem cells, our therapeutic candidate is designed as a “</w:t>
      </w:r>
      <w:r>
        <w:rPr>
          <w:rFonts w:ascii="Times New Roman" w:cs="Times New Roman" w:eastAsia="Times New Roman" w:hAnsi="Times New Roman"/>
          <w:sz w:val="18"/>
          <w:szCs w:val="18"/>
          <w:i w:val="1"/>
          <w:iCs w:val="1"/>
          <w:color w:val="auto"/>
        </w:rPr>
        <w:t>living therapy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break the cancer-induced immune tolerance and to establish a competent immune surveillance throughout the life of the patient.</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Agnostic Response</w:t>
      </w:r>
      <w:r>
        <w:rPr>
          <w:rFonts w:ascii="Times New Roman" w:cs="Times New Roman" w:eastAsia="Times New Roman" w:hAnsi="Times New Roman"/>
          <w:sz w:val="18"/>
          <w:szCs w:val="18"/>
          <w:color w:val="auto"/>
        </w:rPr>
        <w:t>: In contrast to antigen-restricted CAR-T cells, our platform is not restricted to a pre-selected tumor antigen, nor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tumor type. As such, it may be applied to a broad range of solid tumors and cancer subtypes, which would overcome one of the central unresolved challenges of immune-oncology cancer therapies.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first quarter of 2024. We intend to use the preliminary results of our Phase 1/2a clinical trial to support a Clinical Trial Application to conduct in EU a multicenter Phase 2 trial in uMGMT-GBM, which we currently intend to conduct primarily in Italy. As of March 6, 2023, we had dosed a total of 19 patients. The preliminary results show that Temferon has been generally well tolerated, with no dose limiting toxicities identified so far.</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Research and Development Pipeline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portfolio of clinical and preclinical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pursuant to our existing license agreement with OSR,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 Further, upon the effectiveness of the amended and restated license agreement with OSR, we expect to have an additional exclusive option right to license platform improvements, including our second-generation technology, which includes developments to enable the on/off regulation of the therapeutic transgene. See “—Intellectual Property Rights— Collaboration/Licensing” for a description of our license agreements with OSR.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154305</wp:posOffset>
            </wp:positionV>
            <wp:extent cx="4783455" cy="2228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834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*Genenta has options/rights on IP derived from preclinical data generated at SR-Tiget laboratories.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are developing novel cancer therapeutics using our autologous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Advance development of our leading clinical-stage product candidate, Temferon in the 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conducting a Phase 1/2a dose-escalation study in Italy to primarily evaluate the safety and tolerability of Temferon in up to 27 uMGMT-GBM patients who have an unmethylated MGMT promoter, following radiotherapy treatment. We plan to initiate in Europe a multicenter Phase 2 trial in uMGMT-GBM, which we currently intend to conduct primarily in Italy to evaluate the safety and efficacy of Temferon by measuring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Extend our product pipeline across multiple indications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expand our product pipeline by:</w:t>
      </w:r>
    </w:p>
    <w:p>
      <w:pPr>
        <w:spacing w:after="0" w:line="223" w:lineRule="exact"/>
        <w:rPr>
          <w:sz w:val="20"/>
          <w:szCs w:val="20"/>
          <w:color w:val="auto"/>
        </w:rPr>
      </w:pPr>
    </w:p>
    <w:p>
      <w:pPr>
        <w:jc w:val="both"/>
        <w:ind w:left="1160" w:hanging="572"/>
        <w:spacing w:after="0" w:line="258" w:lineRule="auto"/>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Identifying additional indications suitable for Temferon. </w:t>
      </w:r>
      <w:r>
        <w:rPr>
          <w:rFonts w:ascii="Times New Roman" w:cs="Times New Roman" w:eastAsia="Times New Roman" w:hAnsi="Times New Roman"/>
          <w:sz w:val="18"/>
          <w:szCs w:val="18"/>
          <w:color w:val="auto"/>
        </w:rPr>
        <w:t>We are in the planning stages for a second study using Temferon in a second solid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 indication, and we are considering several patient populations with unmet medical needs including those with cancers of the liver, kidney, bone and connective tissues. The Istituto Superiore di Sanità (“ISS”), an independent committee with oversight from the Italian Ministry of Health, must issue a positive opinion regarding our CTA before AIFA will approve it and we may start patient’s recruitment. Several cancer indications which actively recruit TEMs to proliferate could be considered appropriate for Temferon therapy.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left="1160" w:hanging="572"/>
        <w:spacing w:after="0" w:line="267"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Using our platform with different transgene payloads</w:t>
      </w:r>
      <w:r>
        <w:rPr>
          <w:rFonts w:ascii="Times New Roman" w:cs="Times New Roman" w:eastAsia="Times New Roman" w:hAnsi="Times New Roman"/>
          <w:sz w:val="18"/>
          <w:szCs w:val="18"/>
          <w:color w:val="auto"/>
        </w:rPr>
        <w:t>. Our platform technology is designed to enable us to use different transgene payloads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potentially achieve therapeutic outcomes in selected cancer indications. We are currently conducting preclinical studies for two therapeutics using our platform with different payloads targeting solid tumors.</w:t>
      </w:r>
    </w:p>
    <w:p>
      <w:pPr>
        <w:spacing w:after="0" w:line="173" w:lineRule="exact"/>
        <w:rPr>
          <w:rFonts w:ascii="Times New Roman" w:cs="Times New Roman" w:eastAsia="Times New Roman" w:hAnsi="Times New Roman"/>
          <w:sz w:val="18"/>
          <w:szCs w:val="18"/>
          <w:color w:val="auto"/>
        </w:rPr>
      </w:pPr>
    </w:p>
    <w:p>
      <w:pPr>
        <w:jc w:val="both"/>
        <w:ind w:left="1160" w:hanging="572"/>
        <w:spacing w:after="0" w:line="267"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a second-generation platform that enables the “on-demand” release of the transgene payload</w:t>
      </w:r>
      <w:r>
        <w:rPr>
          <w:rFonts w:ascii="Times New Roman" w:cs="Times New Roman" w:eastAsia="Times New Roman" w:hAnsi="Times New Roman"/>
          <w:sz w:val="18"/>
          <w:szCs w:val="18"/>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73" w:lineRule="exact"/>
        <w:rPr>
          <w:rFonts w:ascii="Times New Roman" w:cs="Times New Roman" w:eastAsia="Times New Roman" w:hAnsi="Times New Roman"/>
          <w:sz w:val="18"/>
          <w:szCs w:val="18"/>
          <w:color w:val="auto"/>
        </w:rPr>
      </w:pPr>
    </w:p>
    <w:p>
      <w:pPr>
        <w:jc w:val="both"/>
        <w:ind w:left="1160" w:hanging="572"/>
        <w:spacing w:after="0" w:line="267"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Exploring combination therapies</w:t>
      </w:r>
      <w:r>
        <w:rPr>
          <w:rFonts w:ascii="Times New Roman" w:cs="Times New Roman" w:eastAsia="Times New Roman" w:hAnsi="Times New Roman"/>
          <w:sz w:val="18"/>
          <w:szCs w:val="18"/>
          <w:color w:val="auto"/>
        </w:rPr>
        <w:t>. We will seek to enter into collaborations with other companies to explore combination studies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73"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Exploiting in-licensing opportunities with OSR</w:t>
      </w:r>
      <w:r>
        <w:rPr>
          <w:rFonts w:ascii="Times New Roman" w:cs="Times New Roman" w:eastAsia="Times New Roman" w:hAnsi="Times New Roman"/>
          <w:sz w:val="18"/>
          <w:szCs w:val="18"/>
          <w:color w:val="auto"/>
        </w:rPr>
        <w:t>. We intend to exploit in-licensing opportunities with OSR, a co-founding shareholder.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Develop and maintain efficient manufacturing processes to support anticipated growth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the European Cell and Gene Therapy unit of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Establish a patient-centered infrastructure and strong relationships with key U.S. opinion leaders working in our disease area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Develop opportunistic partnership(s) with pharmaceutical company(s)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choose to partner with larger pharmaceutical companies whose core competencies and oncology strategies are in line with 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believe that our growing body of early clinical data evidencing the potential of our autologous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1" w:lineRule="exact"/>
        <w:rPr>
          <w:sz w:val="20"/>
          <w:szCs w:val="20"/>
          <w:color w:val="auto"/>
        </w:rPr>
      </w:pPr>
    </w:p>
    <w:p>
      <w:pPr>
        <w:jc w:val="both"/>
        <w:ind w:left="1300" w:hanging="644"/>
        <w:spacing w:after="0" w:line="254"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valuable expertise. </w:t>
      </w:r>
      <w:r>
        <w:rPr>
          <w:rFonts w:ascii="Times New Roman" w:cs="Times New Roman" w:eastAsia="Times New Roman" w:hAnsi="Times New Roman"/>
          <w:sz w:val="18"/>
          <w:szCs w:val="18"/>
          <w:color w:val="auto"/>
        </w:rPr>
        <w:t>We are conducting our clinical trials at OSR, a leading center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 therapy for inherited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diseases. 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Times New Roman" w:cs="Times New Roman" w:eastAsia="Times New Roman" w:hAnsi="Times New Roman"/>
          <w:sz w:val="18"/>
          <w:szCs w:val="18"/>
          <w:i w:val="1"/>
          <w:iCs w:val="1"/>
          <w:color w:val="auto"/>
        </w:rPr>
        <w:t xml:space="preserve">ex-vivo </w:t>
      </w:r>
      <w:r>
        <w:rPr>
          <w:rFonts w:ascii="Times New Roman" w:cs="Times New Roman" w:eastAsia="Times New Roman" w:hAnsi="Times New Roman"/>
          <w:sz w:val="18"/>
          <w:szCs w:val="18"/>
          <w:color w:val="auto"/>
        </w:rPr>
        <w:t>gene therapy and hold exclusive option rights to license additional patents and know-how to build our portfolio. Partnerships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4" w:name="page65"/>
    <w:bookmarkEnd w:id="64"/>
    <w:p>
      <w:pPr>
        <w:ind w:left="644" w:hanging="644"/>
        <w:spacing w:after="0" w:line="286"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pipeline with broad utility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the flexibility of our technology platform combined with our exclusive option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in-license additional programs, gives us the ability to grow our pipeline by targeting a broad set of cancer diseases.</w:t>
      </w:r>
    </w:p>
    <w:p>
      <w:pPr>
        <w:spacing w:after="0" w:line="154"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Durable therapeutic potential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Preliminary interim clinical data collected from twelve treated uMGMT-GBM patients following a single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of Temferon displayed modified cells at 18 months, the last measured timepoint to date.</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Designed for tumor restricted therapeutic payload delivery and release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design of our transgene expression cassette is intended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76"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Agnostic approach. </w:t>
      </w:r>
      <w:r>
        <w:rPr>
          <w:rFonts w:ascii="Times New Roman" w:cs="Times New Roman" w:eastAsia="Times New Roman" w:hAnsi="Times New Roman"/>
          <w:sz w:val="18"/>
          <w:szCs w:val="18"/>
          <w:color w:val="auto"/>
        </w:rPr>
        <w:t>Our immune-gene therapy approach is designed to be a tumor-agnostic immunotherapy that does not rely on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target or tumor type, and we believe it could be successfully applied to a potentially broad range of cancers and immune contexts.</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tumors targeting. </w:t>
      </w:r>
      <w:r>
        <w:rPr>
          <w:rFonts w:ascii="Times New Roman" w:cs="Times New Roman" w:eastAsia="Times New Roman" w:hAnsi="Times New Roman"/>
          <w:sz w:val="18"/>
          <w:szCs w:val="18"/>
          <w:color w:val="auto"/>
        </w:rPr>
        <w:t>Our platform has the potential to efficiently target solid tumors. Solid tumors are difficult to treat, even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novel and leading-edge technologies such as ICIs and CAR-T cells. Our cellular carrier, TEMs, is spontaneously and actively recruited by growing tumors and is found in several human solid tumors, irrespective of location.</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Active and sustained tumor surveillance. </w:t>
      </w:r>
      <w:r>
        <w:rPr>
          <w:rFonts w:ascii="Times New Roman" w:cs="Times New Roman" w:eastAsia="Times New Roman" w:hAnsi="Times New Roman"/>
          <w:sz w:val="18"/>
          <w:szCs w:val="18"/>
          <w:color w:val="auto"/>
        </w:rPr>
        <w:t>Our immune-gene investigational therapy is designed to trigger the patient’s own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and establish an active immune surveillance. Our preclinical work, which used different cancer models (B-cell acute lymphoblastic leukemia (“B-ALL”) and GBM) as well as preliminary data collected from our uMGMT-GBM patients, suggests the occurrence of changes in the immune system.</w:t>
      </w:r>
    </w:p>
    <w:p>
      <w:pPr>
        <w:spacing w:after="0" w:line="1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Fine dose tuning. </w:t>
      </w:r>
      <w:r>
        <w:rPr>
          <w:rFonts w:ascii="Times New Roman" w:cs="Times New Roman" w:eastAsia="Times New Roman" w:hAnsi="Times New Roman"/>
          <w:sz w:val="18"/>
          <w:szCs w:val="18"/>
          <w:color w:val="auto"/>
        </w:rPr>
        <w:t>Our platform holds promise to fine tune the dose to be administered based on individual patient characteristics.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Preliminary data indicate that our approach is feasible and well-tolerated. </w:t>
      </w:r>
      <w:r>
        <w:rPr>
          <w:rFonts w:ascii="Times New Roman" w:cs="Times New Roman" w:eastAsia="Times New Roman" w:hAnsi="Times New Roman"/>
          <w:sz w:val="18"/>
          <w:szCs w:val="18"/>
          <w:color w:val="auto"/>
        </w:rPr>
        <w:t>Temferon has been well-tolerated in the limited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patients treated to date. Our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modification of the patient’s own HSPCs and cryopreservation allow us to formulate the patient’s drug product prior to administering the therapy.</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LVV as transgene payload delivery vehicles. </w:t>
      </w:r>
      <w:r>
        <w:rPr>
          <w:rFonts w:ascii="Times New Roman" w:cs="Times New Roman" w:eastAsia="Times New Roman" w:hAnsi="Times New Roman"/>
          <w:sz w:val="18"/>
          <w:szCs w:val="18"/>
          <w:color w:val="auto"/>
        </w:rPr>
        <w:t>LVVs are particularly attractive for clinical applications due to their capacity to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large 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approach.</w:t>
      </w:r>
    </w:p>
    <w:p>
      <w:pPr>
        <w:spacing w:after="0" w:line="182"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Applicability to a potentially large number of patients and indications</w:t>
      </w:r>
      <w:r>
        <w:rPr>
          <w:rFonts w:ascii="Times New Roman" w:cs="Times New Roman" w:eastAsia="Times New Roman" w:hAnsi="Times New Roman"/>
          <w:sz w:val="18"/>
          <w:szCs w:val="18"/>
          <w:color w:val="auto"/>
        </w:rPr>
        <w:t>. We believe our autologous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 therapy approach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broad therapeutic potential across a large number of malignancies.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color w:val="auto"/>
        </w:rPr>
        <w:t>Status of Current IO Treatments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125730</wp:posOffset>
            </wp:positionV>
            <wp:extent cx="4791710" cy="40290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9171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b w:val="1"/>
          <w:bCs w:val="1"/>
          <w:color w:val="auto"/>
        </w:rPr>
        <w:t>Current Limitations of IO Approaches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significant advances, the clinical application of immunotherapy for cancer patients still faces challenges, including:</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tumor resistance (positive selection of tumor cells bearing advantageous mutations);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specific targets;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response for many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durable response;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multiple dosing for most IO classes;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efficiently target many solid tumors.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IO Class</w:t>
            </w:r>
          </w:p>
        </w:tc>
        <w:tc>
          <w:tcPr>
            <w:tcW w:w="220" w:type="dxa"/>
            <w:vAlign w:val="bottom"/>
          </w:tcPr>
          <w:p>
            <w:pPr>
              <w:spacing w:after="0"/>
              <w:rPr>
                <w:sz w:val="21"/>
                <w:szCs w:val="21"/>
                <w:color w:val="auto"/>
              </w:rPr>
            </w:pPr>
          </w:p>
        </w:tc>
        <w:tc>
          <w:tcPr>
            <w:tcW w:w="5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Limitations</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Graft versus host disease (“GVHD”)</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Only a limited number of antigens may be targeted currently</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Inability to target multiple antigens at the same time</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Some antigens targeting may be ineffective</w:t>
            </w:r>
          </w:p>
        </w:tc>
        <w:tc>
          <w:tcPr>
            <w:tcW w:w="0" w:type="dxa"/>
            <w:vAlign w:val="bottom"/>
          </w:tcPr>
          <w:p>
            <w:pPr>
              <w:spacing w:after="0"/>
              <w:rPr>
                <w:sz w:val="1"/>
                <w:szCs w:val="1"/>
                <w:color w:val="auto"/>
              </w:rPr>
            </w:pPr>
          </w:p>
        </w:tc>
      </w:tr>
      <w:tr>
        <w:trPr>
          <w:trHeight w:val="216"/>
        </w:trPr>
        <w:tc>
          <w:tcPr>
            <w:tcW w:w="5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Cell-based immunotherapies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The majority of TILs within the tumor microenvironment are exhausted so</w:t>
            </w:r>
          </w:p>
        </w:tc>
        <w:tc>
          <w:tcPr>
            <w:tcW w:w="0" w:type="dxa"/>
            <w:vAlign w:val="bottom"/>
          </w:tcPr>
          <w:p>
            <w:pPr>
              <w:spacing w:after="0"/>
              <w:rPr>
                <w:sz w:val="1"/>
                <w:szCs w:val="1"/>
                <w:color w:val="auto"/>
              </w:rPr>
            </w:pPr>
          </w:p>
        </w:tc>
      </w:tr>
      <w:tr>
        <w:trPr>
          <w:trHeight w:val="216"/>
        </w:trPr>
        <w:tc>
          <w:tcPr>
            <w:tcW w:w="50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even tumor-specific T cells are hypo-responsive</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CAR-T cells can only recognize antigens that are naturally expressed on</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cell surface, so the range of potential antigen targets is smaller than</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 TCRs</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Presence of target-negative tumor cells cause relapse in the long-term</w:t>
            </w: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Limited penetration and distribution into solid tumor tissues</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657"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Antibody-based targeted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Oncolytic viruses</w:t>
      </w:r>
    </w:p>
    <w:p>
      <w:pPr>
        <w:spacing w:after="0" w:line="20" w:lineRule="exact"/>
        <w:rPr>
          <w:sz w:val="20"/>
          <w:szCs w:val="20"/>
          <w:color w:val="auto"/>
        </w:rPr>
      </w:pPr>
      <w:r>
        <w:rPr>
          <w:sz w:val="20"/>
          <w:szCs w:val="20"/>
          <w:color w:val="auto"/>
        </w:rPr>
        <w:br w:type="column"/>
      </w:r>
    </w:p>
    <w:p>
      <w:pPr>
        <w:ind w:left="560" w:right="20" w:hanging="560"/>
        <w:spacing w:after="0" w:line="261"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self-tolerance (establishment of autoimmunity associated with failure of tumor rejection)</w:t>
      </w:r>
    </w:p>
    <w:p>
      <w:pPr>
        <w:ind w:left="560" w:hanging="560"/>
        <w:spacing w:after="0" w:line="250"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reliable biomarkers and thresholds to identify the most likely responsive population</w:t>
      </w:r>
    </w:p>
    <w:p>
      <w:pPr>
        <w:ind w:left="560" w:hanging="560"/>
        <w:spacing w:after="0" w:line="250"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Induction of overactive immune responses as well off-target responses against healthy cells</w:t>
      </w: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penetration and distribution into solid tumor tissues</w:t>
      </w:r>
    </w:p>
    <w:p>
      <w:pPr>
        <w:spacing w:after="0" w:line="206" w:lineRule="exact"/>
        <w:rPr>
          <w:rFonts w:ascii="Times New Roman" w:cs="Times New Roman" w:eastAsia="Times New Roman" w:hAnsi="Times New Roman"/>
          <w:sz w:val="18"/>
          <w:szCs w:val="18"/>
          <w:color w:val="auto"/>
        </w:rPr>
      </w:pPr>
    </w:p>
    <w:p>
      <w:pPr>
        <w:ind w:left="560" w:hanging="560"/>
        <w:spacing w:after="0" w:line="261"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universal antigens (each individual’s tumor is unique and has its own distinguishing antigens)</w:t>
      </w: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Presence of a compromised/weak/immunosuppressed immune system</w:t>
      </w:r>
    </w:p>
    <w:p>
      <w:pPr>
        <w:spacing w:after="0" w:line="206" w:lineRule="exact"/>
        <w:rPr>
          <w:rFonts w:ascii="Times New Roman" w:cs="Times New Roman" w:eastAsia="Times New Roman" w:hAnsi="Times New Roman"/>
          <w:sz w:val="18"/>
          <w:szCs w:val="18"/>
          <w:color w:val="auto"/>
        </w:rPr>
      </w:pPr>
    </w:p>
    <w:p>
      <w:pPr>
        <w:jc w:val="both"/>
        <w:ind w:left="560" w:hanging="560"/>
        <w:spacing w:after="0" w:line="255"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2" w:lineRule="exact"/>
        <w:rPr>
          <w:rFonts w:ascii="Times New Roman" w:cs="Times New Roman" w:eastAsia="Times New Roman" w:hAnsi="Times New Roman"/>
          <w:sz w:val="18"/>
          <w:szCs w:val="18"/>
          <w:color w:val="auto"/>
        </w:rPr>
      </w:pP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binding affinity between the antibody and its receptor</w:t>
      </w:r>
    </w:p>
    <w:p>
      <w:pPr>
        <w:spacing w:after="0" w:line="9" w:lineRule="exact"/>
        <w:rPr>
          <w:rFonts w:ascii="Times New Roman" w:cs="Times New Roman" w:eastAsia="Times New Roman" w:hAnsi="Times New Roman"/>
          <w:sz w:val="18"/>
          <w:szCs w:val="18"/>
          <w:color w:val="auto"/>
        </w:rPr>
      </w:pP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uptake limit</w:t>
      </w:r>
    </w:p>
    <w:p>
      <w:pPr>
        <w:spacing w:after="0" w:line="9" w:lineRule="exact"/>
        <w:rPr>
          <w:rFonts w:ascii="Times New Roman" w:cs="Times New Roman" w:eastAsia="Times New Roman" w:hAnsi="Times New Roman"/>
          <w:sz w:val="18"/>
          <w:szCs w:val="18"/>
          <w:color w:val="auto"/>
        </w:rPr>
      </w:pPr>
    </w:p>
    <w:p>
      <w:pPr>
        <w:ind w:left="560" w:hanging="560"/>
        <w:spacing w:after="0" w:line="250"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target binding between the therapeutic antibodies and a patient’s antibodies</w:t>
      </w:r>
    </w:p>
    <w:p>
      <w:pPr>
        <w:ind w:left="560" w:right="20" w:hanging="560"/>
        <w:spacing w:after="0" w:line="260"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of diffusion through tumors is mAb size dependent (large tumor masses may be more difficult to treat by mAb therapy)</w:t>
      </w:r>
    </w:p>
    <w:p>
      <w:pPr>
        <w:spacing w:after="0" w:line="181" w:lineRule="exact"/>
        <w:rPr>
          <w:rFonts w:ascii="Times New Roman" w:cs="Times New Roman" w:eastAsia="Times New Roman" w:hAnsi="Times New Roman"/>
          <w:sz w:val="18"/>
          <w:szCs w:val="18"/>
          <w:color w:val="auto"/>
        </w:rPr>
      </w:pPr>
    </w:p>
    <w:p>
      <w:pPr>
        <w:ind w:left="560" w:hanging="560"/>
        <w:spacing w:after="0" w:line="261"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neutralizing antibodies by the host, which limits the viral delivery to cancer sites and the therapeutic effect</w:t>
      </w: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penetration and distribution of the virus into tumor tissues</w:t>
      </w:r>
    </w:p>
    <w:p>
      <w:pPr>
        <w:spacing w:after="0" w:line="9" w:lineRule="exact"/>
        <w:rPr>
          <w:rFonts w:ascii="Times New Roman" w:cs="Times New Roman" w:eastAsia="Times New Roman" w:hAnsi="Times New Roman"/>
          <w:sz w:val="18"/>
          <w:szCs w:val="18"/>
          <w:color w:val="auto"/>
        </w:rPr>
      </w:pP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viral tropism and oncolysis capacity</w:t>
      </w:r>
    </w:p>
    <w:p>
      <w:pPr>
        <w:spacing w:after="0" w:line="9" w:lineRule="exact"/>
        <w:rPr>
          <w:rFonts w:ascii="Times New Roman" w:cs="Times New Roman" w:eastAsia="Times New Roman" w:hAnsi="Times New Roman"/>
          <w:sz w:val="18"/>
          <w:szCs w:val="18"/>
          <w:color w:val="auto"/>
        </w:rPr>
      </w:pP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Tricky dosing strategies</w:t>
      </w:r>
    </w:p>
    <w:p>
      <w:pPr>
        <w:spacing w:after="0" w:line="9" w:lineRule="exact"/>
        <w:rPr>
          <w:rFonts w:ascii="Times New Roman" w:cs="Times New Roman" w:eastAsia="Times New Roman" w:hAnsi="Times New Roman"/>
          <w:sz w:val="18"/>
          <w:szCs w:val="18"/>
          <w:color w:val="auto"/>
        </w:rPr>
      </w:pPr>
    </w:p>
    <w:p>
      <w:pPr>
        <w:ind w:left="560" w:hanging="560"/>
        <w:spacing w:after="0" w:line="250"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Induction of overactive immune responses as well off-target responses against healthy cells</w:t>
      </w:r>
    </w:p>
    <w:p>
      <w:pPr>
        <w:ind w:left="560" w:hanging="560"/>
        <w:spacing w:after="0"/>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-4245610</wp:posOffset>
            </wp:positionV>
            <wp:extent cx="7132320" cy="960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6012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-3148330</wp:posOffset>
            </wp:positionV>
            <wp:extent cx="7132320" cy="3154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580" w:space="720"/>
            <w:col w:w="5940"/>
          </w:cols>
          <w:pgMar w:left="320" w:top="657" w:right="339" w:bottom="906" w:gutter="0" w:footer="0" w:header="0"/>
          <w:type w:val="continuous"/>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color w:val="auto"/>
        </w:rPr>
        <w:t>IO for Solid Tumors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overcome the current limitations of IO therapies in solid tumors, a new, effective tumor therapeutic must:</w:t>
      </w:r>
    </w:p>
    <w:p>
      <w:pPr>
        <w:spacing w:after="0" w:line="22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 local and tumor-targeted delivery;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on-target effects;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desired therapeutic index;</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off-target side effects;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provide long term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Specifically, we adapted an autologous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technology employs the following key components:</w:t>
      </w:r>
    </w:p>
    <w:p>
      <w:pPr>
        <w:spacing w:after="0" w:line="225"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patient’s own autologous HSPCs;</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of LVVs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HSPCs transduction; and</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payload delivery within the tumor microenvironment (“TME”) using specific tumor-associated myeloid cell (Tie2-expressing monocytes</w:t>
      </w:r>
    </w:p>
    <w:p>
      <w:pPr>
        <w:spacing w:after="0" w:line="27" w:lineRule="exact"/>
        <w:rPr>
          <w:rFonts w:ascii="Times New Roman" w:cs="Times New Roman" w:eastAsia="Times New Roman" w:hAnsi="Times New Roman"/>
          <w:sz w:val="18"/>
          <w:szCs w:val="18"/>
          <w:color w:val="auto"/>
        </w:rPr>
      </w:pPr>
    </w:p>
    <w:p>
      <w:pPr>
        <w:ind w:left="1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“TEMs”). This “cell-confined” transgene expression is ensured by the selected promoter (Tie-2 promoter) and the imposed post-transcriptional regulation layer represented by a miRNA target sequence (miRNA-126 target sequences).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xml:space="preserve">The image below illustrates the steps of our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155575</wp:posOffset>
            </wp:positionV>
            <wp:extent cx="4783455" cy="2451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8345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Illustration of our ex-vivo approach (steps 1-2-3) and treatment process (step 4)</w:t>
      </w:r>
    </w:p>
    <w:p>
      <w:pPr>
        <w:spacing w:after="0" w:line="225" w:lineRule="exact"/>
        <w:rPr>
          <w:sz w:val="20"/>
          <w:szCs w:val="20"/>
          <w:color w:val="auto"/>
        </w:rPr>
      </w:pPr>
    </w:p>
    <w:p>
      <w:pPr>
        <w:jc w:val="both"/>
        <w:ind w:firstLine="15"/>
        <w:spacing w:after="0" w:line="267"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Patient’s HSPCs are harvested by means of an apheresis process, and (2)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Times New Roman" w:cs="Times New Roman" w:eastAsia="Times New Roman" w:hAnsi="Times New Roman"/>
          <w:sz w:val="18"/>
          <w:szCs w:val="18"/>
          <w:i w:val="1"/>
          <w:iCs w:val="1"/>
          <w:color w:val="auto"/>
        </w:rPr>
        <w:t>.</w:t>
      </w:r>
    </w:p>
    <w:p>
      <w:pPr>
        <w:spacing w:after="0" w:line="17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HSPCs are the Source of the Delivery Vehicle for Our Gene Therapy Approach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 Ex-vivo LVV based Transduction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After collection, a functional copy of the therapeutic gene is inserted into the patient’s own HSPCs using a non-replicating LVV. This is an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process called transduction. We have chosen an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1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We believe that LVVs are the first choice for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(CD-19 CAR-T,</w:t>
      </w:r>
    </w:p>
    <w:p>
      <w:pPr>
        <w:spacing w:after="0" w:line="4"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Novartis Pharma) and Zynteglo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(β-Thal, BlueBird Bio). With more than 100 clinical trials either completed or in progress using LVVs worldwide, this delivery method accounts for more than a third of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modified gene therapy clinical trials.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9" w:name="page70"/>
    <w:bookmarkEnd w:id="69"/>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Accordingly, extensive clinical </w:t>
      </w:r>
      <w:r>
        <w:rPr>
          <w:rFonts w:ascii="Times New Roman" w:cs="Times New Roman" w:eastAsia="Times New Roman" w:hAnsi="Times New Roman"/>
          <w:sz w:val="17"/>
          <w:szCs w:val="17"/>
          <w:i w:val="1"/>
          <w:iCs w:val="1"/>
          <w:color w:val="auto"/>
        </w:rPr>
        <w:t>ex-vivo</w:t>
      </w:r>
      <w:r>
        <w:rPr>
          <w:rFonts w:ascii="Times New Roman" w:cs="Times New Roman" w:eastAsia="Times New Roman" w:hAnsi="Times New Roman"/>
          <w:sz w:val="17"/>
          <w:szCs w:val="17"/>
          <w:color w:val="auto"/>
        </w:rPr>
        <w:t xml:space="preserve"> gene therapy studies, based on LVV gene transfer, have been performed in recent years by SR-Tiget for the prevention and treatment of some severe inherited disorders, resulting in approved drugs, such as Libmeldy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Differences exist between LVVs used for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8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February 2021, BlueBird Bio temporary suspended its gene therapy clinical trials for SCD (HGB-206 and HGB-210) and the marketing of Zynteglo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 Tumor-Targeted Payload Delivery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130810</wp:posOffset>
            </wp:positionV>
            <wp:extent cx="4783455" cy="1765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8345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i w:val="1"/>
          <w:iCs w:val="1"/>
          <w:color w:val="auto"/>
        </w:rPr>
        <w:t>Our transgene payload expression cassette consists of two key components: the Tie-2 promoter (RED) and miRNA-126 target sequences (LIGHT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w:t>
      </w:r>
    </w:p>
    <w:p>
      <w:pPr>
        <w:spacing w:after="0" w:line="203" w:lineRule="exact"/>
        <w:rPr>
          <w:sz w:val="20"/>
          <w:szCs w:val="20"/>
          <w:color w:val="auto"/>
        </w:rPr>
      </w:pPr>
    </w:p>
    <w:p>
      <w:pPr>
        <w:jc w:val="both"/>
        <w:ind w:left="1300" w:hanging="644"/>
        <w:spacing w:after="0" w:line="253" w:lineRule="auto"/>
        <w:tabs>
          <w:tab w:leader="none" w:pos="130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Tie-2 promoter. </w:t>
      </w:r>
      <w:r>
        <w:rPr>
          <w:rFonts w:ascii="Times New Roman" w:cs="Times New Roman" w:eastAsia="Times New Roman" w:hAnsi="Times New Roman"/>
          <w:sz w:val="18"/>
          <w:szCs w:val="18"/>
          <w:color w:val="auto"/>
        </w:rPr>
        <w:t>The Tie-2 promoter enables the transformation of TEMs into a “Trojan Horse”, to deliver the therapeutic payload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85" w:lineRule="exact"/>
        <w:rPr>
          <w:rFonts w:ascii="Times New Roman" w:cs="Times New Roman" w:eastAsia="Times New Roman" w:hAnsi="Times New Roman"/>
          <w:sz w:val="18"/>
          <w:szCs w:val="18"/>
          <w:b w:val="1"/>
          <w:bCs w:val="1"/>
          <w:i w:val="1"/>
          <w:iCs w:val="1"/>
          <w:color w:val="auto"/>
        </w:rPr>
      </w:pPr>
    </w:p>
    <w:p>
      <w:pPr>
        <w:jc w:val="both"/>
        <w:ind w:left="1300" w:hanging="644"/>
        <w:spacing w:after="0" w:line="257" w:lineRule="auto"/>
        <w:tabs>
          <w:tab w:leader="none" w:pos="130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miRNA-126 target sequences</w:t>
      </w:r>
      <w:r>
        <w:rPr>
          <w:rFonts w:ascii="Times New Roman" w:cs="Times New Roman" w:eastAsia="Times New Roman" w:hAnsi="Times New Roman"/>
          <w:sz w:val="18"/>
          <w:szCs w:val="18"/>
          <w:color w:val="auto"/>
        </w:rPr>
        <w:t>. The miRNA-126 target sequence serves as a post-transcriptional regulation layer that allows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expression of the 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129540</wp:posOffset>
            </wp:positionV>
            <wp:extent cx="4783455" cy="2305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8345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Post-transcriptional control mechanism of transgene expression</w:t>
      </w:r>
    </w:p>
    <w:p>
      <w:pPr>
        <w:spacing w:after="0" w:line="225" w:lineRule="exact"/>
        <w:rPr>
          <w:sz w:val="20"/>
          <w:szCs w:val="20"/>
          <w:color w:val="auto"/>
        </w:rPr>
      </w:pPr>
    </w:p>
    <w:p>
      <w:pPr>
        <w:ind w:right="20" w:firstLine="656"/>
        <w:spacing w:after="0" w:line="284" w:lineRule="auto"/>
        <w:tabs>
          <w:tab w:leader="none" w:pos="865"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1" w:name="page72"/>
    <w:bookmarkEnd w:id="71"/>
    <w:p>
      <w:pPr>
        <w:ind w:firstLine="656"/>
        <w:spacing w:after="0" w:line="284" w:lineRule="auto"/>
        <w:tabs>
          <w:tab w:leader="none" w:pos="864"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113030</wp:posOffset>
            </wp:positionV>
            <wp:extent cx="4783455" cy="1397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8345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Transgene payload expression as the result of the transcriptional (promoter) and post-transcriptional regulation (miRNA-126 target sequence) imposed by our expression cassette.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We believe that combining our built-in post-transcriptional control mechanism (</w:t>
      </w:r>
      <w:r>
        <w:rPr>
          <w:rFonts w:ascii="Times New Roman" w:cs="Times New Roman" w:eastAsia="Times New Roman" w:hAnsi="Times New Roman"/>
          <w:sz w:val="18"/>
          <w:szCs w:val="18"/>
          <w:i w:val="1"/>
          <w:iCs w:val="1"/>
          <w:color w:val="auto"/>
        </w:rPr>
        <w:t>miRNA-126 target sequences</w:t>
      </w:r>
      <w:r>
        <w:rPr>
          <w:rFonts w:ascii="Times New Roman" w:cs="Times New Roman" w:eastAsia="Times New Roman" w:hAnsi="Times New Roman"/>
          <w:sz w:val="18"/>
          <w:szCs w:val="18"/>
          <w:color w:val="auto"/>
        </w:rPr>
        <w:t>), with TEMs designed as a “Trojan Horse” allows our platform to restrict transgene expression and avoid systemic toxicity while reaching the therapeutic index to drive efficacy.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Leading Product Candidate: Temferon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114300</wp:posOffset>
            </wp:positionV>
            <wp:extent cx="4783455" cy="24942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8345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Overview of Temferon manufacturing process and mechanism of action.</w:t>
      </w:r>
    </w:p>
    <w:p>
      <w:pPr>
        <w:spacing w:after="0" w:line="223" w:lineRule="exact"/>
        <w:rPr>
          <w:sz w:val="20"/>
          <w:szCs w:val="20"/>
          <w:color w:val="auto"/>
        </w:rPr>
      </w:pPr>
    </w:p>
    <w:p>
      <w:pPr>
        <w:jc w:val="both"/>
        <w:ind w:firstLine="583"/>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b w:val="1"/>
          <w:bCs w:val="1"/>
          <w:i w:val="1"/>
          <w:iCs w:val="1"/>
          <w:color w:val="auto"/>
        </w:rPr>
        <w:t>HSPCs</w:t>
      </w:r>
      <w:r>
        <w:rPr>
          <w:rFonts w:ascii="Times New Roman" w:cs="Times New Roman" w:eastAsia="Times New Roman" w:hAnsi="Times New Roman"/>
          <w:sz w:val="18"/>
          <w:szCs w:val="18"/>
          <w:i w:val="1"/>
          <w:iCs w:val="1"/>
          <w:color w:val="auto"/>
        </w:rPr>
        <w:t xml:space="preserve"> are harvested, (1) </w:t>
      </w:r>
      <w:r>
        <w:rPr>
          <w:rFonts w:ascii="Times New Roman" w:cs="Times New Roman" w:eastAsia="Times New Roman" w:hAnsi="Times New Roman"/>
          <w:sz w:val="18"/>
          <w:szCs w:val="18"/>
          <w:b w:val="1"/>
          <w:bCs w:val="1"/>
          <w:i w:val="1"/>
          <w:iCs w:val="1"/>
          <w:color w:val="auto"/>
        </w:rPr>
        <w:t>ex-vivo</w:t>
      </w:r>
      <w:r>
        <w:rPr>
          <w:rFonts w:ascii="Times New Roman" w:cs="Times New Roman" w:eastAsia="Times New Roman" w:hAnsi="Times New Roman"/>
          <w:sz w:val="18"/>
          <w:szCs w:val="18"/>
          <w:i w:val="1"/>
          <w:iCs w:val="1"/>
          <w:color w:val="auto"/>
        </w:rPr>
        <w:t xml:space="preserve"> modified by </w:t>
      </w:r>
      <w:r>
        <w:rPr>
          <w:rFonts w:ascii="Times New Roman" w:cs="Times New Roman" w:eastAsia="Times New Roman" w:hAnsi="Times New Roman"/>
          <w:sz w:val="18"/>
          <w:szCs w:val="18"/>
          <w:b w:val="1"/>
          <w:bCs w:val="1"/>
          <w:i w:val="1"/>
          <w:iCs w:val="1"/>
          <w:color w:val="auto"/>
        </w:rPr>
        <w:t>LVVs</w:t>
      </w:r>
      <w:r>
        <w:rPr>
          <w:rFonts w:ascii="Times New Roman" w:cs="Times New Roman" w:eastAsia="Times New Roman" w:hAnsi="Times New Roman"/>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GBM is a solid tumor affecting the brain. We have chosen this indication due to the following factors:</w:t>
      </w:r>
    </w:p>
    <w:p>
      <w:pPr>
        <w:spacing w:after="0" w:line="221"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unmet medical need. </w:t>
      </w:r>
      <w:r>
        <w:rPr>
          <w:rFonts w:ascii="Times New Roman" w:cs="Times New Roman" w:eastAsia="Times New Roman" w:hAnsi="Times New Roman"/>
          <w:sz w:val="18"/>
          <w:szCs w:val="18"/>
          <w:color w:val="auto"/>
        </w:rPr>
        <w:t>The prognosis for GBM patients remains poor with few therapeutic options having limited clinical benefits.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Temferon’s MoA targets TEMs which have an active role in uMGMT-GBM pathology. </w:t>
      </w:r>
      <w:r>
        <w:rPr>
          <w:rFonts w:ascii="Times New Roman" w:cs="Times New Roman" w:eastAsia="Times New Roman" w:hAnsi="Times New Roman"/>
          <w:sz w:val="18"/>
          <w:szCs w:val="18"/>
          <w:color w:val="auto"/>
        </w:rPr>
        <w:t>GBMs are highly vascularized tumors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critically 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Immunosuppressive tumor microenvironment. </w:t>
      </w:r>
      <w:r>
        <w:rPr>
          <w:rFonts w:ascii="Times New Roman" w:cs="Times New Roman" w:eastAsia="Times New Roman" w:hAnsi="Times New Roman"/>
          <w:sz w:val="18"/>
          <w:szCs w:val="18"/>
          <w:color w:val="auto"/>
        </w:rPr>
        <w:t>GBM is characterized by an immunosuppressive microenvironment that is mediated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tumor 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Availability of a “competent” immune system. </w:t>
      </w:r>
      <w:r>
        <w:rPr>
          <w:rFonts w:ascii="Times New Roman" w:cs="Times New Roman" w:eastAsia="Times New Roman" w:hAnsi="Times New Roman"/>
          <w:sz w:val="18"/>
          <w:szCs w:val="18"/>
          <w:color w:val="auto"/>
        </w:rPr>
        <w:t>Our approach relies on a patient’s immune system being capable of providing an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upon recognition of the tumor. Therefore, we believe newly diagnosed uMGMT-GBM patients who have relatively “competent” immune systems, not yet damaged by repeated cycles of chemotherapies, are strong candidates for our candidate.</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Compelling preclinical data. </w:t>
      </w:r>
      <w:r>
        <w:rPr>
          <w:rFonts w:ascii="Times New Roman" w:cs="Times New Roman" w:eastAsia="Times New Roman" w:hAnsi="Times New Roman"/>
          <w:sz w:val="18"/>
          <w:szCs w:val="18"/>
          <w:color w:val="auto"/>
        </w:rPr>
        <w:t>Our preclinical studies, published in peer-reviewed papers, suggest that TEMs play an active role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uMGMT-GBM, 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8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Opportunity. </w:t>
      </w:r>
      <w:r>
        <w:rPr>
          <w:rFonts w:ascii="Times New Roman" w:cs="Times New Roman" w:eastAsia="Times New Roman" w:hAnsi="Times New Roman"/>
          <w:sz w:val="18"/>
          <w:szCs w:val="18"/>
          <w:color w:val="auto"/>
        </w:rPr>
        <w:t>Based on currently available treatments, the global market size for all GBM is projected to grow to over $3.4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2032. We believe a novel therapeutic which demonstrates improvement over existing therapies would greatly increase the market size.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3" w:name="page74"/>
    <w:bookmarkEnd w:id="7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discussing a new study using Temferon in a second solid tumor indication, for which we are considering patients with unmet medical needs suffering from solid tumors which recruit TEMs in order to grow.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Temferon for uMGMT-GBM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Landscape and Limitations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standard of care for GBM includes surgery to remove the accessible tumor followed by radiation therapy (“RTx”), chemotherapy with temozolomide (“TMZ”) and/or tumor treating fields (“TTFields”).</w:t>
      </w:r>
    </w:p>
    <w:p>
      <w:pPr>
        <w:spacing w:after="0" w:line="158" w:lineRule="exact"/>
        <w:rPr>
          <w:sz w:val="20"/>
          <w:szCs w:val="20"/>
          <w:color w:val="auto"/>
        </w:rPr>
      </w:pPr>
    </w:p>
    <w:p>
      <w:pPr>
        <w:jc w:val="both"/>
        <w:ind w:left="1300" w:hanging="644"/>
        <w:spacing w:after="0" w:line="257"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Surgery </w:t>
      </w:r>
      <w:r>
        <w:rPr>
          <w:rFonts w:ascii="Times New Roman" w:cs="Times New Roman" w:eastAsia="Times New Roman" w:hAnsi="Times New Roman"/>
          <w:sz w:val="18"/>
          <w:szCs w:val="18"/>
          <w:color w:val="auto"/>
        </w:rPr>
        <w:t>remains the mainstay of initial treatment. If the tumor is located in a resectable region of the brain, it is used to histologically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confirm the 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Radiation therapy </w:t>
      </w:r>
      <w:r>
        <w:rPr>
          <w:rFonts w:ascii="Times New Roman" w:cs="Times New Roman" w:eastAsia="Times New Roman" w:hAnsi="Times New Roman"/>
          <w:sz w:val="18"/>
          <w:szCs w:val="18"/>
          <w:color w:val="auto"/>
        </w:rPr>
        <w:t>improves survival and is typically started approximately 3 to 4 weeks after surgery. RTx is performed daily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6 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Chemotherapy. </w:t>
      </w:r>
      <w:r>
        <w:rPr>
          <w:rFonts w:ascii="Times New Roman" w:cs="Times New Roman" w:eastAsia="Times New Roman" w:hAnsi="Times New Roman"/>
          <w:sz w:val="18"/>
          <w:szCs w:val="18"/>
          <w:color w:val="auto"/>
        </w:rPr>
        <w:t>Temozolomide, the current chemotherapeutic standard of care, is a DNA-alkylating agent that can cross the blood-brain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barrier to 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left="1300" w:hanging="644"/>
        <w:spacing w:after="0" w:line="259"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Tumor-Treating Fields (TTFields)</w:t>
      </w:r>
      <w:r>
        <w:rPr>
          <w:rFonts w:ascii="Times New Roman" w:cs="Times New Roman" w:eastAsia="Times New Roman" w:hAnsi="Times New Roman"/>
          <w:sz w:val="18"/>
          <w:szCs w:val="18"/>
          <w:color w:val="auto"/>
        </w:rPr>
        <w:t>. The use of TTFields to extend temozolomide maintenance chemotherapy for newly diagnosed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glioblastoma 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Experimental Treatments. </w:t>
      </w:r>
      <w:r>
        <w:rPr>
          <w:rFonts w:ascii="Times New Roman" w:cs="Times New Roman" w:eastAsia="Times New Roman" w:hAnsi="Times New Roman"/>
          <w:sz w:val="18"/>
          <w:szCs w:val="18"/>
          <w:color w:val="auto"/>
        </w:rPr>
        <w:t>Along with the above-mentioned treatments, the addition of the antiangiogenic agent bevacizumab (BEV)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RTx and TMZ has been explored with mixed clinical results BEV was tested both a first-line treatment together with RTx and concomitant TMZ administration in newly diagnosed glioblastoma patients, as well as in combination with RTx in recurrent GBM patients. BEV was approved by 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Temferon utilizes our platform and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Times New Roman" w:cs="Times New Roman" w:eastAsia="Times New Roman" w:hAnsi="Times New Roman"/>
          <w:sz w:val="18"/>
          <w:szCs w:val="18"/>
          <w:i w:val="1"/>
          <w:iCs w:val="1"/>
          <w:color w:val="auto"/>
        </w:rPr>
        <w:t>see “Our Leading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 Temferon” and “Our Platform”</w:t>
      </w:r>
      <w:r>
        <w:rPr>
          <w:rFonts w:ascii="Times New Roman" w:cs="Times New Roman" w:eastAsia="Times New Roman" w:hAnsi="Times New Roman"/>
          <w:sz w:val="18"/>
          <w:szCs w:val="18"/>
          <w:color w:val="auto"/>
        </w:rPr>
        <w:t>). Temferon is designed to colonize the patient’s bone marrow with the genetically modified HSPCs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Once within the tumor microenvironment, IFN-α is expected to act both </w:t>
      </w:r>
      <w:r>
        <w:rPr>
          <w:rFonts w:ascii="Times New Roman" w:cs="Times New Roman" w:eastAsia="Times New Roman" w:hAnsi="Times New Roman"/>
          <w:sz w:val="18"/>
          <w:szCs w:val="18"/>
          <w:i w:val="1"/>
          <w:iCs w:val="1"/>
          <w:color w:val="auto"/>
        </w:rPr>
        <w:t>directly</w:t>
      </w:r>
      <w:r>
        <w:rPr>
          <w:rFonts w:ascii="Times New Roman" w:cs="Times New Roman" w:eastAsia="Times New Roman" w:hAnsi="Times New Roman"/>
          <w:sz w:val="18"/>
          <w:szCs w:val="18"/>
          <w:color w:val="auto"/>
        </w:rPr>
        <w:t xml:space="preserve"> by promoting cancer cell apoptosis and inhibiting vascularization and </w:t>
      </w:r>
      <w:r>
        <w:rPr>
          <w:rFonts w:ascii="Times New Roman" w:cs="Times New Roman" w:eastAsia="Times New Roman" w:hAnsi="Times New Roman"/>
          <w:sz w:val="18"/>
          <w:szCs w:val="18"/>
          <w:i w:val="1"/>
          <w:iCs w:val="1"/>
          <w:color w:val="auto"/>
        </w:rPr>
        <w:t xml:space="preserve">indirectly </w:t>
      </w:r>
      <w:r>
        <w:rPr>
          <w:rFonts w:ascii="Times New Roman" w:cs="Times New Roman" w:eastAsia="Times New Roman" w:hAnsi="Times New Roman"/>
          <w:sz w:val="18"/>
          <w:szCs w:val="18"/>
          <w:color w:val="auto"/>
        </w:rPr>
        <w:t>by restoring the body’s anti-tumor immune response, as follows:</w:t>
      </w:r>
    </w:p>
    <w:p>
      <w:pPr>
        <w:spacing w:after="0" w:line="156" w:lineRule="exact"/>
        <w:rPr>
          <w:sz w:val="20"/>
          <w:szCs w:val="20"/>
          <w:color w:val="auto"/>
        </w:rPr>
      </w:pPr>
    </w:p>
    <w:p>
      <w:pPr>
        <w:jc w:val="both"/>
        <w:ind w:left="1300" w:hanging="644"/>
        <w:spacing w:after="0" w:line="268"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 Effects. </w:t>
      </w:r>
      <w:r>
        <w:rPr>
          <w:rFonts w:ascii="Times New Roman" w:cs="Times New Roman" w:eastAsia="Times New Roman" w:hAnsi="Times New Roman"/>
          <w:sz w:val="18"/>
          <w:szCs w:val="18"/>
          <w:color w:val="auto"/>
        </w:rPr>
        <w:t>IFN-α suppresses tumor cell proliferation and promotes the apoptosis of tumor and stromal cells by induction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proapoptotic genes or repression of anti-apoptotic genes. Moreover, IFN-α inhibits angiogenesis by downregulating the expression of proangiogenic factors.</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Indirect Effects. </w:t>
      </w:r>
      <w:r>
        <w:rPr>
          <w:rFonts w:ascii="Times New Roman" w:cs="Times New Roman" w:eastAsia="Times New Roman" w:hAnsi="Times New Roman"/>
          <w:sz w:val="18"/>
          <w:szCs w:val="18"/>
          <w:color w:val="auto"/>
        </w:rPr>
        <w:t>IFN-α stimulates early innate immune responses and the subsequent adaptive immune response via multiple pathways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431800</wp:posOffset>
            </wp:positionV>
            <wp:extent cx="4783455" cy="2400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478345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Temferon antitumor activity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Temferon in uMGMT-GBM</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2582545</wp:posOffset>
            </wp:positionH>
            <wp:positionV relativeFrom="page">
              <wp:posOffset>448945</wp:posOffset>
            </wp:positionV>
            <wp:extent cx="2357120" cy="26231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235712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Inhibition of Human Gliomas in IFN-α Gene Therapy Treated Athymic Mice (De Palma et al., 2008).</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A-B) </w:t>
      </w:r>
      <w:r>
        <w:rPr>
          <w:rFonts w:ascii="Times New Roman" w:cs="Times New Roman" w:eastAsia="Times New Roman" w:hAnsi="Times New Roman"/>
          <w:sz w:val="18"/>
          <w:szCs w:val="18"/>
          <w:i w:val="1"/>
          <w:iCs w:val="1"/>
          <w:color w:val="auto"/>
        </w:rPr>
        <w:t>Glioma growth (mean tumor volume ± SEM, measured by MRI) in individual control and IFN-α gene therapy treated mice (Tie2-IFN) at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weeks post tumor injection (“PTI”). Tumor volume and progression decreased in IFN-α gene therapy treated mice. </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Times New Roman" w:cs="Times New Roman" w:eastAsia="Times New Roman" w:hAnsi="Times New Roman"/>
          <w:sz w:val="18"/>
          <w:szCs w:val="18"/>
          <w:b w:val="1"/>
          <w:bCs w:val="1"/>
          <w:i w:val="1"/>
          <w:iCs w:val="1"/>
          <w:color w:val="auto"/>
        </w:rPr>
        <w:t>D)</w:t>
      </w:r>
      <w:r>
        <w:rPr>
          <w:rFonts w:ascii="Times New Roman" w:cs="Times New Roman" w:eastAsia="Times New Roman" w:hAnsi="Times New Roman"/>
          <w:sz w:val="18"/>
          <w:szCs w:val="18"/>
          <w:i w:val="1"/>
          <w:iCs w:val="1"/>
          <w:color w:val="auto"/>
        </w:rPr>
        <w:t xml:space="preserve"> Measurement of tumor necrotic fraction (mean necrotic fraction, % ± SEM) by MRI in individual Ctrl and Tie2-IFN mice at 3 weeks PTI, evidencing cancer cell death. </w:t>
      </w: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8"/>
          <w:szCs w:val="18"/>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Phase 1/2a Clinical Trial</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second quarter of 2019, we enrolled our first patient in a single-arm, open label, dose escalation, Phase 1/2a clinical trial, in adult patients aged 18 to 70 years (the “TEM-GBM 001 study”). The trial is being conducted at two clinical centers of excellence located in Milan, Italy:</w:t>
      </w:r>
    </w:p>
    <w:p>
      <w:pPr>
        <w:spacing w:after="0" w:line="160" w:lineRule="exact"/>
        <w:rPr>
          <w:sz w:val="20"/>
          <w:szCs w:val="20"/>
          <w:color w:val="auto"/>
        </w:rPr>
      </w:pPr>
    </w:p>
    <w:p>
      <w:pPr>
        <w:jc w:val="both"/>
        <w:ind w:firstLine="8"/>
        <w:spacing w:after="0" w:line="267" w:lineRule="auto"/>
        <w:tabs>
          <w:tab w:leader="none" w:pos="2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Istituto Nazionale Neurologico “</w:t>
      </w:r>
      <w:r>
        <w:rPr>
          <w:rFonts w:ascii="Times New Roman" w:cs="Times New Roman" w:eastAsia="Times New Roman" w:hAnsi="Times New Roman"/>
          <w:sz w:val="18"/>
          <w:szCs w:val="18"/>
          <w:i w:val="1"/>
          <w:iCs w:val="1"/>
          <w:color w:val="auto"/>
        </w:rPr>
        <w:t>Carlo Besta</w:t>
      </w:r>
      <w:r>
        <w:rPr>
          <w:rFonts w:ascii="Times New Roman" w:cs="Times New Roman" w:eastAsia="Times New Roman" w:hAnsi="Times New Roman"/>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131445</wp:posOffset>
            </wp:positionV>
            <wp:extent cx="3051810" cy="1774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5181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i w:val="1"/>
          <w:iCs w:val="1"/>
          <w:color w:val="auto"/>
        </w:rPr>
        <w:t>TEM-GBM 001 Study Design.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7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Patients in cohorts 1, 2 and 3 received Temferon dose escalation up to 2 x 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CD34+ cells/kg (Dose Level 3) and 3 x 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CD34+ cells/kg as unmanipulated supporter HSPCs. Patients in Cohorts 4 and 5 were infused with Temferon Dose Level 3 but received 2 x 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CD34+ cells/kg and were conditioned with 2 different conditioning regimens (BCNU &amp; thiotepa for Cohort 4, also utilized in Cohort 1-3 and Busulfan &amp; thiothepa for Cohort 5).</w:t>
      </w:r>
    </w:p>
    <w:p>
      <w:pPr>
        <w:spacing w:after="0" w:line="19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Based on the results collected in the Part A of the study, we have amended the study to add two additional dose escalation cohorts (numbers 6 and 7). The Clinical Protocol amendment was submitted on July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2021 to the Italian Competent Authorities, and approved by AIFA in September 2021.</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 the submitted clinical protocol amendments, 3 patients in Cohorts 6 were conditioned with BCNU and thiotepa and received 2 x 106/kg supporter HSPCs and a Temferon dose of 3 x 106 cells/kg. As of March 6, 2023, one patient in cohort 7 was conditioned with Busulfan and received 3 x 106/kg supporter HSPCs and a Temferon dose of 3 x 106 cells/kg. The other two patients in cohort 7 had consented to and will receive same conditioning and dosages.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114300</wp:posOffset>
            </wp:positionV>
            <wp:extent cx="4783455" cy="2743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8345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448945</wp:posOffset>
            </wp:positionV>
            <wp:extent cx="4783455" cy="1783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478345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TEM-GBM 001 Amended Study Design.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Preliminary Interim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 Temferon and to evaluate its mechanism of action in patients. We enrolled our first patient in April 2019, and as of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March 6, 2023, we had dosed 19 patients, from cohort 1 to 7. We expect to complete the enrollment and the dosing of patients to be assigned to the remaining cohorts by the first quarter of 2024.</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the current status of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155575</wp:posOffset>
            </wp:positionV>
            <wp:extent cx="4783455" cy="754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834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i w:val="1"/>
          <w:iCs w:val="1"/>
          <w:color w:val="auto"/>
        </w:rPr>
        <w:t>Engineered myeloid cells persist in peripheral blood for up to 18 months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last evaluable disease status as assessed by immunotherapy response assessment for neuro-oncology (“iRANO”) criteria as of November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2021, the last evaluable time point for all 15 treated patients (prior to death, where applicable), was as follows: six patients had shown stable disease (“SD”), two patients had demonstrated partial response, seven patients had shown progressive disease (“PD”).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 -month window for confirmation of progression on follow-up imaging, and further advises that progressive imaging changes beyond six months after immunotherapy initiation are more likely true tumor progression.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TEM-GBM Clinical Development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intend to submit the CTA for a Temferon Phase 2 study for uMGMT-GBM patients by the first quarter of 2024.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components of the anticipated clinical trial are as follows:</w:t>
      </w:r>
    </w:p>
    <w:p>
      <w:pPr>
        <w:spacing w:after="0" w:line="225"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Multicenter study evaluating Temferon for safety, tolerability and efficacy compared to the current standard of care;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treatment of up to 27 patients with newly diagnosed and recurrent uMGMT-GBM;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PFS and mOS as co-primary study endpoints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design as discussed with FDA at the Pre-IND meeting may be subject to modifications.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Second Solid Tumor Indication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58" w:lineRule="exact"/>
        <w:rPr>
          <w:sz w:val="20"/>
          <w:szCs w:val="20"/>
          <w:color w:val="auto"/>
        </w:rPr>
      </w:pPr>
    </w:p>
    <w:p>
      <w:pPr>
        <w:ind w:left="1300" w:hanging="644"/>
        <w:spacing w:after="0" w:line="28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unmet medical need and market opportunity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prognosis for patients with locally advanced HCC and ICC remains poor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few therapeutic options having limited clinical benefits.</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TEMs have an active role in HCC and ICC pathology.</w:t>
      </w:r>
    </w:p>
    <w:p>
      <w:pPr>
        <w:spacing w:after="0" w:line="22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third-party studies have shown that tumor infiltration by tumor associated myeloid cells, including TEMs, is a negative prognostic factor in HCC and ICC.</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HCC, TEMs are the most abundant proportion of tumor associated myeloid cells.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All the above evidence highlights the role of TEMs in fostering liver cancer growth, by promoting angiogenesis.</w:t>
      </w:r>
    </w:p>
    <w:p>
      <w:pPr>
        <w:spacing w:after="0" w:line="221" w:lineRule="exact"/>
        <w:rPr>
          <w:sz w:val="20"/>
          <w:szCs w:val="20"/>
          <w:color w:val="auto"/>
        </w:rPr>
      </w:pPr>
    </w:p>
    <w:p>
      <w:pPr>
        <w:ind w:left="1300" w:hanging="644"/>
        <w:spacing w:after="0" w:line="28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Pro-inflammatory and immunosuppressive tumor microenvironment. </w:t>
      </w:r>
      <w:r>
        <w:rPr>
          <w:rFonts w:ascii="Times New Roman" w:cs="Times New Roman" w:eastAsia="Times New Roman" w:hAnsi="Times New Roman"/>
          <w:sz w:val="18"/>
          <w:szCs w:val="18"/>
          <w:color w:val="auto"/>
        </w:rPr>
        <w:t>Both locally advanced HCC and ICC are characterized by a pro-inflammatory and immunosuppressive tumor microenvironment with TEMs playing a key role.</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IFN-α and liver tumors. </w:t>
      </w:r>
      <w:r>
        <w:rPr>
          <w:rFonts w:ascii="Times New Roman" w:cs="Times New Roman" w:eastAsia="Times New Roman" w:hAnsi="Times New Roman"/>
          <w:sz w:val="18"/>
          <w:szCs w:val="18"/>
          <w:color w:val="auto"/>
        </w:rPr>
        <w:t>Chronic inflammation resulting from HBV and HCV infection are key contributors for the development of HCC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ICC. 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8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Available preclinical data. </w:t>
      </w:r>
      <w:r>
        <w:rPr>
          <w:rFonts w:ascii="Times New Roman" w:cs="Times New Roman" w:eastAsia="Times New Roman" w:hAnsi="Times New Roman"/>
          <w:sz w:val="18"/>
          <w:szCs w:val="18"/>
          <w:color w:val="auto"/>
        </w:rPr>
        <w:t>We have preclinical data, published in peer reviewed papers suggesting that TEMs used as a “Trojan Horse”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cancer that has metastasized to the liver were able to induce a statistically significant tumor shrinkage and control disease progression.</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Opportunity. </w:t>
      </w:r>
      <w:r>
        <w:rPr>
          <w:rFonts w:ascii="Times New Roman" w:cs="Times New Roman" w:eastAsia="Times New Roman" w:hAnsi="Times New Roman"/>
          <w:sz w:val="18"/>
          <w:szCs w:val="18"/>
          <w:color w:val="auto"/>
        </w:rPr>
        <w:t>Based on currently available treatments, the HCC and ICC combined global market value is projected to grow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$2.6 billion by 2026. We believe a novel therapeutic which demonstrates improvement over existing therapies would greatly grow the market size.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179" w:lineRule="exact"/>
        <w:rPr>
          <w:sz w:val="20"/>
          <w:szCs w:val="20"/>
          <w:color w:val="auto"/>
        </w:rPr>
      </w:pPr>
    </w:p>
    <w:p>
      <w:pPr>
        <w:jc w:val="both"/>
        <w:ind w:left="1300" w:hanging="644"/>
        <w:spacing w:after="0" w:line="25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Hepatocellular carcinoma </w:t>
      </w:r>
      <w:r>
        <w:rPr>
          <w:rFonts w:ascii="Times New Roman" w:cs="Times New Roman" w:eastAsia="Times New Roman" w:hAnsi="Times New Roman"/>
          <w:sz w:val="18"/>
          <w:szCs w:val="18"/>
          <w:color w:val="auto"/>
        </w:rPr>
        <w:t>HCC is a primary malignancy of the liver that occurs predominantly in patients with underlying chronic liver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and cirrhosis. The incidence of HCC has been rising worldwide over the last 20 years, with about eight new cases per 100,000 adults per year. The highest incidence of HCC occurs in Asia and Africa, where the endemically high prevalence of HBV and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Cholangiocarcinoma </w:t>
      </w:r>
      <w:r>
        <w:rPr>
          <w:rFonts w:ascii="Times New Roman" w:cs="Times New Roman" w:eastAsia="Times New Roman" w:hAnsi="Times New Roman"/>
          <w:sz w:val="18"/>
          <w:szCs w:val="18"/>
          <w:color w:val="auto"/>
        </w:rPr>
        <w:t>is a biliary tract cancer and represents approximately 3% of all GI malignancies. Of this 3%, ICC accounts for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10% of those cases. The incidence is 2.1 per 100,000 person years. Despite surgery, the prognosis remains poor with disease recurrence and progression occurring in approximately two-thirds of patients and a 5-year survival rate of only 30%.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HCC Current Treatment Landscape and Limitations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183" w:lineRule="exact"/>
        <w:rPr>
          <w:sz w:val="20"/>
          <w:szCs w:val="20"/>
          <w:color w:val="auto"/>
        </w:rPr>
      </w:pPr>
    </w:p>
    <w:p>
      <w:pPr>
        <w:jc w:val="both"/>
        <w:ind w:left="1300" w:hanging="644"/>
        <w:spacing w:after="0" w:line="268"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Surgical Resection </w:t>
      </w:r>
      <w:r>
        <w:rPr>
          <w:rFonts w:ascii="Times New Roman" w:cs="Times New Roman" w:eastAsia="Times New Roman" w:hAnsi="Times New Roman"/>
          <w:sz w:val="18"/>
          <w:szCs w:val="18"/>
          <w:color w:val="auto"/>
        </w:rPr>
        <w:t>is the recommended first line therapy for patients with a single HCC nodule, achieving the highest effectiveness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disease control and overall survival. However, despite the accurate selection of patients with early tumors and the complete tumor removal, HCC patients are at high risk of tumor recurrence.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left="1300" w:hanging="644"/>
        <w:spacing w:after="0" w:line="26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Percutaneous ethanol injection </w:t>
      </w:r>
      <w:r>
        <w:rPr>
          <w:rFonts w:ascii="Times New Roman" w:cs="Times New Roman" w:eastAsia="Times New Roman" w:hAnsi="Times New Roman"/>
          <w:sz w:val="18"/>
          <w:szCs w:val="18"/>
          <w:color w:val="auto"/>
        </w:rPr>
        <w:t>PEI is an effective technique used for early-stage HCC with a low complication rate that induces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 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Radiofrequency ablation </w:t>
      </w:r>
      <w:r>
        <w:rPr>
          <w:rFonts w:ascii="Times New Roman" w:cs="Times New Roman" w:eastAsia="Times New Roman" w:hAnsi="Times New Roman"/>
          <w:sz w:val="18"/>
          <w:szCs w:val="18"/>
          <w:color w:val="auto"/>
        </w:rPr>
        <w:t>RFA has advantages compared to PEI including ease of performance, effectiveness similar to that of surgical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resection, 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Transarterial chemoembolization </w:t>
      </w:r>
      <w:r>
        <w:rPr>
          <w:rFonts w:ascii="Times New Roman" w:cs="Times New Roman" w:eastAsia="Times New Roman" w:hAnsi="Times New Roman"/>
          <w:sz w:val="18"/>
          <w:szCs w:val="18"/>
          <w:color w:val="auto"/>
        </w:rPr>
        <w:t>TACE is the current standard of care for patients with intermediate/late-stage HCC and who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relatively 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Sorafenib </w:t>
      </w:r>
      <w:r>
        <w:rPr>
          <w:rFonts w:ascii="Times New Roman" w:cs="Times New Roman" w:eastAsia="Times New Roman" w:hAnsi="Times New Roman"/>
          <w:sz w:val="18"/>
          <w:szCs w:val="18"/>
          <w:color w:val="auto"/>
        </w:rPr>
        <w:t>has been the first line chemotherapy standard of care for patients with advanced unresectable HCC since 2007 and has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ICC Current Treatment Landscape and Limitations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to Temferon for GBM, we believe that Temferon may overcome the current treatment limitations of HCC and ICC that are not curative/resolutive by stopping/delaying disease progression.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Temferon in HCC and ICC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448945</wp:posOffset>
            </wp:positionV>
            <wp:extent cx="4783455" cy="3771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478345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vivo data on Tie2-IFN gene therapy platform in a mouse model of colorectal cancer (“CRC”) liver metastasis (Catarinella et. al; 2016)</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IFN-α gene therapy treatment impairs the metastatic growth in the liver CRC liver metastasis.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Second Solid Tumor Study Design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conducting an assessment of the most appropriate second solid tumor indication for Temferon. Patients suffering from the tumors under consideration do not have efficacious treatment available to them and could be eligible for Temferon treatment. We expect the study design will be appropriate for a Phase 1/2 trial in the selected tumor indication.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b w:val="1"/>
          <w:bCs w:val="1"/>
          <w:color w:val="auto"/>
        </w:rPr>
        <w:t>Additional Pipeline Pre-Clinical Programs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Combination Treatment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Switchable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151"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An inducible version of the IFN-Gamma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IFN-Gamma payload in combination with CAR T cells to target glioblastoma-associated antigens or immune checkpoint blockers in an experimental tumor model in mice.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b w:val="1"/>
          <w:bCs w:val="1"/>
          <w:color w:val="auto"/>
        </w:rPr>
        <w:t>Other Payloads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is designed to allow the control of the expression of any payload we use. Similar to IFN-Gamma, there are several alternative payloads with immunotherapeutic properties that were previously systemically delivered to patients, but were discontinued due to significant toxicity that prevented the drug from reaching therapeutic dosages (e.g. TNF-Alpha). Because we believe that our first- and second-generation platforms may overcome the limitations associated with systemic administration, we are testing them with additional payloads such as IFN-Gamma, IL-12 and TNF-Alpha. Because each payload triggers a unique biological response, we believe our platform may enable a personalized treatment approach unique amongst the current treatment paradigms.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IFN-Gamma and TNF-Alpha and further support our hypothesis that the specific transcriptional and microRNA regulated expression of the payload prevents toxicity. Data generated in the laboratory of our founders in a leukemia model showed that IFN-Gamma but not TNF-Alpha mediate anti-tumor activity when delivered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Further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studies showed enhanced anti-tumor activity upon combined delivery of two cytokines by the TEM-based platform.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manufacturing process for our autologous cell and gene therapy approach requires the following steps:</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HSPCs harvesting in a specialized clinical center (leukapheresis)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of apheresis bag/s to the selected contract manufacturing organization (CMO)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CD34+ cells enrichment</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Ex-vivo </w:t>
      </w:r>
      <w:r>
        <w:rPr>
          <w:rFonts w:ascii="Times New Roman" w:cs="Times New Roman" w:eastAsia="Times New Roman" w:hAnsi="Times New Roman"/>
          <w:sz w:val="18"/>
          <w:szCs w:val="18"/>
          <w:color w:val="auto"/>
        </w:rPr>
        <w:t>transduction of CD34+ cells with our LVV,</w:t>
      </w:r>
    </w:p>
    <w:p>
      <w:pPr>
        <w:spacing w:after="0" w:line="227" w:lineRule="exact"/>
        <w:rPr>
          <w:rFonts w:ascii="Times New Roman" w:cs="Times New Roman" w:eastAsia="Times New Roman" w:hAnsi="Times New Roman"/>
          <w:sz w:val="18"/>
          <w:szCs w:val="18"/>
          <w:color w:val="auto"/>
        </w:rPr>
      </w:pPr>
    </w:p>
    <w:p>
      <w:pPr>
        <w:ind w:left="5540" w:right="2860" w:hanging="4884"/>
        <w:spacing w:after="0" w:line="532" w:lineRule="auto"/>
        <w:tabs>
          <w:tab w:leader="none" w:pos="13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Cryopreservation, characterization and release by a Qualified Person of the obtained drug product.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LVV manufacturing needed for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113030</wp:posOffset>
            </wp:positionV>
            <wp:extent cx="4783455" cy="2306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8345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Temferon manufacturing Process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entered into agreements with AGC Biologics to manufacture our LVV and certain drug products for our ongoing clinical programs in Italy. AGC Biologics is a leading global contract development and manufacturing organization (“CDMO”), providing world-class development and manufacture of mammalian and microbial-based therapeutic proteins of plasmid DNA (“pDNA”) and,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Times New Roman" w:cs="Times New Roman" w:eastAsia="Times New Roman" w:hAnsi="Times New Roman"/>
          <w:sz w:val="18"/>
          <w:szCs w:val="18"/>
          <w:i w:val="1"/>
          <w:iCs w:val="1"/>
          <w:color w:val="auto"/>
        </w:rPr>
        <w:t xml:space="preserve">ex-vivo </w:t>
      </w:r>
      <w:r>
        <w:rPr>
          <w:rFonts w:ascii="Times New Roman" w:cs="Times New Roman" w:eastAsia="Times New Roman" w:hAnsi="Times New Roman"/>
          <w:sz w:val="18"/>
          <w:szCs w:val="18"/>
          <w:color w:val="auto"/>
        </w:rPr>
        <w:t>gene therapy for children, was developed and is still currently manufactured by AGC Biologics (formerly MolMed). Accordingly, Orchard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Therapeutics (NasdaqGS: ORTX) in July 2020 renewed their collaboration agreement with AGC which will continue to support activities related to the development and manufacturing of vectors and drug products for several of Orchard’s investigational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hematopoietic stem cell (HSC) gene therapies in the upcoming years, including the recent EU market authorized gene therapy drug </w:t>
      </w:r>
      <w:r>
        <w:rPr>
          <w:rFonts w:ascii="Times New Roman" w:cs="Times New Roman" w:eastAsia="Times New Roman" w:hAnsi="Times New Roman"/>
          <w:sz w:val="18"/>
          <w:szCs w:val="18"/>
          <w:i w:val="1"/>
          <w:iCs w:val="1"/>
          <w:color w:val="auto"/>
        </w:rPr>
        <w:t>Libmeldy.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1176655</wp:posOffset>
            </wp:positionH>
            <wp:positionV relativeFrom="page">
              <wp:posOffset>448945</wp:posOffset>
            </wp:positionV>
            <wp:extent cx="5168900" cy="3240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16890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AGC Biologics Headquarters and Capabilities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agreements with AGC (including MolMed) establish agreed-upon timelines for purchase order submissions and manufacturing date changes/cancellation. The agreements also set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steps required before a biologic may be marketed in the United States generally include:</w:t>
      </w:r>
    </w:p>
    <w:p>
      <w:pPr>
        <w:spacing w:after="0" w:line="225" w:lineRule="exact"/>
        <w:rPr>
          <w:sz w:val="20"/>
          <w:szCs w:val="20"/>
          <w:color w:val="auto"/>
        </w:rPr>
      </w:pPr>
    </w:p>
    <w:p>
      <w:pPr>
        <w:ind w:left="1300" w:right="2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application (“IND”), which must become effective before human clinical trials may commence;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independent IRB or ethics committee at each clinical trial site before each trial may be initiated;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accept and file the application;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 clinical trial sites that generated the data in support of the BLA in accordance with any applicable expedited programs or designations;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particular indications for use in the U.S.;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the IND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60" w:lineRule="exact"/>
        <w:rPr>
          <w:sz w:val="20"/>
          <w:szCs w:val="20"/>
          <w:color w:val="auto"/>
        </w:rPr>
      </w:pPr>
    </w:p>
    <w:p>
      <w:pPr>
        <w:jc w:val="both"/>
        <w:ind w:left="1300" w:hanging="644"/>
        <w:spacing w:after="0" w:line="257"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Phase 1 involves the initial introduction of a product candidate into humans. Phase 1 clinical trials are typically conducted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Phase 2 includes the controlled clinical trials conducted to obtain initial evidence of effectiveness of the product candidate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both"/>
        <w:ind w:left="1300" w:hanging="644"/>
        <w:spacing w:after="0" w:line="257"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Phase 3 clinical trials are clinical trials conducted in an expanded patient population at geographically dispersed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there are requirements for the registration of certain clinical trials of product candidates on public registries, such as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and the submission of certain information pertaining to these trials, including clinical trial results, after trial completion.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Biologics License Applications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18"/>
          <w:szCs w:val="18"/>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 in the United States and Other Jurisdictions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fast-track product at any time during the clinical development of the product. With fast-track designation, the sponsor may be eligible for more frequent opportunities to obtain the FDA’s feedback. Another benefit of fast-track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229"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 -by-case basis for individual patients, intermediate-size patient populations, and larger populations for use of the drug under a treatment protocol or Treatment IND Application.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market exclusivity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18"/>
          <w:szCs w:val="18"/>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Health Care Laws and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80" w:lineRule="exact"/>
        <w:rPr>
          <w:sz w:val="20"/>
          <w:szCs w:val="20"/>
          <w:color w:val="auto"/>
        </w:rPr>
      </w:pPr>
    </w:p>
    <w:p>
      <w:pPr>
        <w:jc w:val="both"/>
        <w:ind w:left="1300" w:hanging="644"/>
        <w:spacing w:after="0" w:line="261"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62" w:lineRule="exact"/>
        <w:rPr>
          <w:sz w:val="20"/>
          <w:szCs w:val="20"/>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18"/>
          <w:szCs w:val="18"/>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Europe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In January 2022, the Clinical Trials Regulation entered into application harmonizing the submission, assessment and supervision processes for clinical trials in the EU.</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Regulations in Italy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conducting or planning Phase I/II clinical trials on Temferon in Italy, in accordance with the specific regulations applicable to such early-phase trials. As discussed elsewhere in this report, we are currently conducting our TEM-GBM 001 study on UMGMT-GBM patients and plan to start new ones on hepatic tumor (HCC and IHC) in the near future by means of appropriate application to the Italian Regulatory Authority (“AIFA”).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Times New Roman" w:cs="Times New Roman" w:eastAsia="Times New Roman" w:hAnsi="Times New Roman"/>
          <w:sz w:val="18"/>
          <w:szCs w:val="18"/>
          <w:i w:val="1"/>
          <w:iCs w:val="1"/>
          <w:color w:val="auto"/>
        </w:rPr>
        <w:t>Parere Unico</w:t>
      </w:r>
      <w:r>
        <w:rPr>
          <w:rFonts w:ascii="Times New Roman" w:cs="Times New Roman" w:eastAsia="Times New Roman" w:hAnsi="Times New Roman"/>
          <w:sz w:val="18"/>
          <w:szCs w:val="18"/>
          <w:color w:val="auto"/>
        </w:rPr>
        <w:t>, lit. “sole opinion” (“PU”) - and then the IECs of the other participating centers accept or refuse the PU in its entirety (they may seek amendment to the ICF on the basis of local operating circumstances).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Times New Roman" w:cs="Times New Roman" w:eastAsia="Times New Roman" w:hAnsi="Times New Roman"/>
          <w:sz w:val="18"/>
          <w:szCs w:val="18"/>
          <w:i w:val="1"/>
          <w:iCs w:val="1"/>
          <w:color w:val="auto"/>
        </w:rPr>
        <w:t>con riserva</w:t>
      </w:r>
      <w:r>
        <w:rPr>
          <w:rFonts w:ascii="Times New Roman" w:cs="Times New Roman" w:eastAsia="Times New Roman" w:hAnsi="Times New Roman"/>
          <w:sz w:val="18"/>
          <w:szCs w:val="18"/>
          <w:color w:val="auto"/>
        </w:rPr>
        <w:t>”) and can be loaded in advance accordingly, under the assumption that the documents subjected to evaluation - protocol (updated) version, ICF and the rest – coincide exactly.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Marketing Authorization Application for Biologic Medicinal Products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obtain regulatory approval to commercialize a new drug in the EEA (comprising the E.U. Member States plus Iceland, Liechtenstein and Norway, we must submit a marketing authorization application.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 Promotion and Compliance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 -label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EEA</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62" w:lineRule="exact"/>
        <w:rPr>
          <w:sz w:val="20"/>
          <w:szCs w:val="20"/>
          <w:color w:val="auto"/>
        </w:rPr>
      </w:pPr>
    </w:p>
    <w:p>
      <w:pPr>
        <w:ind w:left="1300" w:right="2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(“EU cGMP”). These requirements include compliance with EU cGMP standards when manufacturing medicinal products and APIs, including the manufacture of API outside of the EU with the intention to import the API into the EU.</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In June 2021, the EU Commission adopted decisions on the United Kingdom’s adequacy under the EU’s GDPR and Law Enforcement Directive (LED). In both cases, the European Commission found the United Kingdom to be adequate. This means that most data can continue to flow from the EU and the EEA without the need for additional safeguards.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with the GDPR and all relevant EU data protection rules will be a rigorous and time-intensive process that may increase our cost of doing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Drug Products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Temferon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Focus / Family</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198"/>
        </w:trPr>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Gene Vector comprising mi-RNA</w:t>
            </w:r>
          </w:p>
        </w:tc>
        <w:tc>
          <w:tcPr>
            <w:tcW w:w="240" w:type="dxa"/>
            <w:vAlign w:val="bottom"/>
          </w:tcPr>
          <w:p>
            <w:pPr>
              <w:spacing w:after="0"/>
              <w:rPr>
                <w:sz w:val="17"/>
                <w:szCs w:val="17"/>
                <w:color w:val="auto"/>
              </w:rPr>
            </w:pPr>
          </w:p>
        </w:tc>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USP 10,000,757*</w:t>
            </w:r>
          </w:p>
        </w:tc>
        <w:tc>
          <w:tcPr>
            <w:tcW w:w="220" w:type="dxa"/>
            <w:vAlign w:val="bottom"/>
          </w:tcPr>
          <w:p>
            <w:pPr>
              <w:spacing w:after="0"/>
              <w:rPr>
                <w:sz w:val="17"/>
                <w:szCs w:val="17"/>
                <w:color w:val="auto"/>
              </w:rPr>
            </w:pPr>
          </w:p>
        </w:tc>
        <w:tc>
          <w:tcPr>
            <w:tcW w:w="2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EP 2002003 B1</w:t>
            </w:r>
          </w:p>
        </w:tc>
        <w:tc>
          <w:tcPr>
            <w:tcW w:w="220" w:type="dxa"/>
            <w:vAlign w:val="bottom"/>
          </w:tcPr>
          <w:p>
            <w:pPr>
              <w:spacing w:after="0"/>
              <w:rPr>
                <w:sz w:val="17"/>
                <w:szCs w:val="17"/>
                <w:color w:val="auto"/>
              </w:rPr>
            </w:pPr>
          </w:p>
        </w:tc>
        <w:tc>
          <w:tcPr>
            <w:tcW w:w="22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5/26/2026*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and method of treatment claims)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9,556,438</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PCT/IB2006/002266 (WO 2007/000668).</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16/004,394</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 Vector comprising mi-RNA</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10,287,579</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2424571 B1</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4/30/2030</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and method of treatment claims)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9,951,328</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20167404.1</w:t>
            </w:r>
          </w:p>
        </w:tc>
        <w:tc>
          <w:tcPr>
            <w:tcW w:w="2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PCT/IB2010/001166 (WO / 2010/125471)</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16/384,571</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Monocyte Cell (Tie-2) activation process</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7,833,789</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10/5/2027</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7,833,789</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Methods for Genetic Modification of Stem Cells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10,617,721*</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3060670 B1</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10/24/2034*</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treatment claims)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16/827,708</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19185334</w:t>
            </w:r>
          </w:p>
        </w:tc>
        <w:tc>
          <w:tcPr>
            <w:tcW w:w="2240" w:type="dxa"/>
            <w:vAlign w:val="bottom"/>
          </w:tcPr>
          <w:p>
            <w:pPr>
              <w:spacing w:after="0"/>
              <w:rPr>
                <w:sz w:val="18"/>
                <w:szCs w:val="18"/>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PCT/IB2014/065594 (WO 2015/059674)</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20"/>
                <w:szCs w:val="20"/>
                <w:color w:val="auto"/>
              </w:rPr>
            </w:pPr>
          </w:p>
        </w:tc>
      </w:tr>
      <w:tr>
        <w:trPr>
          <w:trHeight w:val="41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Vector Production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USP 10,912,824</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3169788</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7/13/2035</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and method of treatment claims)</w:t>
            </w: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17/143,953</w:t>
            </w:r>
          </w:p>
        </w:tc>
        <w:tc>
          <w:tcPr>
            <w:tcW w:w="2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18"/>
                <w:szCs w:val="18"/>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PCT/IB2015/055286 (WO 2016/009326)</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1 Interferon Gene Therapy</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USSN 16/604,484</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18724470.2</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4/20/2038**</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treatment claims)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240" w:type="dxa"/>
            <w:vAlign w:val="bottom"/>
          </w:tcPr>
          <w:p>
            <w:pPr>
              <w:spacing w:after="0"/>
              <w:rPr>
                <w:sz w:val="18"/>
                <w:szCs w:val="18"/>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PCT/EP2018/060238 (WO 2018/193119)</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98" w:lineRule="exact"/>
        <w:rPr>
          <w:sz w:val="20"/>
          <w:szCs w:val="20"/>
          <w:color w:val="auto"/>
        </w:rPr>
      </w:pPr>
    </w:p>
    <w:p>
      <w:pPr>
        <w:ind w:right="4160" w:firstLine="8"/>
        <w:spacing w:after="0" w:line="500" w:lineRule="auto"/>
        <w:tabs>
          <w:tab w:leader="none" w:pos="1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 expiration for certain U.S. patents pursuant to patent term adjustment (35 U.S.C. §154(b)). ** Application pending, anticipated expiration based on 20-year patent term.</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Collaboration / Licensing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Existing License Agreement with Ospedale San Raffaele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Effective December 15, 2014, we entered into a license agreement with OSR (the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1" w:lineRule="exact"/>
        <w:rPr>
          <w:sz w:val="20"/>
          <w:szCs w:val="20"/>
          <w:color w:val="auto"/>
        </w:rPr>
      </w:pPr>
    </w:p>
    <w:p>
      <w:pPr>
        <w:jc w:val="both"/>
        <w:ind w:firstLine="8"/>
        <w:spacing w:after="0" w:line="252" w:lineRule="auto"/>
        <w:tabs>
          <w:tab w:leader="none" w:pos="2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stated, we had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 Prior to the expiration of these options, we entered into an amended and restated license agreement with OSR to (i) expand the license to all solid tumor indications and (ii) carve out all lympho-hematopoietic indications and grant us an option to include lympho-hematopoietic indications, which amendment and restatement is subject to governmental consent as described below.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 In addition, OSR may terminate our rights as to certain fields of use for our failure to develop (a) with respect to a solid cancer indication, upon third anniversary of the date we exercised such option, and as amended by the fifth amendment below, we are obligated to initiate (first patient dosed) a Phase III clinical Trial in the U.S. regarding Temferon for GBM prior to 72 months from CTA dosing (or by July 8, 2025)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had until March 23, 2023, to exercise this option, upon the payment of specified option fees, as further amended by the third amendment to the OSR License Agreement described below and the letter agreements described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was extended to March 23, 2023, pursuant to the fourth amendment to the OSR License Agreement described below and the letter agreements described below.</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March 23, 2022, as noted above.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we entered into a Sponsored Research Agreement (the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under the SRA was €0.5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2021, the OSR License Agreement was amended to extend the exclusive option. Specifically, if Genenta was not able to obtain approval of the Regulatory Authorities to initiate a human clinical trial in any country with respect to solid liver cancer on or before September 30, 2022, then Genenta had the right, at no additional cost, to convert the option exercise for the second Solid Cancer Indication to an indication other than solid liver cancer. The amendment provided for option exercise until September 30, 2022. This option was further extended pursuant to the letter agreements described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2022, we entered into a fifth amendment to the OSR License Agreement, whereby we changed the definition of “IND” relating only to the GBM indication to include any comparable filing(s) outside the United States for the investigation of any product in any other country or group of countries (such as a CTA in the European Union). We also committed to carry out a Phase III Clinical Trial in the U.S. regarding Licensed Products for GBM. With respect to GBM, we agreed to pay OSR an additional Milestone Payment of €350,000 upon the dosing of the first patient in a Phase III Clinical Trial in the US with respect to a Licensed Product for GBM. Termination rights were also amended in that, OSR may terminate the agreement if the Company has not filed an IND with respect to a Solid Cancer Indication within three (3) years from the date of the exercise of the option for such indication (or, in relation to GBM, has not dosed the first patient with a Licensed Product for GBM in a Phase III Clinical Trial in the U.S. within 72 months from the first patient being dosed, or July 8, 2025, in the first clinical trial for such Licensed Product. The termination rights shall be limited to such Licensed Product in the Terminated Solid Cancer Indication.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2022, we entered Amendment #01 to the Agreement for Clinical Trials called: “</w:t>
      </w:r>
      <w:r>
        <w:rPr>
          <w:rFonts w:ascii="Times New Roman" w:cs="Times New Roman" w:eastAsia="Times New Roman" w:hAnsi="Times New Roman"/>
          <w:sz w:val="18"/>
          <w:szCs w:val="18"/>
          <w:i w:val="1"/>
          <w:iCs w:val="1"/>
          <w:color w:val="auto"/>
        </w:rPr>
        <w:t>Phase I/IIa clinical trial to assess the safety and efficacy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increasing doses of autologous CD34+ hematopoietic stem cells genetically modified with a lentiviral vector encoding for the human interferon-alpha2 gene in patients with Glioblastoma Multiforme with unmethylated MGMT gene promoter</w:t>
      </w:r>
      <w:r>
        <w:rPr>
          <w:rFonts w:ascii="Times New Roman" w:cs="Times New Roman" w:eastAsia="Times New Roman" w:hAnsi="Times New Roman"/>
          <w:sz w:val="18"/>
          <w:szCs w:val="18"/>
          <w:color w:val="auto"/>
        </w:rPr>
        <w:t>” (“Clinical Trial”) relating to protocol number TEMGBM_001;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EudraCT 2018-001404-11. The Amendment #01 aimed to allocate to the TEM-GBM study the fee for the personnel shares not accrued and originally allocated to the TEM-MM study for a total amount of €197,500.</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September 2022, we entered a letter agreement to establish that each of the Alternative Indication Notice Period (as defined in Section 2 of Amendment No.4 to the Agreement, dated September 28, 2021) and the Competing Product Option Period (as defined in Section 5 of Amendment No.3 to the Agreement, dated December 23, 2020) was extended to December 23,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we entered a further letter agreement to establish that each of the Alternative Indication Notice Period (as defined in Section 2 of Amendment No.4 to the Agreement, dated September 28, 2021) and the Competing Product Option Period (as defined in Section 5 of Amendment No.3 to the Agreement, dated December 23, 2020) was extended to March 23,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prior to the expiration of these options, we entered into an amended and restated license agreement with OSR described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License Agreement with Ospedale San Raffaele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we entered into an amended and restated license agreement with OSR to: (i) expand the license to all solid tumor indications and (ii) carve out all lympho-hematopoietic indications and grant us an option to include lympho-hematopoietic indications. The amendment and restatement of the existing OSR License Agreement is subject to Italy’s Law Decree No. 21 of March 15, 2012 (the so-called Italian “</w:t>
      </w:r>
      <w:r>
        <w:rPr>
          <w:rFonts w:ascii="Times New Roman" w:cs="Times New Roman" w:eastAsia="Times New Roman" w:hAnsi="Times New Roman"/>
          <w:sz w:val="18"/>
          <w:szCs w:val="18"/>
          <w:i w:val="1"/>
          <w:iCs w:val="1"/>
          <w:color w:val="auto"/>
        </w:rPr>
        <w:t>Golden Power”</w:t>
      </w:r>
      <w:r>
        <w:rPr>
          <w:rFonts w:ascii="Times New Roman" w:cs="Times New Roman" w:eastAsia="Times New Roman" w:hAnsi="Times New Roman"/>
          <w:sz w:val="18"/>
          <w:szCs w:val="18"/>
          <w:color w:val="auto"/>
        </w:rPr>
        <w:t xml:space="preserve"> regulations), as subsequently amended and supplemented, and will not be effective until the applicable Italian governmental authority consents to the amendment and restatement. This consent will be deemed given after the statutory period lapses without any response from the governmental authority. Further, the amended and restated license agreement stipulates that if such consent or deemed consent from the governmental authority is not granted within 90 days of the execution date of the agreement, the amendment and restatement will not be effective, and the original OSR License Agreement will remain in place.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Know-How License Agreement with Fondazione Telethon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 date, Genenta has not engaged in any such discussions with Theravectys nor has Genenta received any further claim or request from Theravectys in relation to the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 owns 100% of Genenta Science,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154305</wp:posOffset>
            </wp:positionV>
            <wp:extent cx="2331720" cy="2348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317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Plants, Property and Equipment</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corporate headquarters is located in Milan, Via Olgettina 58 within OSR - San Raffaele Hospital, Italy, where we lease approximately 51 square meters of office space (3 offices). The lease commenced in January 2020 and has a 6-year initial term. It will expire on December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2025, and may be renewed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for an additional 6 years. We also have an office in a co-working space located in Alexandria Center - LaunchLabs, 430 East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included in this Annual Report beginning on page F-1. The following discussion and analysis contain forward- 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2022, aggregated gross cash proceeds of approximately €67 million.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years ended December 31, 2022, 2021 and 2020 were approximately €8.5, €5.5 million and €5.6 million, respectively. At December 31, 2022, we had an accumulated deficit of approximately €35.5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compliance and other expenses.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approximately €29.8 million. We believe that our existing cash and cash equivalents as of December 31, 2022, will enable us to fund our operating expenses and capital expenditure requirements for substantially more than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filing, the global healthcare community continues to respond to the ongoing COVID-19 pandemic.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To date, we have not experienced significant interruptions related to COVID-19. In the future,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operating expenses consist of two components – research and development expenses,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consist of costs incurred in connection with the development of our product candidates, including:</w:t>
      </w:r>
    </w:p>
    <w:p>
      <w:pPr>
        <w:spacing w:after="0" w:line="162"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incurred in connection with our license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contract manufacturing organizations (“CMOs”), as well as investigative sites and consultants that conduct our clinical trials, preclinical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social security charges, related benefits, severance indemnity in case of termination of employees’ relationships, travel and share-based compensation expense for employees engaged in research and development functions and consulting fees;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costs, depreciation and other expenses, which include rent and utilities.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expenditure net of research and development tax credit on the statements of operations and comprehensive loss. However, not all of our research and development expenses are allocated by program: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(in Euros)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TEM-GBM</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984,458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879,005</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3,353,369</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TEM-MM</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190,764</w:t>
            </w:r>
          </w:p>
        </w:tc>
        <w:tc>
          <w:tcPr>
            <w:tcW w:w="80" w:type="dxa"/>
            <w:vAlign w:val="bottom"/>
            <w:shd w:val="clear" w:color="auto" w:fill="CCEEFF"/>
          </w:tcPr>
          <w:p>
            <w:pPr>
              <w:spacing w:after="0"/>
              <w:rPr>
                <w:sz w:val="18"/>
                <w:szCs w:val="18"/>
                <w:color w:val="auto"/>
              </w:rPr>
            </w:pPr>
          </w:p>
        </w:tc>
      </w:tr>
      <w:tr>
        <w:trPr>
          <w:trHeight w:val="257"/>
        </w:trPr>
        <w:tc>
          <w:tcPr>
            <w:tcW w:w="60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Option fee – second indication </w:t>
            </w:r>
            <w:r>
              <w:rPr>
                <w:rFonts w:ascii="Times New Roman" w:cs="Times New Roman" w:eastAsia="Times New Roman" w:hAnsi="Times New Roman"/>
                <w:sz w:val="29"/>
                <w:szCs w:val="29"/>
                <w:color w:val="auto"/>
                <w:vertAlign w:val="superscript"/>
              </w:rPr>
              <w:t>1</w:t>
            </w:r>
          </w:p>
        </w:tc>
        <w:tc>
          <w:tcPr>
            <w:tcW w:w="32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2"/>
                <w:szCs w:val="22"/>
                <w:color w:val="auto"/>
              </w:rPr>
            </w:pPr>
          </w:p>
        </w:tc>
      </w:tr>
      <w:tr>
        <w:trPr>
          <w:trHeight w:val="216"/>
        </w:trPr>
        <w:tc>
          <w:tcPr>
            <w:tcW w:w="6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costs: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 (including share-based compensation)</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992,281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499,849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Consultants and other third party</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544,634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772,815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70,034</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 &amp; supplies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2,790,982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1,231,019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62,600</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Travel &amp; entertainment</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34,466</w:t>
            </w:r>
          </w:p>
        </w:tc>
      </w:tr>
      <w:tr>
        <w:trPr>
          <w:trHeight w:val="24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25,276</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5,338,962</w:t>
            </w: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3,390,677</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4,688,461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Although the second solid cancer indication is currently liver cancer, the Company has the right to change the indication.</w:t>
      </w:r>
    </w:p>
    <w:p>
      <w:pPr>
        <w:spacing w:after="0" w:line="1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share-based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0"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clinical and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and maintaining, adequate coverage and reimbursement by the government and other payors for any product candidate for which we obtain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consulting fees, related benefits, travel and share-based compensation expense for personnel in executive, finance and administrative functions. General and administrative expenses also include professional fees for legal, consulting, accounting, and audit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consists primarily of interest income/(expense), foreign exchange income/(loss). For the year ended December 31, 2022 we accrued also a tax benefit approved by the Italian Tax Agency for €180,000 related to the allowance for corporate equity (“ACE”) and financial fees reimbursement for €28,465. For the year ended December 31, 2021, we accrued an award for €150,000 given to the Company by international institutions for the successful results achieved in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Italy and the United States. Taxes are recorded on an accrual basis. These taxes therefore represent the allowances for taxes paid or to be paid for the year, calculated according to the current enacted rates and applicable laws. Due to the tax loss position reported, no income taxes were due for the years ended December 31, 2022 and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2022.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are open statutes of limitations for Italian tax authorities to audit our tax returns. There have been no material income tax-related interests or penalties assessed or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liability related to uncertain tax positions reported in our consolidated financial statements.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2020 Italian Budget Law established that: (i) the tax credit due is up to 12% of the research and development costs incurred (up to a maximum of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€4.0 million); (ii) the tax credit can be used for 2021 and 2022 fiscal years; (iii) it is necessary to have, besides the audit report, a technical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we received research and development tax benefits of approximately €890,000, €829,000, and €662,000,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2022 to Year Ended December 31, 2021</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(in Euros)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5,338,962</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3,390,677</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5,705,030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2,296,596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0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11,043,992</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5,687,273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(11,043,992)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(5,687,273)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and subsidies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242,554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19,657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income (loss)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36,985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exchange rate gain</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2,286,690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(8,477,763)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(5,529,332)</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(8,477,763</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(5,529,332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(8,477,763)</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(5,529,332)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(0.47)</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18,216,858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15,083,825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4" w:orient="portrait"/>
          <w:cols w:equalWidth="0" w:num="1">
            <w:col w:w="11240"/>
          </w:cols>
          <w:pgMar w:left="320" w:top="684" w:right="339" w:bottom="0"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both"/>
        <w:spacing w:after="0" w:line="282" w:lineRule="auto"/>
        <w:rPr>
          <w:sz w:val="20"/>
          <w:szCs w:val="20"/>
          <w:color w:val="auto"/>
        </w:rPr>
      </w:pPr>
      <w:r>
        <w:rPr>
          <w:rFonts w:ascii="Times New Roman" w:cs="Times New Roman" w:eastAsia="Times New Roman" w:hAnsi="Times New Roman"/>
          <w:sz w:val="18"/>
          <w:szCs w:val="18"/>
          <w:color w:val="auto"/>
        </w:rPr>
        <w:t>We have presented basic and diluted loss per share at December 31, 2022, which consists of our historical loss divided by the basic and diluted weighted average number of ordinary shares outstanding at December 31, 2022. There was no dilutive impact due to our net loss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approximately €5.3 million for the year ended December 31, 2022, as compared to approximately €3.4 million for the year ended December 31, 2021. The increase of approximately €1.9 million was primarily due to the increase in research and development compensation and an increase in manufacturing activity.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we utilized approximately €0.6 million of research and development tax credit to offset certain social contributions and taxes payable, while we utilized approximately €0.5 million for such purpose during 2021. The benefit recorded for the years ended December 31, 2022 and 2021 to offset research and development expenses was approximately €0.7 million and €1.2 million, respectively. We reclassified to other non-current assets a portion of the receivable, which is expected to be realized beyond 12 months. The decrease in the benefit recorded for the year ended December 31, 2022, compared to the year ended December 31, 2021, is due to the increase in the utilization rate of the research and development credit, since the effects of the optimization of the organizational structure will have more impact over the next several years. We consider this estimate reasonable and prudent based on the actual research and development tax credit utilization 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approximately €5.7 million for the year ended December 31, 2022, as compared to approximately €2.3 million for the year ended December 31, 2021. The general and administrative expense increase was essentially due to the increase in general and administrative board and management compensation, including but not limited to share-based compensation, to the increase in the directors and officers (“D&amp;O”) liability insurance policy premium payments, and to the increase in legal advisors and auditor fees.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administrative expense increase was due mainly to corporate website maintenance and other investor and corporate communication costs related to business development activities that has required additional efforts since the Company’s listing on Nasdaq.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was approximately €243,000 for the year ended December 31, 2022, as compared to approximately €19,600 for the year ended December 31, 2021. The increase primarily relates to a tax benefit received to help the Company’s economic growth “ACE” (i.e., allowance for corporate equity) and a reimbursement for bank fees and commissions. Our net financial income was approximately €37,000 for the year ended December 31, 2022, compared to a net financial loss of approximately €11,700 for the year ended December 31, 2021. The change from net financial loss to net financial income mainly related to financial interest income on time deposits in US Dollars.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exchange rate gain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net exchange gain was approximately €2.3 million for the year ended December 31, 2022 and was related mainly to approximately €1.6 million net exchange rate gain realized on the conversion to Euro of $12.0 million of IPO proceeds collected in December 2021, to approximately €0.4 million net exchange rate gain realized on USD trade payables, to approximately €0.4 million exchange loss unrealized on USD time deposits, and to approximately €0.7 million unrealized exchange gain on USD bank deposits. In the year ended December 31, 2021, the net exchange loss was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6,707, which was considered immaterial. The amount was low compared to 2022, mainly due to maintaining our cash and cash equivalents in Euros in 2021 with minimal activity in our US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was approximately €8.5 million for the year ended December 31, 2022, as compared to approximately €5.5 million for the year ended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2021 to Year Ended December 31, 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2021, and 2020:</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36"/>
        </w:trPr>
        <w:tc>
          <w:tcPr>
            <w:tcW w:w="6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(in Euros)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3,390,677</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4,688,461</w:t>
            </w:r>
          </w:p>
        </w:tc>
        <w:tc>
          <w:tcPr>
            <w:tcW w:w="8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2,296,596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901,765</w:t>
            </w:r>
          </w:p>
        </w:tc>
        <w:tc>
          <w:tcPr>
            <w:tcW w:w="80" w:type="dxa"/>
            <w:vAlign w:val="bottom"/>
            <w:shd w:val="clear" w:color="auto" w:fill="CCEEFF"/>
          </w:tcPr>
          <w:p>
            <w:pPr>
              <w:spacing w:after="0"/>
              <w:rPr>
                <w:sz w:val="21"/>
                <w:szCs w:val="2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5,687,273</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5,590,226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(5,687,273)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(5,590,226)</w:t>
            </w: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and subsidies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19,657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expense</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(11,716)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(7,754)</w:t>
            </w: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157,941</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(5,529,332)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(5,592,014)</w:t>
            </w:r>
          </w:p>
        </w:tc>
      </w:tr>
      <w:tr>
        <w:trPr>
          <w:trHeight w:val="249"/>
        </w:trPr>
        <w:tc>
          <w:tcPr>
            <w:tcW w:w="660" w:type="dxa"/>
            <w:vAlign w:val="bottom"/>
          </w:tcPr>
          <w:p>
            <w:pPr>
              <w:spacing w:after="0"/>
              <w:rPr>
                <w:sz w:val="21"/>
                <w:szCs w:val="21"/>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(5,529,332</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(5,592,014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(5,529,332)</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(5,592,014)</w:t>
            </w: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 forma information: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3"/>
        </w:trPr>
        <w:tc>
          <w:tcPr>
            <w:tcW w:w="660" w:type="dxa"/>
            <w:vAlign w:val="bottom"/>
          </w:tcPr>
          <w:p>
            <w:pPr>
              <w:spacing w:after="0"/>
              <w:rPr>
                <w:sz w:val="24"/>
                <w:szCs w:val="24"/>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(5,529,332)</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(5,592,014)</w:t>
            </w:r>
          </w:p>
        </w:tc>
      </w:tr>
      <w:tr>
        <w:trPr>
          <w:trHeight w:val="217"/>
        </w:trPr>
        <w:tc>
          <w:tcPr>
            <w:tcW w:w="66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Pro forma net loss per share - basic and diluted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Weighted average pro forma number of shares outstanding - basic and diluted</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15,083,825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presented pro forma basic and diluted loss per share at December 31, 2021, which consists of our historical loss divided by the pro forma basic and diluted weighted average number of ordinary shares outstanding at December 31, 2021. We did not present basic and diluted loss per share for the years ended December 31, 2020 since we were an S.r.l. at the time and maintained classes of quota (similar to membership interests in a limited liability company in the United States) rather than shares, which it now has post-conversion to an S.p.A., (similar to a C-corporation in the United States), which occurred on June 18, 2021. The quotas represented percentage ownership in us and not actual shares. We did not believe that representing loss per quota was meaningful. (See our disclosures in Note 2 - Summary of significant accounting policies - </w:t>
      </w:r>
      <w:r>
        <w:rPr>
          <w:rFonts w:ascii="Times New Roman" w:cs="Times New Roman" w:eastAsia="Times New Roman" w:hAnsi="Times New Roman"/>
          <w:sz w:val="18"/>
          <w:szCs w:val="18"/>
          <w:i w:val="1"/>
          <w:iCs w:val="1"/>
          <w:color w:val="auto"/>
        </w:rPr>
        <w:t>Net loss per share -</w:t>
      </w:r>
      <w:r>
        <w:rPr>
          <w:rFonts w:ascii="Times New Roman" w:cs="Times New Roman" w:eastAsia="Times New Roman" w:hAnsi="Times New Roman"/>
          <w:sz w:val="18"/>
          <w:szCs w:val="18"/>
          <w:color w:val="auto"/>
        </w:rPr>
        <w:t xml:space="preserve"> to our consolidated financial statements for additional information regarding the method used to calculate the pro forma basic and diluted loss per ordinary share and Note 12 – Quotaholders’ and shareholders’ equity – for the pro forma weighted average number of ordinary shares used in the computation of the per share amounts).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approximately €3.4 million for the year ended December 31, 2021, as compared to approximately €4.7 million for the year ended December 31, 2020. The decrease of approximately €1.3 million was primarily due to the compensation effect of the research and development tax benefit calculation as described in Note 2 to the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12 months period ended December 31, 2021, we utilized approximately €0.5 million to offset certain social contributions and taxes payable, while during the financial year 2020, we utilized approximately €0.3 million. The benefit recorded for the 12 months ended December 31, 2021 and 2020, to offset research and development expenses was approximately €1.2 million and €0.3 million, respectively. We reclassified to other non-current assets a portion of the receivable, which is expected to be realized beyond 12 months. The increase in the benefit recorded for the 12 months ended December 31, 2021, is due to the increase in the utilization rate of research and development credit, as a consequence of the increase in our structure compared to the previous period. This estimate is deemed reasonable and prudent based on the actual research and development tax credit utilization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approximately €2.3 million for the year ended December 31, 2021, as compared to approximately €0.9 million for the year ended December 31, 2020. The general and administrative expense increase was essentially due to the increase in support from third parties, i.e., general and administrative advisors to compensate for our limited internal operational staff during the pre-IPO phase.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significant third parties audit, accounting, legal and advisory support services other than those IPO related, to support the increase in the administrative and general operation of the Company and its business development efforts. More specifically, the increase from 2020 to 2021 in compensation expenses including share-based compensation, was due to new administrative staff hired in the first half of 2021, an increase in board compensation from May 2021, a new employment agreement for the CEO of the Company starting at the IPO date, and stock option exercises for €0.2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accounting, legal &amp; other professional expenses in 2021 from 2020 and 2019 was mainly related to the increase in accounting and bookkeeping activity, audit and review procedures performed in the course of the year but not IPO related, and legal consultancy provided to support the Company compliance, offset by a decrease in consulting activity from 2019 to 2020. Insurance costs increased in 2021 from 2020 and 2019, mainly as consequence of a new Directors and officers (D&amp;O) liability insurance policy agreement started at the IPO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administrative expenses increase was due mainly to business travels, meetings and catering costs related to business development activities that required additional efforts since the Company was achieving the IPO.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was approximately €163,000 for the year ended December 31, 2021, as compared to other expense of approximately €2,000 for the year ended December 31, 2020. The increase was primarily due to an award granted to us in the amount of €150,000, provided by the Italian Legislative Decree “Decreto Sostegni Bis -Perequativo” aiming to support enterprises during the COVID-19 pandemic, offset slightly by finance expense. Our finance expense was approximately €7,000 for the year ended December 31, 2021, as compared to approximately €8,000 for the year ended December 31, 2020. The decrease of approximately €1,000 was primarily due to small changes in realized exchange rate gains and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loss was approximately €5.5 million for the year ended December 31, 2021, as compared to approximately €5.6 million for the year ended December 31, 2020. The change was primarily due to a decrease in research and development expenses of approximately €1.3 million as consequence of the compensation effect of the R&amp;D tax benefit calculation as explained above and an increase of approximately €1.4 million in general and administrative expenses as consequence of the increase in the Company structure and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in order to understand the judgements and estimates used in the consolidated financial statements and to fully understand and evaluate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89" w:lineRule="exact"/>
        <w:rPr>
          <w:sz w:val="20"/>
          <w:szCs w:val="20"/>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and clinical studies;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74"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implemented new stock option plan (the Company’s “2021–2025 Equity Incentive Plan”) based on a maximum of 2.7 million of new ordinary shares (i.e., common stock) or 10% of the number of shares outstanding after the IPO (approximately 1.8 million). The new stock option plan is administered by the Board of Directors, in consultation with the Compensation, Nomination and Governance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20, 2021, our board of directors approved the general terms (e.g., regulation) of our 2021 – 2025 Equity Incentive Plan. Under Italian law, we do not need to obtain the approval of the specific terms of our equity incentive plans from our shareholders.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credit receivables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account for our research and development tax credit receivable in accordance with IAS 20 </w:t>
      </w:r>
      <w:r>
        <w:rPr>
          <w:rFonts w:ascii="Times New Roman" w:cs="Times New Roman" w:eastAsia="Times New Roman" w:hAnsi="Times New Roman"/>
          <w:sz w:val="18"/>
          <w:szCs w:val="18"/>
          <w:i w:val="1"/>
          <w:iCs w:val="1"/>
          <w:color w:val="auto"/>
        </w:rPr>
        <w:t>Accounting for Government Grants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The receivable is recognized when there is reasonable assurance that: (1) the recipient will comply with the relevant conditions and</w:t>
      </w:r>
    </w:p>
    <w:p>
      <w:pPr>
        <w:jc w:val="both"/>
        <w:ind w:firstLine="8"/>
        <w:spacing w:after="0" w:line="255" w:lineRule="auto"/>
        <w:tabs>
          <w:tab w:leader="none" w:pos="2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will be received. We elected to present the credit net of the related expenditure on the statements of operations and comprehensive loss. 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engaged in any off-balance sheet arrangements, such as the use of unconsolidated subsidiaries, structured finance, special purpose entities or variable interest entities.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and cash flow are subject to significant fluctuations due to changes in foreign currency exchange rates. Our liquid assets and our expenses are denominated in EUR and USD. During the year ended December 31, 2022, changes occurred in the USD/EUR exchange rate that significantly 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initial public offering (“IPO”) of our shares as an S.p.A. We received gross cash proceeds of approximately €33.6 million from sales of quotas (pre-IPO) and approximately €32.7 million of gross proceeds from the IPO in December 2021. As of December 31, 2022, the Company had approximately €29.8 million in cash and cash equivalents.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presents our cash flows for the periods indicated: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Euros)</w:t>
            </w:r>
          </w:p>
        </w:tc>
        <w:tc>
          <w:tcPr>
            <w:tcW w:w="320" w:type="dxa"/>
            <w:vAlign w:val="bottom"/>
          </w:tcPr>
          <w:p>
            <w:pPr>
              <w:spacing w:after="0"/>
              <w:rPr>
                <w:sz w:val="24"/>
                <w:szCs w:val="24"/>
                <w:color w:val="auto"/>
              </w:rPr>
            </w:pPr>
          </w:p>
        </w:tc>
        <w:tc>
          <w:tcPr>
            <w:tcW w:w="3680" w:type="dxa"/>
            <w:vAlign w:val="bottom"/>
            <w:gridSpan w:val="8"/>
          </w:tcPr>
          <w:p>
            <w:pPr>
              <w:ind w:left="9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(in Euros)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(7,418,236)</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(6,958,174)</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(6,044,581)</w:t>
            </w:r>
          </w:p>
        </w:tc>
      </w:tr>
      <w:tr>
        <w:trPr>
          <w:trHeight w:val="210"/>
        </w:trPr>
        <w:tc>
          <w:tcPr>
            <w:tcW w:w="60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(27,070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(9,009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(20,871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28,742,102</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(7,445,306)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21,774,919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(4,676,136)</w:t>
            </w:r>
          </w:p>
        </w:tc>
        <w:tc>
          <w:tcPr>
            <w:tcW w:w="100" w:type="dxa"/>
            <w:vAlign w:val="bottom"/>
            <w:gridSpan w:val="2"/>
          </w:tcPr>
          <w:p>
            <w:pPr>
              <w:spacing w:after="0"/>
              <w:rPr>
                <w:sz w:val="17"/>
                <w:szCs w:val="17"/>
                <w:color w:val="auto"/>
              </w:rPr>
            </w:pPr>
          </w:p>
        </w:tc>
      </w:tr>
      <w:tr>
        <w:trPr>
          <w:trHeight w:val="249"/>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37,240,162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15,465,243</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20,141,379</w:t>
            </w:r>
          </w:p>
        </w:tc>
        <w:tc>
          <w:tcPr>
            <w:tcW w:w="80" w:type="dxa"/>
            <w:vAlign w:val="bottom"/>
            <w:shd w:val="clear" w:color="auto" w:fill="CCEEFF"/>
          </w:tcPr>
          <w:p>
            <w:pPr>
              <w:spacing w:after="0"/>
              <w:rPr>
                <w:sz w:val="21"/>
                <w:szCs w:val="21"/>
                <w:color w:val="auto"/>
              </w:rPr>
            </w:pPr>
          </w:p>
        </w:tc>
      </w:tr>
      <w:tr>
        <w:trPr>
          <w:trHeight w:val="217"/>
        </w:trPr>
        <w:tc>
          <w:tcPr>
            <w:tcW w:w="60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29,794,856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37,240,162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15,465,243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approximately €7.4 million of cash and cash equivalents, resulting from our net loss of approximately €8.5 million, partially offset by non-cash charges of approximately €0.8 million and the cash generated by our operating assets and liabilities of approximately €0.2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non-cash charges primarily included approximately €0.7 million of share-based compensation expense, and other minor amounts of depreciation, retirement benefit obligation expense and cumulative translation adjustment.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changes in our operating assets and liabilities were primarily due to an increase in account payable and accrued expenses as well as an increase in other current liabilities. The increase in account payable is mainly due to bills from certain suppliers, advisors and legal consultants received in December 2022 becoming due and paid in January 2023, as well as an increase in account payables to OSR, a related party. The increase in accrued expenses was mainly due to an increase in related parties accrued expenses for invoices to be received from OSR and for senior management bonuses accrued at year 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approximately €7.0 million of cash and cash equivalents, resulting from our net loss of approximately €5.5 million and by cash used for changes in our operating assets and liabilities of approximately €1.9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share-based compensation expense and a de minimis amount of depreciation and retirement benefit obligation expense.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share-based compensation expense and a de minimis amount of depreciation and retirement benefit obligation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investing activities used €27,070 of our cash and cash equivalents to both improve our cyber security and support the implementation of our new ERP system.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investing activities used €9,009 of our cash and cash equivalents to invest in our fixed assets, such as, laptops, smartphones and other information technology equipment.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investing activities use €20,871 of our cash and cash equivalents to purchase computers, electronic office equipment and furniture.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there was no cash provided by financing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approximately €28.7 million, primarily consisting of net cash proceeds from our IPO.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generated revenue and do not expect to generate revenues from the sale of any product candidate in the near future.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our cash and cash equivalents were approximately €29.8 million. Our primary cash obligations relate to payments to OSR pursuant to the license agreement and other providers of clinical trial related services and manufacturing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our existing cash, we estimate that such funds will be sufficient to fund our operations and capital expenditure requirements through 2024. We have based this estimate on assumptions that may prove to be wrong, and we could use our available capital resources sooner than we currently expect.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62"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COVID-19 pandemic and its impact on our planned clinical trials,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our preclinical studies,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clinical trials and other research and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that we may incur under in- and out-licensing arrangements relating to our product candidate that we may enter into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contracting with third parties to provide marketing and distribution services for us or for building such capacities internally;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we can generate significant revenues, if ever, we expect to satisfy our future cash needs through our existing cash, cash equivalents and short-term deposits.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expected use of cash and cash equivalents represents our intentions based upon our current plans and business conditions, which could change in the future as our plans and business conditions evolve. We may also use a portion of the available cash and cash equivalents to in-license, acquire, or invest in additional businesses, technologies, products, or assets.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 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fiscal year ended December 31, 2022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critical accounting estimates, see “Item 5. Operating and Financial Review and Prospects—A. Operating Results—Critical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as of April 19, 2023, and position of the individuals who serve as our directors and executive officers.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elected</w:t>
            </w:r>
          </w:p>
        </w:tc>
      </w:t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72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appointed</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Alan Sirgo, Ph.D.</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Chairman of the Board of Directors(1)(2)</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Vice Chairman of the Board of Directors 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Manager</w:t>
            </w:r>
          </w:p>
        </w:tc>
        <w:tc>
          <w:tcPr>
            <w:tcW w:w="11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Slansky</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 Russo, M.D.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 Head of Development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Abravanel</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Guido Guidi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Marucci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Regonini</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Stefania Mazzoleni, Ph.D.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Scientific Project Manager and Communications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bl>
    <w:p>
      <w:pPr>
        <w:spacing w:after="0" w:line="198"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(as defined under Nasdaq Stock Market rules)</w:t>
      </w:r>
    </w:p>
    <w:p>
      <w:pPr>
        <w:spacing w:after="0" w:line="225" w:lineRule="exact"/>
        <w:rPr>
          <w:rFonts w:ascii="Times New Roman" w:cs="Times New Roman" w:eastAsia="Times New Roman" w:hAnsi="Times New Roman"/>
          <w:sz w:val="18"/>
          <w:szCs w:val="18"/>
          <w:color w:val="auto"/>
        </w:rPr>
      </w:pPr>
    </w:p>
    <w:p>
      <w:pPr>
        <w:ind w:left="5500" w:right="4760" w:hanging="4844"/>
        <w:spacing w:after="0" w:line="578" w:lineRule="auto"/>
        <w:tabs>
          <w:tab w:leader="none" w:pos="131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Nomination and Governance Committee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directors above were elected at the Company’s general shareholders’ meeting held on May 20, 2021, for a three-year term. The board of directors (the “Board”) consists of 7 (seven) members.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2022, our former Chairman Dr. Stephen Squinto stepped down from his role to pursue a new business role and the Board nominated Dr. Mark A. Sirgo to succeed him as the Company’s new Chairman of the Board. Although Dr. Sirgo began serving on May 1, 2022, the Company obtained ratification by its shareholders in its annual general meeting held in June 2022. Dr. Sirgo replaced Dr. Squinto as Chair of the Board and a member of our Compensation, Nomination and Governance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Dr. Bellomo and Dr. Guidotti resigned as Directors. The Board is evaluating profiles of candidates with adequate skills and experience, in order to proceed with their replacement. If an adequate replacement is not found, the Board may request the number of board positions be reduced from seven (7) to five (5) at its next annual Shareholders’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terms will expire with the Shareholders’ Meeting called to approve the financial statements for the year ending December 31, 2023, or earlier upon resignation.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Pierluigi Paracchi, Chief Executive Officer, Vice Chairman of the Board of Directors and General Manager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B. Slansky, Chief Financial Officer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Carlo Russo, M.D., Chief Medical Officer &amp; Head of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Barbara Regonini, Finance 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Barbara Regonini is an experienced financial executive with skills in strategic finance, restructuring and reorganization processes, internal controls and corporate governance systems implementation. Prior to joining Genenta, she was Head of Finance at OAM – Financial Supervisory Authority. She previously held CFO roles and was part of the Supervisory Body of a public company in the renewable energy field. Former senior manager at PriceWaterhouseCoopers, she has a significant finance background in the industrial and service field. She has a Master’s degree at the University of Nicosia in Science of Digital Currency, a degree as Strategic CFO at Harvard Business School, a Master’s degree in Business and Administration at the University of Parma and she is a Chartered Public Accountant and Auditor.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Stefania Mazzoleni, Ph.D., Scientific Project Manager and Communications Officer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(OSR -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 A. Sirgo, Pharm.D., Chairman of the Board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Sirgo most recently was CEO of Aruna Bio, Inc., a preclinical biotech company developing neural stem cells for the treatment of neurological disorders. He previously founded and spent 13 years as CEO of the specialty pharmaceutical company Biodelivery Sciences, Inc. (NASDAQ: BDSI), overseeing development, approval and commercialization of three products, raising over $600 million in capital through equity and debt financings and growth in market capitalization from $10 million to nearly $1 billion during that period. Dr. Sirgo remained on the Board until the successful sale of the Company in March of this year. Dr. Sirgo also has extensive experience in research and development and sales and marketing and serves on the boards of multiple private and public companies. Dr. Sirgo holds a Doctorate in Pharmacy from Philadelphia College of Pharmacy and Sciences.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Roger Abravanel,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Guido Guidi,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Marucci,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b w:val="1"/>
          <w:bCs w:val="1"/>
          <w:color w:val="auto"/>
        </w:rPr>
        <w:t>Executive Scientific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Luigi Naldini, M.D., Ph.D., Chairman of the Executive Scientific Board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Bernhard Gentner, M.D., Member of the Executive Scientific Board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OSR -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 to the Company include:</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Gaurav Shah, M.D.: Co-founder, Chief Executive Officer and Corporate Board Member of Rocket Pharma (NASDAQ: RCKT). Prior to this role, Dr. Shah was a Global Program Head in the Cell &amp; Gene Therapies Unit at Novartis, where he had strategic oversight of 12 functions and helped spearhead pivotal trials with CART-19 for patients with leukemia and lymphoma.</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Loncar: Founder and Chief Executive Officer at Loncar Investments. Mr. Loncar is a biotech investor, index provider, and creator of two Nasdaq-listed exchange traded funds.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our executive officers and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Arrangements Concerning Election of Directors and Members of Management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with major shareholders, customers, suppliers, or others pursuant to which any of our directors or members of senior management were selected as such.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in the aggregate all compensation we paid to all of our directors and senior management as a group for the year ended December 31, 2022.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All amounts reported in the table below reflect the cost to the Company, in thousands of Euros, for the year ended December 31, 2022.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Pension, Retirement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Salary, Bonuses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and Other Similar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Share-Based</w:t>
            </w:r>
          </w:p>
        </w:tc>
      </w:tr>
      <w:tr>
        <w:trPr>
          <w:trHeight w:val="245"/>
        </w:trPr>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Related Benefits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184"/>
        </w:trPr>
        <w:tc>
          <w:tcPr>
            <w:tcW w:w="40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All directors and senior management as a group,</w:t>
            </w:r>
          </w:p>
        </w:tc>
        <w:tc>
          <w:tcPr>
            <w:tcW w:w="20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consisting of 11 persons including current and</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directors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1,107,965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Board Practices</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currently follow the historical Italian corporate governance system, with a board of directors (</w:t>
      </w:r>
      <w:r>
        <w:rPr>
          <w:rFonts w:ascii="Times New Roman" w:cs="Times New Roman" w:eastAsia="Times New Roman" w:hAnsi="Times New Roman"/>
          <w:sz w:val="18"/>
          <w:szCs w:val="18"/>
          <w:i w:val="1"/>
          <w:iCs w:val="1"/>
          <w:color w:val="auto"/>
        </w:rPr>
        <w:t>consiglio di amministrazione</w:t>
      </w:r>
      <w:r>
        <w:rPr>
          <w:rFonts w:ascii="Times New Roman" w:cs="Times New Roman" w:eastAsia="Times New Roman" w:hAnsi="Times New Roman"/>
          <w:sz w:val="18"/>
          <w:szCs w:val="18"/>
          <w:color w:val="auto"/>
        </w:rPr>
        <w:t>) and a separate board of statutory auditors (</w:t>
      </w:r>
      <w:r>
        <w:rPr>
          <w:rFonts w:ascii="Times New Roman" w:cs="Times New Roman" w:eastAsia="Times New Roman" w:hAnsi="Times New Roman"/>
          <w:sz w:val="18"/>
          <w:szCs w:val="18"/>
          <w:i w:val="1"/>
          <w:iCs w:val="1"/>
          <w:color w:val="auto"/>
        </w:rPr>
        <w:t>collegio sindacale</w:t>
      </w:r>
      <w:r>
        <w:rPr>
          <w:rFonts w:ascii="Times New Roman" w:cs="Times New Roman" w:eastAsia="Times New Roman" w:hAnsi="Times New Roman"/>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Company’s statutory auditors received approximately €44,000 in compensation in the aggregate for their services to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elected</w:t>
            </w:r>
          </w:p>
        </w:tc>
      </w:t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re- appointed</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Carlo-Alberto Nicchio</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7"/>
                <w:szCs w:val="17"/>
                <w:color w:val="auto"/>
              </w:rPr>
            </w:pP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Chairman of the Board of Statutory Auditors</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2021</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Cesare Lazzaroni</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auditor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Jacopo Doveri</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auditor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Lorenzo Gianluigi Grossi</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Alternate auditor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Alessandro Arpiani</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Alternate auditor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Board Committees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Italian law does not require that we adopt a Compensation, Nomination and Governance Committee, in connection with our Corporate Conversion from a limited liability company (società a responsabilità limitata, or “S.r.l.”) to a joint stock company (società per azioni, or an “S.p.A.”), we established a Compensation, Nomination and Governance Committee according to Nasdaq Listing Rule 5615(a)(3). The members of our compensation, nomination and governance committee include Mark Sirgo, Roger Abravanel and Guido Guidi. On May 1, 2022, Dr. Sirgo replaced Dr. Squinto on our Compensation, Nomination and Governance Committee.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Italian Laws and Nasdaq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Sarbanes-Oxley Act, as well as related rules subsequently implemented by the SEC, requires foreign private issuers, such as us, to comply with various corporate governance practices. In addition, following the listing of the ADSs on Nasdaq, we are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174" w:lineRule="exact"/>
        <w:rPr>
          <w:sz w:val="20"/>
          <w:szCs w:val="20"/>
          <w:color w:val="auto"/>
        </w:rPr>
      </w:pPr>
    </w:p>
    <w:p>
      <w:pPr>
        <w:jc w:val="both"/>
        <w:ind w:left="660" w:hanging="328"/>
        <w:spacing w:after="0" w:line="26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the board of directors</w:t>
      </w:r>
      <w:r>
        <w:rPr>
          <w:rFonts w:ascii="Times New Roman" w:cs="Times New Roman" w:eastAsia="Times New Roman" w:hAnsi="Times New Roman"/>
          <w:sz w:val="18"/>
          <w:szCs w:val="18"/>
          <w:color w:val="auto"/>
        </w:rPr>
        <w:t>. Italian law does not require that the majority of our board of directors consist of independent directors.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therefore may include fewer independent directors than would be required if we were subject to Nasdaq Listing Rule 5605(b)</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addition, we are not subject to Nasdaq Listing Rule 5605(b)(2), which requires that independent directors must regularly have scheduled meetings at which only independent directors are present.</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Quorum. In accordance with Italian law quorum requirements generally applicable to general meetings of shareholders are set forth in the Italian Civil Code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7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Proxy Solicitations</w:t>
      </w:r>
      <w:r>
        <w:rPr>
          <w:rFonts w:ascii="Times New Roman" w:cs="Times New Roman" w:eastAsia="Times New Roman" w:hAnsi="Times New Roman"/>
          <w:sz w:val="18"/>
          <w:szCs w:val="18"/>
          <w:color w:val="auto"/>
        </w:rPr>
        <w:t>. Under Italian law shareholders may appoint attorneys-in-fact by delivering in writing appropriate power of attorney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varies from the requirement of Nasdaq Listing Rule 5620(b), which sets forth certain requirements regarding the solicitation of proxies.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Issuances</w:t>
      </w:r>
      <w:r>
        <w:rPr>
          <w:rFonts w:ascii="Times New Roman" w:cs="Times New Roman" w:eastAsia="Times New Roman" w:hAnsi="Times New Roman"/>
          <w:sz w:val="18"/>
          <w:szCs w:val="18"/>
          <w:color w:val="auto"/>
        </w:rPr>
        <w:t>. Pursuant to Italian law, we have opted out of shareholder approval requirements by way of including authorized and conditional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capital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US companies listed on Nasdaq are required to have an audit committee that satisfies the requirements of Rule 10A-3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established and selected pursuant to Italian law expressly permitting such a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ind w:left="1300" w:hanging="320"/>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required under Italian law to be separate from the Company’s board of directors;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not elected by management of the Company and no executive officer of the Company is a member of the board of statutory auditors;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Italian law provides for standards for the independence of the board of statutory auditors from the Company and its management;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60" w:lineRule="exact"/>
        <w:rPr>
          <w:sz w:val="20"/>
          <w:szCs w:val="20"/>
          <w:color w:val="auto"/>
        </w:rPr>
      </w:pPr>
    </w:p>
    <w:p>
      <w:pPr>
        <w:jc w:val="both"/>
        <w:ind w:left="660" w:hanging="328"/>
        <w:spacing w:after="0" w:line="25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Italian law does not require the appointment of a compensation committee composed of independent directors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has established a Compensation, Nomination and Governance Committee.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Pursuant to Italian law, we have adopted an “Organization and Operational Model” as required by Italian Legislative Decree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8, 2001, No. 231 (relating to administrative responsibility) that consists of: (i) a Code of Ethics; (ii) operating procedures and reporting systems applicable to all of our directors, officers and employees, which may not comply with the requirements for a code of conduct meeting the criteria under Nasdaq Listing Rule 5610.</w:t>
      </w:r>
    </w:p>
    <w:p>
      <w:pPr>
        <w:spacing w:after="0" w:line="17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19, 2023, we had nine full-time employees, six located in Milan, Italy and three located in the United States. We also rely on consultants and a large number of collaborators at SR-TIGET and OSR. Our full-time employees and consultants are engaged in clinical, research and development, product development, quality assurance, finance, accounting and administrative activities.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7.A. – Major Shareholders”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ordinary shares as of April 19, 2023 by:</w:t>
      </w:r>
    </w:p>
    <w:p>
      <w:pPr>
        <w:spacing w:after="0" w:line="225"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our outstanding ordinary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ordinary shares. Percentage of shares beneficially owned is based on 18,216,858 ordinary shares and ADSs outstanding on April 19, 2023 plus the number of shares beneficially owned within 60-days of April 19,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Our major shareholders do not have different voting rights than other holders of our ordinary shares. The information is not necessarily indicative of beneficial ownership for any other purpose. Unless otherwise noted below, each beneficial owner’s address is: c/o Genenta Science S.p.A., Via Olgettina no. 58, 20132 Milan, Italy.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40" w:type="dxa"/>
            <w:vAlign w:val="bottom"/>
          </w:tcPr>
          <w:p>
            <w:pPr>
              <w:spacing w:after="0"/>
              <w:rPr>
                <w:sz w:val="19"/>
                <w:szCs w:val="19"/>
                <w:color w:val="auto"/>
              </w:rPr>
            </w:pP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82"/>
        </w:trPr>
        <w:tc>
          <w:tcPr>
            <w:tcW w:w="6940" w:type="dxa"/>
            <w:vAlign w:val="bottom"/>
          </w:tcPr>
          <w:p>
            <w:pPr>
              <w:spacing w:after="0"/>
              <w:rPr>
                <w:sz w:val="24"/>
                <w:szCs w:val="24"/>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2060" w:type="dxa"/>
            <w:vAlign w:val="bottom"/>
            <w:gridSpan w:val="2"/>
          </w:tcPr>
          <w:p>
            <w:pPr>
              <w:jc w:val="right"/>
              <w:ind w:right="760"/>
              <w:spacing w:after="0" w:line="276" w:lineRule="exact"/>
              <w:rPr>
                <w:sz w:val="20"/>
                <w:szCs w:val="20"/>
                <w:color w:val="auto"/>
              </w:rPr>
            </w:pP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29"/>
                <w:szCs w:val="29"/>
                <w:b w:val="1"/>
                <w:bCs w:val="1"/>
                <w:color w:val="auto"/>
                <w:vertAlign w:val="superscript"/>
              </w:rPr>
              <w:t>(1)</w:t>
            </w:r>
          </w:p>
        </w:tc>
      </w:tr>
      <w:tr>
        <w:trPr>
          <w:trHeight w:val="216"/>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Mark Sirgo</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34,822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2,290,107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Roger Abravanel</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79,165</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Guido Guidi</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64,539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Anthony Marucci</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21,233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 Slansky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71,940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Carlo Russo</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598,417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Stefania Mazzoleni</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41,620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Barbara Regonini</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11,299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Luigi Naldini</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1,386,145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Bernhard Gentner</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692,871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 (11 persons)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5,292,159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 San Raffaele Hospital</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1,896,730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ind w:left="980" w:hanging="32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are based on 18,353,477 (18,216,858 ordinary shares issued and outstanding as of April 19, 2023 plus 136,619 ordinary shares beneficially owned within 60 days of April 19,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Percentage Ownership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changes in the percentage ownership held by our major shareholders since January 1, 2020 are as a result of dilution from our IPO in December 2021 in which we issued and sold 2,400,000 ordinary shares represented by the same number of ADSs, and sold 720,114 ordinary shares reserved for subscription by our existing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in the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our knowledge, as of April 19, 2023, on the same basis of calculation as above, 42% of our total issued and outstanding ordinary shares were held by one record shareholder in the United States, namely, The Bank of New York Mellon, the depositary of our ADS program, which held 7,643,283 ordinary shares represented by 7,643,283 ADSs. The actual number of holders is likely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above, we are not aware of any arrangement that may, at a subsequent date, result in a change of control of our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during the most recently completed financial year entered into transactions or loans with any (a) enterprises that are directly or indirectly controlled by or under common control with us; (b) our associates; (c) individuals directly or indirectly owning voting right which give them significant influence over us or close members of their respective families, (d) our directors, senior management or close members of their respective families or (e) enterprises in which a substantial interest in the voting power is held or significantly influenced by any of the foregoing individuals (a “Related Party”), except as indicated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OSR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longstanding relationship with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approximately €14,000 in 2022 with a security deposit of €3,350.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and have entered into various amendments to the license agreement. See “Item 4. Information on the Company—B. Business Overview—Intellectual Property Rights-Collaboration / Licensing.” In February 2021, we entered into a Sponsored Research Agreement (“SRA”) with OSR to conduct certain research projects related to Temferon. The total consideration paid by the Company under the SRA were €1.0 million with payments scheduled quarterly during 2021 and 2022.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Consulting and Services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our IPO, Dr. Russo was party to a Service Agreement dated July 2017 through an affiliated company, XDG BioMed LLC, which, as amended, provides for fixed annual fees of €300,000 gross and a discretionary annual variable gross remuneration up to a minimum amount of €50,000, tax included. We also entered into consulting agreements in October 2015 and April 2016 with Prof. Naldini and Dr. Gentner, which, as amended, provided for gross annual fees of €50,000 and €30,000, respectively. These agreements renew automatically each year and they both were amended in July 2022 provided for gross annual fees €100,000 and €45,000,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was terminated by the parties for mutual consent upon signature of the below employment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Post-IPO Employment Agreements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entered into new employment agreements with each of Mr. Paracchi, Dr. Russo and Mr. Slansky effective upon the consummation of our IPO or, in the case of Mr. Slansky, November 1, 2021. The forms of such employment agreements have been filed as exhibits to this report. Pursuant to such employment agreements, Mr. Paracchi and Dr. Russo are entitled to gross annual base salaries of €420,000 and $500,000 respectively. Mr. Slansky was</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entitled to a gross annual base salary of $300,000 and, starting from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2023, he is entitled to gross annual base salary of $375,000. All these employment agreements are subject to annual review by and at the sole discretion of the Compensation, Nomination and Governance Committee of our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board of directors. Mr. Paracchi is also eligible to receive an annual cash bonus of up to 20% of base salary (and starting from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2023, he is entitled to receive an annual cash bonus of up to 40% of base salary), and Dr. Russo and Mr. Slansky are eligible to receive an annual cash bonus of up to 30% of base salary, provided that such individual achieves performance targets determined by the Compensation, Nomination and Governance Committee of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agreements of Dr. Russo and Mr. Slansky, are governed by US Law and include the following terms and conditions, among others:</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9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each employment agreement has a term commencing on the date of consummation of our IPO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left="1300" w:hanging="644"/>
        <w:spacing w:after="0" w:line="258" w:lineRule="auto"/>
        <w:tabs>
          <w:tab w:leader="none" w:pos="1300"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such individual is terminated three months prior to or one year after a Change of Control (as defined in the agreement) by the Company for any reason other than cause or by such individual for good reason, then the executive shall be entitled to receive a cash payment equal to a multiple of such individual’s then-current annual base salary determined by the time elapsed since the commencement of the agreement (in the case of Dr. Russo) or two times such salary (in the case of Mr. Slansky). Such payment shall be in lieu of the severance payment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 of Mr. Paracchi is governed by Italian Law and includes the following terms and conditions, among others:</w:t>
      </w:r>
    </w:p>
    <w:p>
      <w:pPr>
        <w:spacing w:after="0" w:line="223"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duties of general manager (</w:t>
      </w:r>
      <w:r>
        <w:rPr>
          <w:rFonts w:ascii="Times New Roman" w:cs="Times New Roman" w:eastAsia="Times New Roman" w:hAnsi="Times New Roman"/>
          <w:sz w:val="18"/>
          <w:szCs w:val="18"/>
          <w:i w:val="1"/>
          <w:iCs w:val="1"/>
          <w:color w:val="auto"/>
        </w:rPr>
        <w:t>direttore generale</w:t>
      </w:r>
      <w:r>
        <w:rPr>
          <w:rFonts w:ascii="Times New Roman" w:cs="Times New Roman" w:eastAsia="Times New Roman" w:hAnsi="Times New Roman"/>
          <w:sz w:val="18"/>
          <w:szCs w:val="18"/>
          <w:color w:val="auto"/>
        </w:rPr>
        <w:t>) with direct report to the Board of Directors of the Company;</w:t>
      </w:r>
    </w:p>
    <w:p>
      <w:pPr>
        <w:spacing w:after="0" w:line="227" w:lineRule="exact"/>
        <w:rPr>
          <w:rFonts w:ascii="Times New Roman" w:cs="Times New Roman" w:eastAsia="Times New Roman" w:hAnsi="Times New Roman"/>
          <w:sz w:val="18"/>
          <w:szCs w:val="18"/>
          <w:i w:val="1"/>
          <w:iCs w:val="1"/>
          <w:color w:val="auto"/>
        </w:rPr>
      </w:pPr>
    </w:p>
    <w:p>
      <w:pPr>
        <w:ind w:left="1300" w:right="20" w:hanging="644"/>
        <w:spacing w:after="0" w:line="282" w:lineRule="auto"/>
        <w:tabs>
          <w:tab w:leader="none" w:pos="130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61" w:lineRule="exact"/>
        <w:rPr>
          <w:rFonts w:ascii="Times New Roman" w:cs="Times New Roman" w:eastAsia="Times New Roman" w:hAnsi="Times New Roman"/>
          <w:sz w:val="18"/>
          <w:szCs w:val="18"/>
          <w:i w:val="1"/>
          <w:iCs w:val="1"/>
          <w:color w:val="auto"/>
        </w:rPr>
      </w:pPr>
    </w:p>
    <w:p>
      <w:pPr>
        <w:jc w:val="both"/>
        <w:ind w:left="1300" w:hanging="644"/>
        <w:spacing w:after="0" w:line="261" w:lineRule="auto"/>
        <w:tabs>
          <w:tab w:leader="none" w:pos="130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 and</w:t>
      </w:r>
    </w:p>
    <w:p>
      <w:pPr>
        <w:spacing w:after="0" w:line="179" w:lineRule="exact"/>
        <w:rPr>
          <w:rFonts w:ascii="Times New Roman" w:cs="Times New Roman" w:eastAsia="Times New Roman" w:hAnsi="Times New Roman"/>
          <w:sz w:val="18"/>
          <w:szCs w:val="18"/>
          <w:i w:val="1"/>
          <w:iCs w:val="1"/>
          <w:color w:val="auto"/>
        </w:rPr>
      </w:pPr>
    </w:p>
    <w:p>
      <w:pPr>
        <w:jc w:val="both"/>
        <w:ind w:left="1300" w:hanging="644"/>
        <w:spacing w:after="0" w:line="266" w:lineRule="auto"/>
        <w:tabs>
          <w:tab w:leader="none" w:pos="130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pacing w:after="0" w:line="175" w:lineRule="exact"/>
        <w:rPr>
          <w:rFonts w:ascii="Times New Roman" w:cs="Times New Roman" w:eastAsia="Times New Roman" w:hAnsi="Times New Roman"/>
          <w:sz w:val="18"/>
          <w:szCs w:val="18"/>
          <w:i w:val="1"/>
          <w:iCs w:val="1"/>
          <w:color w:val="auto"/>
        </w:rPr>
      </w:pPr>
    </w:p>
    <w:p>
      <w:pPr>
        <w:jc w:val="both"/>
        <w:ind w:left="13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Such agreement has a term commencing on the date of consummation of out IPO and continuing until terminated, among other things, (a) upon death of the executive, (b) for just cause, (c) with objective or subjective reason, (d) by resignation of the executive, or (e) voluntarily by mutual agreement between the parties.</w:t>
      </w:r>
    </w:p>
    <w:p>
      <w:pPr>
        <w:spacing w:after="0" w:line="173" w:lineRule="exact"/>
        <w:rPr>
          <w:rFonts w:ascii="Times New Roman" w:cs="Times New Roman" w:eastAsia="Times New Roman" w:hAnsi="Times New Roman"/>
          <w:sz w:val="18"/>
          <w:szCs w:val="18"/>
          <w:i w:val="1"/>
          <w:iCs w:val="1"/>
          <w:color w:val="auto"/>
        </w:rPr>
      </w:pPr>
    </w:p>
    <w:p>
      <w:pPr>
        <w:ind w:left="13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Consultancy Agreements</w:t>
      </w:r>
    </w:p>
    <w:p>
      <w:pPr>
        <w:spacing w:after="0" w:line="227" w:lineRule="exact"/>
        <w:rPr>
          <w:rFonts w:ascii="Times New Roman" w:cs="Times New Roman" w:eastAsia="Times New Roman" w:hAnsi="Times New Roman"/>
          <w:sz w:val="18"/>
          <w:szCs w:val="18"/>
          <w:i w:val="1"/>
          <w:iCs w:val="1"/>
          <w:color w:val="auto"/>
        </w:rPr>
      </w:pPr>
    </w:p>
    <w:p>
      <w:pPr>
        <w:jc w:val="both"/>
        <w:ind w:left="130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Dr. Sirgo and Mr. Marucci have entered into consultancy agreements in connection with their appointment to the board of directors to support the development and growth of the Company. The agreements provide for gross compensations of $18,750 (Dr. Sirgo) and $11,875 (Mr. Marucci) per quarter (pro-rated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87" w:lineRule="exact"/>
        <w:rPr>
          <w:rFonts w:ascii="Times New Roman" w:cs="Times New Roman" w:eastAsia="Times New Roman" w:hAnsi="Times New Roman"/>
          <w:sz w:val="18"/>
          <w:szCs w:val="18"/>
          <w:i w:val="1"/>
          <w:iCs w:val="1"/>
          <w:color w:val="auto"/>
        </w:rPr>
      </w:pPr>
    </w:p>
    <w:p>
      <w:pPr>
        <w:jc w:val="both"/>
        <w:ind w:left="13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addition, Messrs.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indemnification agreement with our directors and executive officers which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are stated in EUROs and are prepared in accordance with US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for the 2022, 2021 and 2020 fiscal years as required under Item 17 are included immediately following the text of this Annual Report. The audit reports of the Company are included herein immediately preceding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Dividend Distributions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paid any dividends on its outstanding ordinary shares since its incorporation and does not anticipate that it will do so in the foreseeable future. The payment of dividends in the future, if any, is within the discretion of the Board of Directors and will depend upon our earnings, our capital requirements and financial condition and other relevant factors. We do not anticipate declaring or paying any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in the form of ADSs under the symbol “GNTA”. Neither the Company’s ordinary shares nor its ADSs are listed on a securities exchange outside the United States. Bank of New York Mellon is the Company’s depositary for purposes of issuing ADSs. Trading in the ADSs on The Nasdaq Capital Market commenced on December 15,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9. The Offer and Listing—A. Offer and Listing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description of certain terms and provisions of our Memorandum and Articles of Incorporation is incorporated by reference to our Registration Statement filed on Form F-1 (File No. 333-260923) filed with the SEC and as declared effective on December 14,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Italian law, there are no exchange control restrictions on investments in, or payments on, the Genenta ordinary shares. There are no special restrictions in the Genenta Articles of Association or Italian law that limit the right of shareholders who are not citizens or residents of Italy to hold or vote the Genenta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Italian Tax Consequences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Under Italian law, financial instruments issued by an Italian company are subject to the same tax regime as are shares, provided that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Withholding on Dividends</w:t>
      </w:r>
      <w:r>
        <w:rPr>
          <w:rFonts w:ascii="Times New Roman" w:cs="Times New Roman" w:eastAsia="Times New Roman" w:hAnsi="Times New Roman"/>
          <w:sz w:val="18"/>
          <w:szCs w:val="18"/>
          <w:color w:val="auto"/>
        </w:rPr>
        <w:t>. We do not anticipate making any distributions on our ordinary shares in the foreseeable future. However, if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Under Italian law, US owners can claim, in accordance with Presidential Decree No. 600 of October 16, 1973, Article 27(3), a refund of up to eleven-twenty-sixths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on Capital Gains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general rule, gains from shares in Italian companies, under custody in Italy, could give rise to a taxable income for the non-resident transferor.</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Gains exempt from taxation in Italy </w:t>
      </w:r>
      <w:r>
        <w:rPr>
          <w:rFonts w:ascii="Times New Roman" w:cs="Times New Roman" w:eastAsia="Times New Roman" w:hAnsi="Times New Roman"/>
          <w:sz w:val="18"/>
          <w:szCs w:val="18"/>
          <w:color w:val="auto"/>
        </w:rPr>
        <w:t>- “Non-qualified shareholdings” are those which are below 2% of the voting rights and 5% of the capital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exchange-listed company. Gains from the disposal of non-qualified share investments in Italian listed companies by non-Italian residents are not subject to Italian income tax under domestic rule.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Gains subject to tax in Italy </w:t>
      </w:r>
      <w:r>
        <w:rPr>
          <w:rFonts w:ascii="Times New Roman" w:cs="Times New Roman" w:eastAsia="Times New Roman" w:hAnsi="Times New Roman"/>
          <w:sz w:val="18"/>
          <w:szCs w:val="18"/>
          <w:color w:val="auto"/>
        </w:rPr>
        <w:t>- “Qualified shareholdings” in a listed company are those representing more than the 2% of the voting rights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5% of the capital of an exchange-listed company. Capital gains from the disposal of a qualified shareholding in a listed company are subject to a withholding tax of 26% under the domestic rule.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Estate and Gift Tax</w:t>
      </w:r>
      <w:r>
        <w:rPr>
          <w:rFonts w:ascii="Times New Roman" w:cs="Times New Roman" w:eastAsia="Times New Roman" w:hAnsi="Times New Roman"/>
          <w:sz w:val="18"/>
          <w:szCs w:val="18"/>
          <w:color w:val="auto"/>
        </w:rPr>
        <w:t>. Inheritance and gift taxes, which were abolished in 2001, have been re-introduced in the Italian system by Law Decree No. 262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 (a) 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w:t>
      </w:r>
    </w:p>
    <w:p>
      <w:pPr>
        <w:spacing w:after="0" w:line="1" w:lineRule="exact"/>
        <w:rPr>
          <w:sz w:val="20"/>
          <w:szCs w:val="20"/>
          <w:color w:val="auto"/>
        </w:rPr>
      </w:pPr>
    </w:p>
    <w:p>
      <w:pPr>
        <w:jc w:val="both"/>
        <w:ind w:firstLine="8"/>
        <w:spacing w:after="0" w:line="255"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Transfer tax</w:t>
      </w:r>
      <w:r>
        <w:rPr>
          <w:rFonts w:ascii="Times New Roman" w:cs="Times New Roman" w:eastAsia="Times New Roman" w:hAnsi="Times New Roman"/>
          <w:sz w:val="18"/>
          <w:szCs w:val="18"/>
          <w:color w:val="auto"/>
        </w:rPr>
        <w:t>. In connection with the Italian stamp duty tax on the transfer of shares, according to article 37 of Law No. 248 of December 31,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Communications Stamp Duty</w:t>
      </w:r>
      <w:r>
        <w:rPr>
          <w:rFonts w:ascii="Times New Roman" w:cs="Times New Roman" w:eastAsia="Times New Roman" w:hAnsi="Times New Roman"/>
          <w:sz w:val="18"/>
          <w:szCs w:val="18"/>
          <w:color w:val="auto"/>
        </w:rPr>
        <w:t>. A stamp duty has been introduced under article 19 of Law Decree No. 201 of December 6, 2011, converted into Law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Times New Roman" w:cs="Times New Roman" w:eastAsia="Times New Roman" w:hAnsi="Times New Roman"/>
          <w:sz w:val="18"/>
          <w:szCs w:val="18"/>
          <w:i w:val="1"/>
          <w:iCs w:val="1"/>
          <w:color w:val="auto"/>
        </w:rPr>
        <w:t>pro-rata temporis</w:t>
      </w:r>
      <w:r>
        <w:rPr>
          <w:rFonts w:ascii="Times New Roman" w:cs="Times New Roman" w:eastAsia="Times New Roman" w:hAnsi="Times New Roman"/>
          <w:sz w:val="18"/>
          <w:szCs w:val="18"/>
          <w:color w:val="auto"/>
        </w:rPr>
        <w:t xml:space="preserve"> basis (from January 1 up to December 31). The minimum amount is fixed of €34.20 up to a maximum amount of €14,000. The communication is deemed to be sent to clients at least once a year, even where there is no obligation to issue any such communication.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Transaction Tax</w:t>
      </w:r>
      <w:r>
        <w:rPr>
          <w:rFonts w:ascii="Times New Roman" w:cs="Times New Roman" w:eastAsia="Times New Roman" w:hAnsi="Times New Roman"/>
          <w:sz w:val="18"/>
          <w:szCs w:val="18"/>
          <w:color w:val="auto"/>
        </w:rPr>
        <w:t>. Law 228 of December 24, 2012, Article 1(491 – 500) introduced the Italian Financial Transaction Tax applicable</w:t>
      </w:r>
    </w:p>
    <w:p>
      <w:pPr>
        <w:spacing w:after="0" w:line="29" w:lineRule="exact"/>
        <w:rPr>
          <w:sz w:val="20"/>
          <w:szCs w:val="20"/>
          <w:color w:val="auto"/>
        </w:rPr>
      </w:pPr>
    </w:p>
    <w:p>
      <w:pPr>
        <w:jc w:val="both"/>
        <w:ind w:firstLine="15"/>
        <w:spacing w:after="0" w:line="253" w:lineRule="auto"/>
        <w:tabs>
          <w:tab w:leader="none" w:pos="2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Italian Financial Transaction Tax is due by the person in whose favor the transfer of ownership of the Qualifying Equities occurs.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rate applicable is 0.20% while the reduced rate for transactions on “regulated markets and on multilateral trading facilities” is 0.10%.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shall be paid by the 16th day of the month following the one in which the relevant triggering event occurs.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4" w:name="page135"/>
    <w:bookmarkEnd w:id="134"/>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summary is for general information purposes only and does not purport to be a comprehensive description of all of the U.S. federal income tax considerations that may be relevant to a decision to invest in or dispose of the ADSs. This summary generally considers only U.S. Holders that will own the ADSs as capital assets and who will not hold the ADSs as part of a permanent establishment in Italy.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U.S. federal income tax treatment of partnerships (or other pass-through entities) or persons who hold securities through a partnership or other pass-through entity are not addressed. If a partnership (including any entity treated as a partnership for U.S. federal income tax purposes) holds ADSs, the U.S. federal income tax consequences to the partners of such partnership will depend on the activities of the partnership and the status of the partners.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Paid on Ordinary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U.S. dollar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as capital gain. We do not expect to maintain calculations of our earnings and profits under U.S. federal income tax principles and, therefore, U.S. Holders should expect that the entire amount of any distribution generally will be reported as dividend income. Any dividends we pay with respect to the ADSs or ordinary shares are expected to constitute foreign source income for foreign tax credit purposes.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Italian withholding tax, if any, paid in connection with any distribution with respect to ADSs may be claimed as a credit against a U.S. Holder’s U.S. federal income tax liability if the U.S. Holder elects not to take a deduction for any non-U.S. income taxes for that taxable year; otherwise, such Italian withholding tax may be taken as a deduction. If a U.S. Holder is eligible for benefits under the Treaty or is otherwise entitled to a refund for the taxes withheld, the U.S. Holder will not be entitled to a foreign tax credit or deduction for the amount of any Italian taxes withheld in excess of the maximum rate under the Treaty or for the taxes with respect to which the U.S. Holder can obtain a refund from the Italian taxing authorities. As the relevant rules are very complex, U.S. Holders should consult their own tax advisors concerning the availability and utilization of the foreign tax credit or deductions for non-U.S. taxes in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Disposition of 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U.S. federal income tax laws apply to U.S. taxpayers who own shares of a corporation that is a PFIC. We will be treated as a PFIC for U.S. federal income tax purposes for any taxable year that either:</w:t>
      </w:r>
    </w:p>
    <w:p>
      <w:pPr>
        <w:spacing w:after="0" w:line="162" w:lineRule="exact"/>
        <w:rPr>
          <w:sz w:val="20"/>
          <w:szCs w:val="20"/>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(including our pro rata share of gross income for any company, in which we are considered to own 25% or more of the shares by value), in a taxable year is passive;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made the formal analysis necessary to determine whether or not we are currently a PFIC or whether we have ever been a PFIC.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Moreover, PFIC status is a factual determination for each taxable year that cannot be made until after the close of each such year and may depend to a large degree on the market price of our ADSs, which could fluctuate significantly. Accordingly, there can be no assurance that we currently are not or will not become a PFIC.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18"/>
          <w:szCs w:val="18"/>
          <w:color w:val="auto"/>
        </w:rPr>
        <w:t>If we currently are or become a PFIC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 Specifically,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However, we provide no assurance as to whether we will calculate our “ordinary earnings” or “net capital gain” under U.S. tax principles or supply U.S. holders with the required “PFIC Annual Information Statement.” If we do not provide this information for any reason, it generally will not be possible for a U.S. Holder to make a QEF election if we are, or if we become, a PFIC.</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who hold our ordinary shares during a period when we are a PFIC will be subject to the foregoing rules, even if we cease to be a PFIC.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are strongly urged to consult their tax advisors about the PFIC rules.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Net Investment Income</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Withholding</w:t>
      </w:r>
    </w:p>
    <w:p>
      <w:pPr>
        <w:spacing w:after="0" w:line="229"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concerning us that are referred to in this document may be inspected at our office at Via Olgettina No. 58, 20132 Milan, Italy.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The Commission maintains a web site that contains reports and other information regarding registrants (including us) that file electronically with the Commission which can be assessed at http://www.sec.gov.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Genenta’s activities expose it to a variety of financial risks: market risk (including foreign currency risk and interest rate risk), credit risk and liquidity risk. The overall risk management strategy focuses on the unpredictability of the finance markets and seeks to minimize the potential adverse effects on the financial performance. Genenta uses different methods to measure different types of risk to which it is exposed. These methods include sensitivity analysis in the case of interest rate, foreign exchange and other price risks, ageing analysis for credit risk and beta analysis in respect of investment portfolios to determine market risk. Risk management is carried out under the direction of the Board. Please see note 1 to our audited consolidated financial statements for further information with respect to certain of these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of New York Mellon, as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spacing w:after="0"/>
        <w:tabs>
          <w:tab w:leader="none" w:pos="5720" w:val="left"/>
        </w:tabs>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shares or ADS holders must pay:</w:t>
      </w:r>
      <w:r>
        <w:rPr>
          <w:sz w:val="20"/>
          <w:szCs w:val="20"/>
          <w:color w:val="auto"/>
        </w:rPr>
        <w:tab/>
      </w:r>
      <w:r>
        <w:rPr>
          <w:rFonts w:ascii="Times New Roman" w:cs="Times New Roman" w:eastAsia="Times New Roman" w:hAnsi="Times New Roman"/>
          <w:sz w:val="17"/>
          <w:szCs w:val="17"/>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(or less) per ADS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right="2600"/>
        <w:spacing w:after="0" w:line="255" w:lineRule="auto"/>
        <w:rPr>
          <w:sz w:val="20"/>
          <w:szCs w:val="20"/>
          <w:color w:val="auto"/>
        </w:rPr>
      </w:pPr>
      <w:r>
        <w:rPr>
          <w:rFonts w:ascii="Times New Roman" w:cs="Times New Roman" w:eastAsia="Times New Roman" w:hAnsi="Times New Roman"/>
          <w:sz w:val="18"/>
          <w:szCs w:val="18"/>
          <w:color w:val="auto"/>
        </w:rPr>
        <w:t>$.05 (or less) per ADS per calendar year Registration or transfer fees Expenses of the depositary</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 shares underlying ADSs, such as stock transfer taxes, stamp duty or withholding taxes 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cash distribution to ADS holders Distribution of securities distributed to holders of deposited securities (including rights) that are distributed by the depositary to ADS holders Depositary services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rPr>
          <w:sz w:val="20"/>
          <w:szCs w:val="20"/>
          <w:color w:val="auto"/>
        </w:rPr>
      </w:pPr>
      <w:r>
        <w:rPr>
          <w:rFonts w:ascii="Times New Roman" w:cs="Times New Roman" w:eastAsia="Times New Roman" w:hAnsi="Times New Roman"/>
          <w:sz w:val="18"/>
          <w:szCs w:val="18"/>
          <w:color w:val="auto"/>
        </w:rPr>
        <w:t>Cable (including SWIFT) and facsimile transmissions (when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the deposit agreement) Converting foreign currency to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necessary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855" w:lineRule="exact"/>
        <w:rPr>
          <w:sz w:val="20"/>
          <w:szCs w:val="20"/>
          <w:color w:val="auto"/>
        </w:rPr>
      </w:pPr>
    </w:p>
    <w:p>
      <w:pPr>
        <w:sectPr>
          <w:pgSz w:w="11900" w:h="16838" w:orient="portrait"/>
          <w:cols w:equalWidth="0" w:num="2">
            <w:col w:w="5520" w:space="220"/>
            <w:col w:w="5500"/>
          </w:cols>
          <w:pgMar w:left="320" w:top="6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39" w:name="page140"/>
    <w:bookmarkEnd w:id="139"/>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For the fiscal year ended December 31, 2022, we were entitled to receive approximately $30,000 reimbursement from the depositary for our expenses incurred in connection with establishment and maintenance of the ADS program. This amount has been fully paid to us as of the date of this Annual Report.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10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 which remain unchanged.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2021, we completed an offering of an aggregate of 3,120,114 ordinary shares and ADSs at a public offering price of US$11.50 per security. The shares began trading on the Nasdaq Capital Market on December 15, 2021. On December 23, 2021, the underwriters in the offering exercised their over-allotment option in part for an additional 96,744 ADSs at the offering price, resulting in an aggregate of 3,216,858 ordinary shares (including ordinary shares in the form of American Depositary Shares) issued in the offering. We received net proceeds from our IPO of approximately US$33 million, after deducting underwriting discounts and related offering expenses. The principal purposes of our IPO were to create a public market for our ADSs for the benefit of all shareholders, retain talented employees by providing them equity incentives, fund proposed capital expenditures and raise capital for development of our product candidates and general corporate purposes. As of the date of this report, we have allocated a portion of the net proceeds of the offering for investment purposes and the remaining proceeds for clinical development of our lead product Temferon™.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reports filed or submitted under the Securities Exchange Act of 1934, as amended (the “Exchange Act”), is recorded, processed, summarized and reported within the time periods specified in the SEC’s rules and forms. Disclosure controls include, without limitation, controls and procedures designed to ensure that information required to be disclosed under the Exchange Act is accumulated and communicated to management, including principal executive and financial officers,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of our chief executive officer and chief financial officer, of the effectiveness of our disclosure controls and procedures as such term is defined under Rule 13a-15(e) promulgated under the Exchange Act as of December 31, 2022. Based on that evaluation, our management, including our chief executive officer and chief financial officer, has concluded that the Company’s disclosure controls and procedures were not effective as of December 31, 2022 due to the existence of material weaknesses in internal control over financial reporting described below in “Management’s Annual Report on Internal Control over Financial Reporting,” which management intends to remediate.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management concluded that the consolidated financial statements included in this Annual Report present fairly, in all material respects, our financial position, results of operations and cash flows as of and for the periods presented in accordance with US GAAP. Management’s assessment is based upon a number of factors, including, but not limited to:</w:t>
      </w:r>
    </w:p>
    <w:p>
      <w:pPr>
        <w:spacing w:after="0" w:line="176" w:lineRule="exact"/>
        <w:rPr>
          <w:sz w:val="20"/>
          <w:szCs w:val="20"/>
          <w:color w:val="auto"/>
        </w:rPr>
      </w:pPr>
    </w:p>
    <w:p>
      <w:pPr>
        <w:ind w:right="20" w:firstLine="656"/>
        <w:spacing w:after="0" w:line="282" w:lineRule="auto"/>
        <w:tabs>
          <w:tab w:leader="none" w:pos="80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certain remediation actions, documentation and process controls with regard to previous control environment deficiencies; and</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oversight and review by management and the board of statutory auditors.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is developing a more detailed action plan that includes hiring additional staff, and documenting adequate internal control processes, as expressed below. Actions began in 2021, continued in 2022 and will continue in 2023 and beyond.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internal control over financial reporting is a process designed under the supervision of the chief executive officer and chief financial officer to provide reasonable assurance as to the reliability of the Company’s financial reporting and the preparation of its consolidated financial statements for external purposes in accordance with generally accepted accounting principles. Our management is responsible for establishing and maintaining adequate internal control over financial reporting, as such term is defined in Rule 13a-15(f) under the Securities Exchange Act of 1934, as amended.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consolidated financial statements in accordance with U.S.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evaluated the effectiveness of our internal control over financial reporting as of December 31, 2022 and concluded our internal control over financial reporting was not effective as described in more detail below. In making this evaluation, management used the framework established in Internal Control — Integrated Framework (2013) issued by the Committee of Sponsoring Organizations of the Treadway Commission (“COSO”). The COSO framework summarizes each of the components of a company’s internal control system, including the control environment, risk assessment, control activities, information and communication, and monitoring activities. Personnel with high professional skills were hired following the Company’s IPO and this allowed, in the financial year ended December 31, 2022, to enhance controls over the financial reporting process; thereby, significantly reducing the risk of material misstatements in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financial statements will not be prevented or detected on timely basis.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its assessment, management has determined that the Company’s internal control over financial reporting was ineffective as of December 31, 2022, due to the existence of the material weaknesses described herein. Historically, the Company had a lean structure and limited financial and accounting personnel, which had resulted in a limited segregation of duties to fully execute the Company’s accounting processes and address the Company’s internal control over financial reporting. In connection with the Company’s audits of its consolidated financial statements as of and for the years ended December 31, 2022 and 2021, management has identified certain material weaknesses in internal control over financial reporting, including but not limited to our lack of adequate staff to:</w:t>
      </w:r>
    </w:p>
    <w:p>
      <w:pPr>
        <w:spacing w:after="0" w:line="187" w:lineRule="exact"/>
        <w:rPr>
          <w:sz w:val="20"/>
          <w:szCs w:val="20"/>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financial information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and account for complex, non-routine transactions - including those subject to the Company’s critical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80" w:hanging="324"/>
        <w:spacing w:after="0" w:line="282" w:lineRule="auto"/>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segregation of duties; and, the lack of documentation related to the Company’s internal control over financial reporting including its policy over related party relationships and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ensuring a strong internal control environment and to ensuring that a proper, consistent tone is communicated throughout the organization. To that end, our management, with the oversight from our board of statutory auditors, is evaluating and will be executing a remediation plan, in order to fully remediate the underlying causes of the material weakness. The Company has taken or plans to take the following steps to address the internal control deficiencies that contributed to the material weaknesses, including, but not limited to, the following:</w:t>
      </w:r>
    </w:p>
    <w:p>
      <w:pPr>
        <w:spacing w:after="0" w:line="180" w:lineRule="exact"/>
        <w:rPr>
          <w:sz w:val="20"/>
          <w:szCs w:val="20"/>
          <w:color w:val="auto"/>
        </w:rPr>
      </w:pPr>
    </w:p>
    <w:p>
      <w:pPr>
        <w:jc w:val="both"/>
        <w:ind w:firstLine="656"/>
        <w:spacing w:after="0" w:line="266" w:lineRule="auto"/>
        <w:tabs>
          <w:tab w:leader="none" w:pos="85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finance and accounting personnel with high professional skills, prior experience working for finance departments, and technical accounting experience, supplemented by third-party resources, maintain the overall control over the relevant operating activities, having in place incremental and compensating controls;</w:t>
      </w:r>
    </w:p>
    <w:p>
      <w:pPr>
        <w:spacing w:after="0" w:line="17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the documentation and formally assessed our accounting and financial reporting policies and procedures;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believes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Although management cannot be certain that the measures taken to date, and that are continuing to be implemented, will be sufficient to remediate the material weaknesses in a timely manner, the Company’s management and board of statutory auditors is committed to remediate the material weaknesses as soon as practical.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successfully completed the following remedial actions intended to address some of the underlying causes that gave rise to the Company’s material weaknesses:</w:t>
      </w:r>
    </w:p>
    <w:p>
      <w:pPr>
        <w:spacing w:after="0" w:line="162" w:lineRule="exact"/>
        <w:rPr>
          <w:sz w:val="20"/>
          <w:szCs w:val="20"/>
          <w:color w:val="auto"/>
        </w:rPr>
      </w:pPr>
    </w:p>
    <w:p>
      <w:pPr>
        <w:ind w:left="980" w:right="2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governance processes for its board committees, particularly the board of statutory auditors, which acts as the Company’s audit committee of the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documenting, and implementing additional internal controls in terms of the Company’s procure-to-pay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additional review controls over material agreements and contracts, specifically (but not exclusively) related to cut-off periods;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three additional finance staff members (an accounting manager in the US, a senior accountant in Italy and an accounting specialist in Italy) to effectively improve our segregation of duties and our financial reporting and documentation;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technology experts who have helped design and implement a secure, cloud-based ERP system with controlled access, approval workflow and segregation of duties.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foregoing, management believes its actions will be effective in remediating the Company’s material weaknesses, and management is devoting significant time and attention to these efforts. As management continues to evaluate and work to improve the Company’s internal controls over financial reporting, management may take additional measures to address these control deficiencies or may modify certain of the remediation measures described above. The material weaknesses will not be considered remediated until the Company has completed designing and implementing the longer-term remediation efforts, the applicable remedial controls operate for a sufficient period of time and management has concluded, through testing, that these controls are operating effectively.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above under “—Management’s Annual Report on Internal Control over Financial Reporting—Remediation,” there were no changes in our internal control over financial reporting (as defined in Rule 13a-15(f) of the Exchange Act, as amended) that occurred during the year ended December 31, 2022 that have materially affected, or are reasonably likely to materially affect, our internal controls over financial reporting.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should be noted that while our management believes that our disclosure controls and procedures provide a reasonable level of assurance, our management does not expect that our disclosure controls and procedures or internal financial controls will prevent all errors or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because of the existence and nature of its board of statutory auditors, it qualifies for an exemption provided by Rule 10A-3(c)(3) of the Exchange Act from many of the Rule 10A-3 audit committee requirements. The board of statutory auditors has determined that each of its members is an “audit committee financial expert” as defined in Item 16A of Form 20-F. For the names of the members of the board of statutory auditors, see “Item 6. Directors, Senior Management and Employees—Statutory Auditors”.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 audit committee financial experts is independent under the Nasdaq Independence Standards that would apply to audit committee members in the absence of our reliance on the exemption in Rule 10A-3(c)(3).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42"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Conduct that applies to its Chief Executive Officer and all of its directors, officers and employees, or persons performing similar functions. A copy of our Code of Conduct is available at its website. Any future changes to the Code of Conduct will be posted on the Company’s website or filed as an exhibit to a report filed with the SEC within five business days of the change being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fiscal years ended December 31, 2022 and 2021 by Mayer, Hoffman McCann P.C. (“MHM”), the Company’s former principal accounting firm; and, by Dannible &amp; McKee, LLP (“Dannible &amp; McKee”), the Company’s principal accounting firm.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Accountant Fees and Services (in Euros)</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49"/>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264,620</w:t>
            </w: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264,620</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3" w:lineRule="auto"/>
        <w:tabs>
          <w:tab w:leader="none" w:pos="1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fiscal year ended December 31, 2022, Dannible &amp; McKee, LLP (“Dannible &amp; McKee”), the Company’s principal accounting firm billed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6,563, which is included in the Audit Fees for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fees for the years ended December 31, 2022 and 2021 respectively, were paid for professional services rendered for the audits of our consolidated financial statements, half year reviews, consents, and assistance with review of documents filed with the SEC. Substantially all MHM’s personnel, who work under the control of MHM shareholders, are employees of wholly owned subsidiaries of CBIZ, Inc., which provides personnel and various services to MHM in an alternative practice structure.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2022, the Company reported the dismissal of MHM as the Company’s principal accounting firm, effective December 12, 2022, and the appointment of Dannible &amp; McKee, LLP (“Dannible &amp; McKee”) as the Company’s principal accounting firm, effective December 12, 2022 and for the fiscal year ended December 31, 2022. See “Item 16F. Change in Registrant’s Certifying Accountant.”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engaging Mayer Hoffman McCann P.C. to perform audit services, our Board obtains an estimate for the service to be performed. All of the services described above were approved by the members of the Board of Statutory Auditors in accordance with its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Genenta is relying on the exemption from listing standards for audit committees provided by Exchange Act Rule 10A-3(c)(3). The basis for this reliance is that Genenta’s board of statutory auditors meets the following requirements set forth in Exchange Act Rule 10A-3(c)(3):</w:t>
      </w:r>
    </w:p>
    <w:p>
      <w:pPr>
        <w:spacing w:after="0" w:line="162" w:lineRule="exact"/>
        <w:rPr>
          <w:sz w:val="20"/>
          <w:szCs w:val="20"/>
          <w:color w:val="auto"/>
        </w:rPr>
      </w:pPr>
    </w:p>
    <w:p>
      <w:pPr>
        <w:ind w:left="880" w:hanging="292"/>
        <w:spacing w:after="0"/>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established and selected pursuant to Italian law expressly permitting such a board;</w:t>
      </w:r>
    </w:p>
    <w:p>
      <w:pPr>
        <w:spacing w:after="0" w:line="225"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required under Italian law to be separate from Genenta’s board of directors;</w:t>
      </w:r>
    </w:p>
    <w:p>
      <w:pPr>
        <w:spacing w:after="0" w:line="225" w:lineRule="exact"/>
        <w:rPr>
          <w:rFonts w:ascii="Times New Roman" w:cs="Times New Roman" w:eastAsia="Times New Roman" w:hAnsi="Times New Roman"/>
          <w:sz w:val="18"/>
          <w:szCs w:val="18"/>
          <w:color w:val="auto"/>
        </w:rPr>
      </w:pPr>
    </w:p>
    <w:p>
      <w:pPr>
        <w:ind w:left="880" w:hanging="292"/>
        <w:spacing w:after="0" w:line="282" w:lineRule="auto"/>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not elected by management of Genenta and no executive officer of Genenta is a member of the board of statutory auditors;</w:t>
      </w:r>
    </w:p>
    <w:p>
      <w:pPr>
        <w:spacing w:after="0" w:line="161" w:lineRule="exact"/>
        <w:rPr>
          <w:rFonts w:ascii="Times New Roman" w:cs="Times New Roman" w:eastAsia="Times New Roman" w:hAnsi="Times New Roman"/>
          <w:sz w:val="18"/>
          <w:szCs w:val="18"/>
          <w:color w:val="auto"/>
        </w:rPr>
      </w:pPr>
    </w:p>
    <w:p>
      <w:pPr>
        <w:ind w:left="880" w:hanging="292"/>
        <w:spacing w:after="0"/>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Italian law provides for standards for the independence of the board of statutory auditors from Genenta and its management;</w:t>
      </w:r>
    </w:p>
    <w:p>
      <w:pPr>
        <w:spacing w:after="0" w:line="225" w:lineRule="exact"/>
        <w:rPr>
          <w:rFonts w:ascii="Times New Roman" w:cs="Times New Roman" w:eastAsia="Times New Roman" w:hAnsi="Times New Roman"/>
          <w:sz w:val="18"/>
          <w:szCs w:val="18"/>
          <w:color w:val="auto"/>
        </w:rPr>
      </w:pPr>
    </w:p>
    <w:p>
      <w:pPr>
        <w:jc w:val="both"/>
        <w:ind w:left="880" w:hanging="292"/>
        <w:spacing w:after="0" w:line="261" w:lineRule="auto"/>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in accordance with applicable Italian law and Genenta’s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Genenta, and</w:t>
      </w:r>
    </w:p>
    <w:p>
      <w:pPr>
        <w:spacing w:after="0" w:line="179" w:lineRule="exact"/>
        <w:rPr>
          <w:rFonts w:ascii="Times New Roman" w:cs="Times New Roman" w:eastAsia="Times New Roman" w:hAnsi="Times New Roman"/>
          <w:sz w:val="18"/>
          <w:szCs w:val="18"/>
          <w:color w:val="auto"/>
        </w:rPr>
      </w:pPr>
    </w:p>
    <w:p>
      <w:pPr>
        <w:ind w:left="880" w:right="20" w:hanging="292"/>
        <w:spacing w:after="0" w:line="282" w:lineRule="auto"/>
        <w:tabs>
          <w:tab w:leader="none" w:pos="8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Italian law, the audit committee requirements of paragraphs (b)(3), (b)(4) and (b)(5) of Rule 10A-3 apply to the board of statutory auditors.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reliance on Rule 10A-3(c)(3) does not, in its opinion, materially adversely affect the ability of its board of statutory auditors to act independently and to satisfy the other requirements of Rule 10A-3.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ectPr>
          <w:pgSz w:w="11900" w:h="16838" w:orient="portrait"/>
          <w:cols w:equalWidth="0" w:num="1">
            <w:col w:w="11240"/>
          </w:cols>
          <w:pgMar w:left="320" w:top="684" w:right="339" w:bottom="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On December 15, 2022, the Company dismissed MHM as the Company’s principal accounting firm, effective December 12, 2022, and appointed Dannible</w:t>
      </w:r>
    </w:p>
    <w:p>
      <w:pPr>
        <w:spacing w:after="0" w:line="27" w:lineRule="exact"/>
        <w:rPr>
          <w:sz w:val="20"/>
          <w:szCs w:val="20"/>
          <w:color w:val="auto"/>
        </w:rPr>
      </w:pPr>
    </w:p>
    <w:p>
      <w:pPr>
        <w:jc w:val="both"/>
        <w:ind w:firstLine="8"/>
        <w:spacing w:after="0" w:line="251" w:lineRule="auto"/>
        <w:tabs>
          <w:tab w:leader="none" w:pos="18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McKee as the Company’s principal accounting firm, effective December 12, 2022 and for the fiscal year ending December 31, 2022. The audit report of MHM on the consolidated financial statements of the Company as of and for the fiscal years ended December 31, 2021 and 2020 did not contain any adverse opinion or disclaimer of opinion, nor was it qualified or modified as to uncertainty, audit scope or accounting principles. The dismissal of MHM and the appointment of Dannible &amp; McKee as the Company’s principal accounting firm have been considered and approved by the Company’s board of statutory auditors. During the fiscal years ended December 31, 2021 and 2020 and through the subsequent interim period preceding the date of MHM’s dismissal, there were no disagreements, as described in Item 16F(a)(iv) on Form 20-F, with MHM on any matter of accounting principles or practices, financial statement disclosure or auditing scope or procedures that, if not resolved to MHM’s satisfaction, would have caused MHM to make reference to the subject matter of the disagreement in connection with its audit report. No “reportable events,” as that term is described in Item 16F(a)(1)(v)(A)-(D) of Form 20-F, occurred within the fiscal years ended December 31, 2021 and 2020 and subsequently up to the date of MHM’s dismissal.</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Company’s most recent two fiscal years and through the subsequent interim period on or prior to the appointment of Dannible &amp; McKee, neither the Company nor anyone on its behalf has consulted with Dannible &amp; McKee on either (a) the application of accounting principles to a specified transaction, either completed or proposed, or the type of audit opinion that might be rendered on the Company’s consolidated financial statements, or (b) any matter that was the subject of a disagreement, as described in Item 16F(a)(1)(iv) of Form 20-F (and the related instructions thereto) or a reportable event as described in Item 16F(a)(1)(v)(A) through (D) of Form 20-F.</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provided a copy of this disclosure to MHM and requested that MHM provide the Company with a letter addressed to the SEC stating whether it agrees with the above statements, and if not, stating the respects in which it does not agree. A copy of the letter from MHM addressed to the SEC, dated December 15, 2022, was furnished as Exhibit 16.1 to the Report on Form 6-K filed with the SEC on December 15, 2022, and is incorporated by reference in this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 – C. Board Practices – Differences between Italian Laws and Nasdaq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are included as the “F” pages attached to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consolidated financial statements in this Annual Report, unless otherwise stated, are presented in accordance with US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provide consolidated financial statements pursuant to ITEM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800" w:type="dxa"/>
            <w:vAlign w:val="bottom"/>
            <w:tcBorders>
              <w:top w:val="single" w:sz="8" w:color="auto"/>
              <w:bottom w:val="single" w:sz="8" w:color="0000EE"/>
            </w:tcBorders>
            <w:gridSpan w:val="3"/>
          </w:tcPr>
          <w:p>
            <w:pPr>
              <w:spacing w:after="0" w:line="17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Description of Securities</w:t>
              </w:r>
            </w:hyperlink>
          </w:p>
        </w:tc>
        <w:tc>
          <w:tcPr>
            <w:tcW w:w="8340" w:type="dxa"/>
            <w:vAlign w:val="bottom"/>
            <w:tcBorders>
              <w:top w:val="single" w:sz="8" w:color="auto"/>
            </w:tcBorders>
            <w:gridSpan w:val="25"/>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Deed of Incorporation of Genenta Science S.p.A.</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4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Bylaws of Genenta Science S.p.A.</w:t>
            </w:r>
          </w:p>
        </w:tc>
        <w:tc>
          <w:tcPr>
            <w:tcW w:w="594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86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Deposit Agreement dated December 17, 2021 between the Company and The Bank of New York Mellon, as depositary.</w:t>
              </w:r>
            </w:hyperlink>
          </w:p>
        </w:tc>
        <w:tc>
          <w:tcPr>
            <w:tcW w:w="152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4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Form of American Depositary Receipt (included in exhibit 4.1)</w:t>
              </w:r>
            </w:hyperlink>
          </w:p>
        </w:tc>
        <w:tc>
          <w:tcPr>
            <w:tcW w:w="558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Underwriter Warrants dated December 17, 2021</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subsidiaries of the registrant</w:t>
            </w:r>
          </w:p>
        </w:tc>
        <w:tc>
          <w:tcPr>
            <w:tcW w:w="900" w:type="dxa"/>
            <w:vAlign w:val="bottom"/>
            <w:tcBorders>
              <w:top w:val="single" w:sz="8" w:color="0000EE"/>
            </w:tcBorders>
            <w:gridSpan w:val="4"/>
          </w:tcPr>
          <w:p>
            <w:pPr>
              <w:spacing w:after="0"/>
              <w:rPr>
                <w:sz w:val="17"/>
                <w:szCs w:val="17"/>
                <w:color w:val="auto"/>
              </w:rPr>
            </w:pPr>
          </w:p>
        </w:tc>
        <w:tc>
          <w:tcPr>
            <w:tcW w:w="6680" w:type="dxa"/>
            <w:vAlign w:val="bottom"/>
            <w:gridSpan w:val="19"/>
          </w:tcPr>
          <w:p>
            <w:pPr>
              <w:spacing w:after="0"/>
              <w:rPr>
                <w:sz w:val="17"/>
                <w:szCs w:val="17"/>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License Agreement between Ospedale San Raffaele S.r.l. (OSR). and Genenta Science S.p.A. dated December 15, 2014 (OSR License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Agreement)</w:t>
              </w:r>
            </w:hyperlink>
          </w:p>
        </w:tc>
      </w:tr>
      <w:tr>
        <w:trPr>
          <w:trHeight w:val="20"/>
        </w:trPr>
        <w:tc>
          <w:tcPr>
            <w:tcW w:w="110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First Amendment to the OSR License Agreement dated March 16, 2017</w:t>
              </w:r>
            </w:hyperlink>
          </w:p>
        </w:tc>
      </w:tr>
      <w:tr>
        <w:trPr>
          <w:trHeight w:val="20"/>
        </w:trPr>
        <w:tc>
          <w:tcPr>
            <w:tcW w:w="110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Second Amendment to the OSR License Agreement dated February 1, 2019</w:t>
              </w:r>
            </w:hyperlink>
          </w:p>
        </w:tc>
        <w:tc>
          <w:tcPr>
            <w:tcW w:w="4660" w:type="dxa"/>
            <w:vAlign w:val="bottom"/>
            <w:gridSpan w:val="11"/>
          </w:tcPr>
          <w:p>
            <w:pPr>
              <w:spacing w:after="0"/>
              <w:rPr>
                <w:sz w:val="17"/>
                <w:szCs w:val="17"/>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Third Amendment to the OSR License Agreement dated December 23, 2020</w:t>
              </w:r>
            </w:hyperlink>
          </w:p>
        </w:tc>
      </w:tr>
      <w:tr>
        <w:trPr>
          <w:trHeight w:val="20"/>
        </w:trPr>
        <w:tc>
          <w:tcPr>
            <w:tcW w:w="110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Fourth Amendment to the OSR License Agreement dated September 28, 2021</w:t>
              </w:r>
            </w:hyperlink>
          </w:p>
        </w:tc>
        <w:tc>
          <w:tcPr>
            <w:tcW w:w="4500" w:type="dxa"/>
            <w:vAlign w:val="bottom"/>
            <w:gridSpan w:val="9"/>
          </w:tcPr>
          <w:p>
            <w:pPr>
              <w:spacing w:after="0"/>
              <w:rPr>
                <w:sz w:val="17"/>
                <w:szCs w:val="17"/>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Sponsored Research Agreement with OSR dated February 12, 2021</w:t>
              </w:r>
            </w:hyperlink>
          </w:p>
        </w:tc>
        <w:tc>
          <w:tcPr>
            <w:tcW w:w="526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5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Know-How License Agreement with Fondazione Telethon dated February 2, 2016</w:t>
              </w:r>
            </w:hyperlink>
          </w:p>
        </w:tc>
        <w:tc>
          <w:tcPr>
            <w:tcW w:w="4200" w:type="dxa"/>
            <w:vAlign w:val="bottom"/>
            <w:gridSpan w:val="8"/>
          </w:tcPr>
          <w:p>
            <w:pPr>
              <w:spacing w:after="0"/>
              <w:rPr>
                <w:sz w:val="17"/>
                <w:szCs w:val="17"/>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2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Master Service Agreement dated March 6, 2019, between Molecular Medicine S.p.A. and Genenta Science S.p.A.</w:t>
              </w:r>
            </w:hyperlink>
          </w:p>
        </w:tc>
        <w:tc>
          <w:tcPr>
            <w:tcW w:w="192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60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2021-2025 Genenta Science Employee Share Option Plan with Chairman Sub-Plan</w:t>
              </w:r>
            </w:hyperlink>
          </w:p>
        </w:tc>
        <w:tc>
          <w:tcPr>
            <w:tcW w:w="41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Employment Agreement of Pierluigi Paracchi</w:t>
              </w:r>
            </w:hyperlink>
          </w:p>
        </w:tc>
        <w:tc>
          <w:tcPr>
            <w:tcW w:w="684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Employment Agreement of Carlo Russo</w:t>
              </w:r>
            </w:hyperlink>
          </w:p>
        </w:tc>
        <w:tc>
          <w:tcPr>
            <w:tcW w:w="7240" w:type="dxa"/>
            <w:vAlign w:val="bottom"/>
            <w:gridSpan w:val="2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Employment Agreement of Richard B. Slansky</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5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Fifth Amendment to the OSR License Agreement dated January 22, 2022</w:t>
              </w:r>
            </w:hyperlink>
          </w:p>
        </w:tc>
        <w:tc>
          <w:tcPr>
            <w:tcW w:w="4840" w:type="dxa"/>
            <w:vAlign w:val="bottom"/>
            <w:gridSpan w:val="1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79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Letter Agreement between Genenta Science S.p.A. and Ospedale San Raffaele S.r.l. dated September 29, 2022</w:t>
              </w:r>
            </w:hyperlink>
          </w:p>
        </w:tc>
        <w:tc>
          <w:tcPr>
            <w:tcW w:w="218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10140" w:type="dxa"/>
            <w:vAlign w:val="bottom"/>
            <w:gridSpan w:val="2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Letter Agreement between Genenta Science S.p.A. and Ospedale San Raffaele S.r.l. dated December 22, 2022</w:t>
              </w:r>
            </w:hyperlink>
          </w:p>
        </w:tc>
      </w:tr>
      <w:tr>
        <w:trPr>
          <w:trHeight w:val="20"/>
        </w:trPr>
        <w:tc>
          <w:tcPr>
            <w:tcW w:w="110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960" w:type="dxa"/>
            <w:vAlign w:val="bottom"/>
            <w:gridSpan w:val="11"/>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9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Development and Manufacturing Services Agreement dated January 20, 2023 between AGC Biologics S.p.A. and Genenta Science S.p.A.</w:t>
              </w:r>
            </w:hyperlink>
          </w:p>
        </w:tc>
        <w:tc>
          <w:tcPr>
            <w:tcW w:w="180" w:type="dxa"/>
            <w:vAlign w:val="bottom"/>
          </w:tcPr>
          <w:p>
            <w:pPr>
              <w:spacing w:after="0"/>
              <w:rPr>
                <w:sz w:val="17"/>
                <w:szCs w:val="17"/>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1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License Agreement between Genenta Science, S.p.A. and Ospedale San Raffaele dated March 23, 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Code of Business Conduct and Ethics of the Registrant</w:t>
              </w:r>
            </w:hyperlink>
          </w:p>
        </w:tc>
        <w:tc>
          <w:tcPr>
            <w:tcW w:w="5200" w:type="dxa"/>
            <w:vAlign w:val="bottom"/>
            <w:tcBorders>
              <w:top w:val="single" w:sz="8" w:color="0000EE"/>
            </w:tcBorders>
            <w:gridSpan w:val="15"/>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(Principal Executive Officer) pursuant to Rule 13a-14(a) of the Securities Exchange Act, as</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amended</w:t>
            </w:r>
          </w:p>
        </w:tc>
        <w:tc>
          <w:tcPr>
            <w:tcW w:w="9480" w:type="dxa"/>
            <w:vAlign w:val="bottom"/>
            <w:gridSpan w:val="2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(Principal Financial Officer) pursuant to Rule 13a-14(a) of the Securities Exchange Act, as</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amended</w:t>
            </w:r>
          </w:p>
        </w:tc>
        <w:tc>
          <w:tcPr>
            <w:tcW w:w="9480" w:type="dxa"/>
            <w:vAlign w:val="bottom"/>
            <w:gridSpan w:val="2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and Chief Financial Officer pursuant to 18 U.S.C. 1350, as adopted pursuant to Section 906 of</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7820" w:type="dxa"/>
            <w:vAlign w:val="bottom"/>
            <w:gridSpan w:val="2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Change in Registrant’s Certifying Accountant</w:t>
              </w:r>
            </w:hyperlink>
          </w:p>
        </w:tc>
        <w:tc>
          <w:tcPr>
            <w:tcW w:w="6840" w:type="dxa"/>
            <w:vAlign w:val="bottom"/>
            <w:gridSpan w:val="21"/>
          </w:tcPr>
          <w:p>
            <w:pPr>
              <w:spacing w:after="0"/>
              <w:rPr>
                <w:sz w:val="17"/>
                <w:szCs w:val="17"/>
                <w:color w:val="auto"/>
              </w:rPr>
            </w:pPr>
          </w:p>
        </w:tc>
      </w:tr>
      <w:tr>
        <w:trPr>
          <w:trHeight w:val="45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ectPr>
          <w:pgSz w:w="11900" w:h="16838" w:orient="portrait"/>
          <w:cols w:equalWidth="0" w:num="1">
            <w:col w:w="11240"/>
          </w:cols>
          <w:pgMar w:left="320" w:top="684" w:right="339" w:bottom="0" w:gutter="0" w:footer="0" w:header="0"/>
        </w:sectPr>
      </w:pPr>
    </w:p>
    <w:bookmarkStart w:id="145" w:name="page146"/>
    <w:bookmarkEnd w:id="145"/>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sz w:val="20"/>
          <w:szCs w:val="20"/>
          <w:color w:val="auto"/>
        </w:rPr>
      </w:pPr>
    </w:p>
    <w:p>
      <w:pPr>
        <w:ind w:left="140" w:hanging="132"/>
        <w:spacing w:after="0"/>
        <w:tabs>
          <w:tab w:leader="none" w:pos="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registration statement on Form F-1 of the Registrant (File No. 333-260923).</w:t>
      </w:r>
    </w:p>
    <w:p>
      <w:pPr>
        <w:spacing w:after="0" w:line="22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the annual report on Form 20-F of the Registrant filed on May 2, 2022.</w:t>
      </w:r>
    </w:p>
    <w:p>
      <w:pPr>
        <w:spacing w:after="0" w:line="225"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6-K of the Registrant filed on October 3, 2022.</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6-K of the Registrant filed on December 15, 2022.</w:t>
      </w:r>
    </w:p>
    <w:p>
      <w:pPr>
        <w:spacing w:after="0" w:line="225" w:lineRule="exact"/>
        <w:rPr>
          <w:rFonts w:ascii="Times New Roman" w:cs="Times New Roman" w:eastAsia="Times New Roman" w:hAnsi="Times New Roman"/>
          <w:sz w:val="18"/>
          <w:szCs w:val="18"/>
          <w:color w:val="auto"/>
        </w:rPr>
      </w:pPr>
    </w:p>
    <w:p>
      <w:pPr>
        <w:ind w:right="3579"/>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the Form 6-K of the Registrant filed on December 22, 2022. ## Incorporated by reference to the Form 6-K of the Registrant filed on February 1, 2023.</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with markouts) have been redacted in accordance with Item 601(b)(10)(iv).</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 Pierluigi Paracchi</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5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 Richard B. Slansky</w:t>
            </w:r>
          </w:p>
        </w:tc>
      </w:tr>
      <w:tr>
        <w:trPr>
          <w:trHeight w:val="194"/>
        </w:trPr>
        <w:tc>
          <w:tcPr>
            <w:tcW w:w="5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Name: Pierluigi Paracchi</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Name: Richard B. Slansky</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w:t>
            </w: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April 21, 2023</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April 21, 2023</w:t>
            </w:r>
          </w:p>
        </w:tc>
      </w:tr>
      <w:tr>
        <w:trPr>
          <w:trHeight w:val="439"/>
        </w:trPr>
        <w:tc>
          <w:tcPr>
            <w:tcW w:w="5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138</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3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80" w:type="dxa"/>
            <w:vAlign w:val="bottom"/>
          </w:tcPr>
          <w:p>
            <w:pPr>
              <w:spacing w:after="0"/>
              <w:rPr>
                <w:sz w:val="20"/>
                <w:szCs w:val="20"/>
                <w:color w:val="auto"/>
              </w:rPr>
            </w:pPr>
          </w:p>
        </w:tc>
      </w:tr>
      <w:tr>
        <w:trPr>
          <w:trHeight w:val="439"/>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528)</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ID:199)</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46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580" w:type="dxa"/>
            <w:vAlign w:val="bottom"/>
            <w:tcBorders>
              <w:top w:val="single" w:sz="8" w:color="CCEEFF"/>
            </w:tcBorders>
            <w:gridSpan w:val="2"/>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Quotaholders’ and Shareholders’ Equity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57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4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0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F-8 – F-32</w:t>
            </w:r>
          </w:p>
        </w:tc>
      </w:tr>
      <w:tr>
        <w:trPr>
          <w:trHeight w:val="439"/>
        </w:trPr>
        <w:tc>
          <w:tcPr>
            <w:tcW w:w="2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Genenta Science S.p.A.: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Genenta Science S.p.A. (“the Company”) as of December 31, 2022, and the related consolidated statements of operations and comprehensive loss, changes in quotaholders’ and shareholders’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2022, and the results of their operations and their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Dannible &amp; McKee,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Syracuse,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Genenta Science S.p.A.: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Genenta Science S.p.A. (the “Company”) as of December 31, 2021, and the related consolidated statements of operations and comprehensive loss, quotaholders’ and shareholders’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2020 to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right="360"/>
        <w:spacing w:after="0" w:line="268" w:lineRule="auto"/>
        <w:rPr>
          <w:sz w:val="20"/>
          <w:szCs w:val="20"/>
          <w:color w:val="auto"/>
        </w:rPr>
      </w:pPr>
      <w:r>
        <w:rPr>
          <w:rFonts w:ascii="Times New Roman" w:cs="Times New Roman" w:eastAsia="Times New Roman" w:hAnsi="Times New Roman"/>
          <w:sz w:val="17"/>
          <w:szCs w:val="17"/>
          <w:color w:val="auto"/>
        </w:rPr>
        <w:t>Finance income (expense) Net exchange rate gain Awards and Subsidies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other income (expense), net</w:t>
      </w:r>
    </w:p>
    <w:p>
      <w:pPr>
        <w:spacing w:after="0" w:line="2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Loss before income taxes Income taxes benefit (expenses)</w:t>
      </w: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per share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Times New Roman" w:cs="Times New Roman" w:eastAsia="Times New Roman" w:hAnsi="Times New Roman"/>
          <w:sz w:val="18"/>
          <w:szCs w:val="18"/>
          <w:b w:val="1"/>
          <w:bCs w:val="1"/>
          <w:i w:val="1"/>
          <w:iCs w:val="1"/>
          <w:color w:val="auto"/>
        </w:rPr>
        <w:t>Genenta Science S.p.A.</w:t>
      </w:r>
    </w:p>
    <w:p>
      <w:pPr>
        <w:spacing w:after="0" w:line="31"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(in Euros)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5,338,962</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3,390,677</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4,688,461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5,705,030</w:t>
            </w:r>
          </w:p>
        </w:tc>
        <w:tc>
          <w:tcPr>
            <w:tcW w:w="260" w:type="dxa"/>
            <w:vAlign w:val="bottom"/>
          </w:tcPr>
          <w:p>
            <w:pPr>
              <w:spacing w:after="0"/>
              <w:rPr>
                <w:sz w:val="20"/>
                <w:szCs w:val="20"/>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2,296,596</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11,043,992</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5,687,273</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(11,043,992)</w:t>
            </w:r>
          </w:p>
        </w:tc>
        <w:tc>
          <w:tcPr>
            <w:tcW w:w="260" w:type="dxa"/>
            <w:vAlign w:val="bottom"/>
          </w:tcPr>
          <w:p>
            <w:pPr>
              <w:spacing w:after="0"/>
              <w:rPr>
                <w:sz w:val="24"/>
                <w:szCs w:val="24"/>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(5,687,273)</w:t>
            </w:r>
          </w:p>
        </w:tc>
        <w:tc>
          <w:tcPr>
            <w:tcW w:w="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(5,590,226)</w:t>
            </w:r>
          </w:p>
        </w:tc>
        <w:tc>
          <w:tcPr>
            <w:tcW w:w="0" w:type="dxa"/>
            <w:vAlign w:val="bottom"/>
          </w:tcPr>
          <w:p>
            <w:pPr>
              <w:spacing w:after="0"/>
              <w:rPr>
                <w:sz w:val="1"/>
                <w:szCs w:val="1"/>
                <w:color w:val="auto"/>
              </w:rPr>
            </w:pPr>
          </w:p>
        </w:tc>
      </w:tr>
      <w:tr>
        <w:trPr>
          <w:trHeight w:val="630"/>
        </w:trPr>
        <w:tc>
          <w:tcPr>
            <w:tcW w:w="380" w:type="dxa"/>
            <w:vAlign w:val="bottom"/>
          </w:tcPr>
          <w:p>
            <w:pPr>
              <w:spacing w:after="0"/>
              <w:rPr>
                <w:sz w:val="24"/>
                <w:szCs w:val="24"/>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242,554</w:t>
            </w:r>
          </w:p>
        </w:tc>
        <w:tc>
          <w:tcPr>
            <w:tcW w:w="260" w:type="dxa"/>
            <w:vAlign w:val="bottom"/>
          </w:tcPr>
          <w:p>
            <w:pPr>
              <w:spacing w:after="0"/>
              <w:rPr>
                <w:sz w:val="24"/>
                <w:szCs w:val="24"/>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19,657</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36,985</w:t>
            </w:r>
          </w:p>
        </w:tc>
        <w:tc>
          <w:tcPr>
            <w:tcW w:w="26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(11,716)</w:t>
            </w: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2,286,690</w:t>
            </w:r>
          </w:p>
        </w:tc>
        <w:tc>
          <w:tcPr>
            <w:tcW w:w="26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150,000</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2,566,229</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157,941</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80" w:type="dxa"/>
            <w:vAlign w:val="bottom"/>
          </w:tcPr>
          <w:p>
            <w:pPr>
              <w:spacing w:after="0"/>
              <w:rPr>
                <w:sz w:val="24"/>
                <w:szCs w:val="24"/>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(8,477,763)</w:t>
            </w:r>
          </w:p>
        </w:tc>
        <w:tc>
          <w:tcPr>
            <w:tcW w:w="260" w:type="dxa"/>
            <w:vAlign w:val="bottom"/>
          </w:tcPr>
          <w:p>
            <w:pPr>
              <w:spacing w:after="0"/>
              <w:rPr>
                <w:sz w:val="24"/>
                <w:szCs w:val="24"/>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(5,529,332)</w:t>
            </w:r>
          </w:p>
        </w:tc>
        <w:tc>
          <w:tcPr>
            <w:tcW w:w="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(5,592,014)</w:t>
            </w: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(8,477,763</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(5,529,332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(5,592,014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(8,477,763)</w:t>
            </w:r>
          </w:p>
        </w:tc>
        <w:tc>
          <w:tcPr>
            <w:tcW w:w="260" w:type="dxa"/>
            <w:vAlign w:val="bottom"/>
          </w:tcPr>
          <w:p>
            <w:pPr>
              <w:spacing w:after="0"/>
              <w:rPr>
                <w:sz w:val="24"/>
                <w:szCs w:val="24"/>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(5,529,332)</w:t>
            </w:r>
          </w:p>
        </w:tc>
        <w:tc>
          <w:tcPr>
            <w:tcW w:w="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(5,592,014)</w:t>
            </w:r>
          </w:p>
        </w:tc>
        <w:tc>
          <w:tcPr>
            <w:tcW w:w="0" w:type="dxa"/>
            <w:vAlign w:val="bottom"/>
          </w:tcPr>
          <w:p>
            <w:pPr>
              <w:spacing w:after="0"/>
              <w:rPr>
                <w:sz w:val="1"/>
                <w:szCs w:val="1"/>
                <w:color w:val="auto"/>
              </w:rPr>
            </w:pPr>
          </w:p>
        </w:tc>
      </w:tr>
      <w:tr>
        <w:trPr>
          <w:trHeight w:val="67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(8,477,763)</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(5,529,332)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-3162300</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-2887980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-2579370</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-2296795</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-2022475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-1748155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-1456690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-1156335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-864870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-565150</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-290830</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720"/>
            <w:col w:w="8100"/>
          </w:cols>
          <w:pgMar w:left="320" w:top="657"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54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(0.47)</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18,216,858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15,083,825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9"/>
              </w:rPr>
              <w:t>(in Euros)</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29,794,856</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37,240,162</w:t>
            </w:r>
          </w:p>
        </w:tc>
      </w:tr>
      <w:tr>
        <w:trPr>
          <w:trHeight w:val="23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1,926,512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1,519,023</w:t>
            </w: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current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31,721,368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38,759,185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111,639</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23,090</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1,601,503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1,241,215</w:t>
            </w:r>
          </w:p>
        </w:tc>
      </w:tr>
      <w:tr>
        <w:trPr>
          <w:trHeight w:val="249"/>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 - related party</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non-current assets</w:t>
            </w:r>
          </w:p>
        </w:tc>
        <w:tc>
          <w:tcPr>
            <w:tcW w:w="1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1,716,492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1,267,655</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33,437,860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40,026,840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quotaholders’ and shareholders’ equity</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1,042,054</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164,819</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151,988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25,047</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202,389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712,313</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489,207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132,141</w:t>
            </w:r>
          </w:p>
        </w:tc>
      </w:tr>
      <w:tr>
        <w:trPr>
          <w:trHeight w:val="25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297,875</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100,719</w:t>
            </w: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1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2,183,513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1,135,039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88,963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30,618</w:t>
            </w: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long-term liabilities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no par value, 59,700,000 shares authorized and 18,216,858 shares issued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66,603,725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65,880,990</w:t>
            </w:r>
          </w:p>
        </w:tc>
      </w:tr>
      <w:tr>
        <w:trPr>
          <w:trHeight w:val="25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(35,465,559)</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(27,019,807)</w:t>
            </w:r>
          </w:p>
        </w:tc>
      </w:tr>
      <w:tr>
        <w:trPr>
          <w:trHeight w:val="210"/>
        </w:trPr>
        <w:tc>
          <w:tcPr>
            <w:tcW w:w="68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quotaholders’ and shareholders’ equity</w:t>
            </w:r>
          </w:p>
        </w:tc>
        <w:tc>
          <w:tcPr>
            <w:tcW w:w="1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31,138,166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38,861,183</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quotaholders’ and shareholders’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33,437,860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40,026,840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Additional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Ordinary</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7"/>
              </w:rPr>
              <w:t>paid-in</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Ordinary</w:t>
            </w:r>
          </w:p>
        </w:tc>
        <w:tc>
          <w:tcPr>
            <w:tcW w:w="1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capital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capital</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no par</w:t>
            </w:r>
          </w:p>
        </w:tc>
        <w:tc>
          <w:tcPr>
            <w:tcW w:w="13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deficit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36"/>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34,713,225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18,850,813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Capital increase, net of issuance costs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1,431,309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1,432,316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460,194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460,194</w:t>
            </w:r>
          </w:p>
        </w:tc>
        <w:tc>
          <w:tcPr>
            <w:tcW w:w="80" w:type="dxa"/>
            <w:vAlign w:val="bottom"/>
            <w:shd w:val="clear" w:color="auto" w:fill="CCEEFF"/>
          </w:tcPr>
          <w:p>
            <w:pPr>
              <w:spacing w:after="0"/>
              <w:rPr>
                <w:sz w:val="18"/>
                <w:szCs w:val="18"/>
                <w:color w:val="auto"/>
              </w:rPr>
            </w:pP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(5,592,014)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(5,592,014)</w:t>
            </w:r>
          </w:p>
        </w:tc>
      </w:tr>
      <w:tr>
        <w:trPr>
          <w:trHeight w:val="236"/>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36,604,728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(21,490,475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1"/>
        </w:trPr>
        <w:tc>
          <w:tcPr>
            <w:tcW w:w="36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Capital increase from exercise of options 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Quota B</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497,104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497,104</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Quota B repurchased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capital adjustment from Srl to SpA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11,279,700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37,599</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related to SpA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(12,401)</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3,720,300</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12,401</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adjustment from Srl to SpA</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(37,089,431)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37,089,431</w:t>
            </w:r>
          </w:p>
        </w:tc>
        <w:tc>
          <w:tcPr>
            <w:tcW w:w="13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from IPO, net of issuance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3,216,858</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28,741,559</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28,741,559</w:t>
            </w:r>
          </w:p>
        </w:tc>
        <w:tc>
          <w:tcPr>
            <w:tcW w:w="80" w:type="dxa"/>
            <w:vAlign w:val="bottom"/>
          </w:tcPr>
          <w:p>
            <w:pPr>
              <w:spacing w:after="0"/>
              <w:rPr>
                <w:sz w:val="18"/>
                <w:szCs w:val="18"/>
                <w:color w:val="auto"/>
              </w:rPr>
            </w:pPr>
          </w:p>
        </w:tc>
      </w:tr>
      <w:tr>
        <w:trPr>
          <w:trHeight w:val="25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(5,529,332)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(5,529,332)</w:t>
            </w:r>
          </w:p>
        </w:tc>
      </w:tr>
      <w:tr>
        <w:trPr>
          <w:trHeight w:val="210"/>
        </w:trPr>
        <w:tc>
          <w:tcPr>
            <w:tcW w:w="36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18,216,858</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65,880,990</w:t>
            </w:r>
          </w:p>
        </w:tc>
        <w:tc>
          <w:tcPr>
            <w:tcW w:w="3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(27,019,807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38,861,183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32,011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32,011</w:t>
            </w: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(8,477,763)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(8,477,763)</w:t>
            </w: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18,216,858</w:t>
            </w: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66,603,725</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7"/>
              </w:rPr>
              <w:t>€ (35,465,559)</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31,138,166</w:t>
            </w:r>
          </w:p>
        </w:tc>
        <w:tc>
          <w:tcPr>
            <w:tcW w:w="80" w:type="dxa"/>
            <w:vAlign w:val="bottom"/>
          </w:tcPr>
          <w:p>
            <w:pPr>
              <w:spacing w:after="0"/>
              <w:rPr>
                <w:sz w:val="21"/>
                <w:szCs w:val="2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color w:val="auto"/>
              </w:rPr>
              <w:t>(in Euros)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(8,477,763)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(5,529,332)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(5,592,014)</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32,011</w:t>
            </w:r>
          </w:p>
        </w:tc>
        <w:tc>
          <w:tcPr>
            <w:tcW w:w="120" w:type="dxa"/>
            <w:vAlign w:val="bottom"/>
          </w:tcPr>
          <w:p>
            <w:pPr>
              <w:spacing w:after="0"/>
              <w:rPr>
                <w:sz w:val="18"/>
                <w:szCs w:val="18"/>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58,344</w:t>
            </w:r>
          </w:p>
        </w:tc>
        <w:tc>
          <w:tcPr>
            <w:tcW w:w="120" w:type="dxa"/>
            <w:vAlign w:val="bottom"/>
          </w:tcPr>
          <w:p>
            <w:pPr>
              <w:spacing w:after="0"/>
              <w:rPr>
                <w:sz w:val="18"/>
                <w:szCs w:val="18"/>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13,231</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6,056</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722,735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497,104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460,194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(407,489)</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(450,090)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(454,082)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18"/>
                <w:szCs w:val="18"/>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(427,906)</w:t>
            </w:r>
          </w:p>
        </w:tc>
        <w:tc>
          <w:tcPr>
            <w:tcW w:w="120" w:type="dxa"/>
            <w:vAlign w:val="bottom"/>
          </w:tcPr>
          <w:p>
            <w:pPr>
              <w:spacing w:after="0"/>
              <w:rPr>
                <w:sz w:val="18"/>
                <w:szCs w:val="18"/>
                <w:color w:val="auto"/>
              </w:rPr>
            </w:pP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(295,597)</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(200,287)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877,235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(380,169)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265,289</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126,941</w:t>
            </w:r>
          </w:p>
        </w:tc>
        <w:tc>
          <w:tcPr>
            <w:tcW w:w="120" w:type="dxa"/>
            <w:vAlign w:val="bottom"/>
          </w:tcPr>
          <w:p>
            <w:pPr>
              <w:spacing w:after="0"/>
              <w:rPr>
                <w:sz w:val="18"/>
                <w:szCs w:val="18"/>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15,020</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(282,714)</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(509,924)</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346,344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38,263</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357,066</w:t>
            </w:r>
          </w:p>
        </w:tc>
        <w:tc>
          <w:tcPr>
            <w:tcW w:w="120" w:type="dxa"/>
            <w:vAlign w:val="bottom"/>
          </w:tcPr>
          <w:p>
            <w:pPr>
              <w:spacing w:after="0"/>
              <w:rPr>
                <w:sz w:val="18"/>
                <w:szCs w:val="18"/>
                <w:color w:val="auto"/>
              </w:rPr>
            </w:pP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(1,227,050)</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(292,429)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197,156</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47,476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5,243</w:t>
            </w:r>
          </w:p>
        </w:tc>
      </w:tr>
      <w:tr>
        <w:trPr>
          <w:trHeight w:val="237"/>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20"/>
                <w:szCs w:val="20"/>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20"/>
                <w:szCs w:val="20"/>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(7,418,236</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(6,958,174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(27,070)</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(9,009)</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r>
      <w:tr>
        <w:trPr>
          <w:trHeight w:val="210"/>
        </w:trPr>
        <w:tc>
          <w:tcPr>
            <w:tcW w:w="5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(27,070</w:t>
            </w:r>
          </w:p>
        </w:tc>
        <w:tc>
          <w:tcPr>
            <w:tcW w:w="360" w:type="dxa"/>
            <w:vAlign w:val="bottom"/>
            <w:tcBorders>
              <w:top w:val="single" w:sz="8" w:color="CCEEFF"/>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(9,009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(20,871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IPO</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28,741,559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capital increase</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1,500,436</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offering costs</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28,742,102</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1,389,316</w:t>
            </w: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(7,445,306)</w:t>
            </w: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21,774,919</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(4,676,136)</w:t>
            </w:r>
          </w:p>
        </w:tc>
        <w:tc>
          <w:tcPr>
            <w:tcW w:w="100" w:type="dxa"/>
            <w:vAlign w:val="bottom"/>
            <w:tcBorders>
              <w:top w:val="single" w:sz="8" w:color="CCEEFF"/>
            </w:tcBorders>
          </w:tcPr>
          <w:p>
            <w:pPr>
              <w:spacing w:after="0"/>
              <w:rPr>
                <w:sz w:val="17"/>
                <w:szCs w:val="17"/>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37,240,162</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15,465,243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20,141,379</w:t>
            </w:r>
          </w:p>
        </w:tc>
      </w:tr>
      <w:tr>
        <w:trPr>
          <w:trHeight w:val="210"/>
        </w:trPr>
        <w:tc>
          <w:tcPr>
            <w:tcW w:w="5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29,794,856</w:t>
            </w: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37,240,162</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15,465,243</w:t>
            </w:r>
          </w:p>
        </w:tc>
        <w:tc>
          <w:tcPr>
            <w:tcW w:w="100" w:type="dxa"/>
            <w:vAlign w:val="bottom"/>
            <w:tcBorders>
              <w:top w:val="single" w:sz="8" w:color="CCEEFF"/>
              <w:bottom w:val="single" w:sz="8" w:color="CCEEFF"/>
            </w:tcBorders>
          </w:tcPr>
          <w:p>
            <w:pPr>
              <w:spacing w:after="0"/>
              <w:rPr>
                <w:sz w:val="18"/>
                <w:szCs w:val="18"/>
                <w:color w:val="auto"/>
              </w:rPr>
            </w:pPr>
          </w:p>
        </w:tc>
      </w:tr>
      <w:tr>
        <w:trPr>
          <w:trHeight w:val="180"/>
        </w:trPr>
        <w:tc>
          <w:tcPr>
            <w:tcW w:w="5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 accrued IPO offering costs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170,825</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54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Non-cash financing activities: deferred offering costs accrued at</w:t>
            </w:r>
          </w:p>
        </w:tc>
        <w:tc>
          <w:tcPr>
            <w:tcW w:w="3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113,733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80" w:hanging="172"/>
        <w:spacing w:after="0"/>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business and history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Genenta Science S.p.A. (the “Company” or “Genenta” –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in Milan, Italy by San Raffaele Hospital (“OSR”), Pierluigi Paracchi, Luigi Naldini and Bernhard Gentner, and was incorporated in July 2014. On May 20, 2021, the quotaholders (owners of the Company) resolved that the Company convert from an S.r.l. to an S.p.A. and determined that the outstanding quota be converted to 15 million common shares at no par value. (See Note 10. Quotaholder’s and shareholder’s equity.) New Bylaws were adopted and a new Board of Directors and Board of Statutory Advisors were appointed. The registered office remained located in Milan, Italy. The Company’s reporting currency is Euros (“EUR”). In May 2021, the Company formed a wholly owned, Delaware incorporated subsidiary, Genenta Science, Inc., intended for future operations in the United States (“US Subsidiary”). The US Subsidiary operates in US Dollars (“USD”).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17, 2021, the Company completed an initial public offering (“IPO”) of its shares. The shares began trading on the Nasdaq Stock Capital Market on December 15, 2021. Through the IPO, 3,120,114 new ordinary shares with no par value were issued. 720,114 ordinary shares were subscribed by the Company’s existing shareholders through a Reserved Offering, while 2,400,000 American Depository Shares (“ADS”) were directly placed on the market. Subsequently, on December 27, 2021, the Company’s underwriter exercised a portion of its “green shoe” allotment for an additional 96,744 ADS. The total number of shares outstanding resulting at December 31, 2021 was 18,216,858. Through the IPO, approximately €29 million was raised net of listing costs (approximately €3.9 million).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Genenta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clinical trial in the United States to study Temferon™ in other cancers, possibly liver cancer.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losses since its inception, including a net loss of €8.5 million, €5.5 million and €5.6 million for the years ended December 31, 2022, December 31, 2021, and December 31, 2020, respectively. In addition, as of December 31, 2022, the Company had an accumulated deficit of €35.5 million. The Company has primarily funded these losses through the proceeds from sales of convertible debt and equity quotas, prior to the Company’s conversion into an S.p.A. and its IPO. Although the Company has incurred recurring losses and expects to continue to incur losses for the foreseeable future, the Company expects that its existing cash and cash equivalents on hand as of December 31, 2022 of €29.8 million will be sufficient to fund current planned operations and capital expenditure requirements for at least the next twelve months from the filing date of these consolidated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5" w:name="page156"/>
    <w:bookmarkEnd w:id="1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remain uncertain. The Company has not experienced significant interruptions related to COVID-19 or its variants. The Company may find it difficult to enroll patients in its clinical trials, which could delay or prevent the Company from proceeding with clinical trials of its product candidates. The Company continues to closely monitor this evolving situation and the potential impact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To increase financial resources profitability, the Company invests available USD cash in short-term time deposits. Starting from beginning 2023, the Company invested available Euro cash in Italian bunds maturity 12 months. Cash investments are held by reputable banks that have a credit rating of at least A-. A minority of the Company’s cash and cash equivalents is held in deposits that bear a small amount of interest. Given the current rates of interest the Company receives, the Company will be adversely affected if such rates are reduced. The Company’s market risk exposure is primarily a result of foreign currency exchange rates, which is discussed in detail in the following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and cash flow may be subject to fluctuations due to changes in foreign currency exchange rates. At December 31, 2022 approximately half of the Company’s liquid assets and expenses are denominated in EUR and approximately half are denominated in USD. Changes in the USD/EUR exchange rate could increase/decrease our operating expenses, especially as more costs are incurred in the United States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the Company does not hedge its foreign currency exchange risk. In the future, the Company may enter into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accounting principles generally accepted in the United States of America (“U.S. GAAP”) for consolidated financial information and with the instructions to Form 20-F and Article 10 of Regulation S-X promulgated by the Securities and Exchange Commission (“SEC”).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which amounts may at times exceed federally insured limits. The Company has not experienced any losses on such accounts and does not believe it is exposed to any significant credit risk.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86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3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 Euros)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20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29,790,838</w:t>
            </w:r>
          </w:p>
        </w:tc>
        <w:tc>
          <w:tcPr>
            <w:tcW w:w="240" w:type="dxa"/>
            <w:vAlign w:val="bottom"/>
          </w:tcPr>
          <w:p>
            <w:pPr>
              <w:spacing w:after="0"/>
              <w:rPr>
                <w:sz w:val="18"/>
                <w:szCs w:val="18"/>
                <w:color w:val="auto"/>
              </w:rPr>
            </w:pPr>
          </w:p>
        </w:tc>
        <w:tc>
          <w:tcPr>
            <w:tcW w:w="5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37,236,089</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hand &amp; prepaid cards</w:t>
            </w:r>
          </w:p>
        </w:tc>
        <w:tc>
          <w:tcPr>
            <w:tcW w:w="1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29,794,856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37,240,162</w:t>
            </w:r>
          </w:p>
        </w:tc>
        <w:tc>
          <w:tcPr>
            <w:tcW w:w="8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comprehensive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ASC 220 Comprehensive Income requires that an entity records all components of comprehensive (loss) income, net of their related tax effects, in its financial statements in the period in which they are recognized. For the years ended December 31, 2022, 2021 and 2020, the comprehensive loss was equal to net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prior year financial statements because the Company determined it is not a meaningful or material disclosure due to the Company’s capital structure at the time. Net loss per share has not been presented at December 31, 2020, since the Company was an S.r.l. at the time, and maintained classes of quota (similar to membership interests in a limited liability company in the United States) rather than shares, which it now has post-conversion to an S.p.A., (similar to a C-corporation in the United States). The quotas represented percentage ownership in the Company and not actual shares. The Company did not believe that representing net loss per quota was a meaningful measurement.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7" w:name="page158"/>
    <w:bookmarkEnd w:id="15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EPS calculation was applied, after the increase in capital to €50,000 required to be an S.p.A. by Italian law. The Company’s shareholders authorized 59.7 million ordinary common shares. The Company has 18,216,858 common shares issued and outstanding at December 31, 2022 with 2.7 million common shares reserved for the Company’s Equity Incentive Plan 2021–2025. At December 31, 2022 the Company has 237,129 outstanding options and 23,502 common share equivalents, in the form of underwriters’ common share warrants. Diluted EPS was not relevant at December 31, 2022 as the effect of stock option and underwriters’ warrants.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Diluted EPS was not relevant at December 31, 2022 and 2021, as the effect of common share equivalents, in the form of 237,129 stock options and of 23,502 underwriters’ common share warrants, would have been anti-dilutive. (See Note 12. Quotaholders’ and shareholders’ equity and Note 13. Share-based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For financial reporting purposes, the assets and liabilities of the US Subsidiary are translated into EUR using exchange rates in effect at the balance sheet date. The net loss of the US Subsidiary is translated into EUR using average exchange rates in effect during the reporting period. The resulting currency translation impact is recorded in Shareholders’ equity as a cumulative translation adjustment. For 2022, the currency translation impact was approximately €59,000. During the period ended December 31, 2022 foreign exchange gains and losses were significant due to the fluctuation of the USD/EUR exchange rate.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exchange gain was approximately €2.3 million for the year ended December 31, 2022 and was related mainly to: i) approximately €1.6 million in net exchange rate gains realized on the conversion of $12.0 million of IPO proceeds obtained in December 2021 to Euros; ii) approximately €0.4 million in net exchange rate gain realized on US$ trade payables; iii) approximately €0.3 million in exchange loss unrealized on US$ time deposits; and, iv) approximately €0.7 million in unrealized exchange gain on US$ bank deposits.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ended December 31, 2021, foreign exchange gains and losses were a loss of €6,707, net, which was considered immaterial. The amount was low compared to 2022, mainly due to maintaining our cash and cash equivalents in Euros in 2021 with minimal activity in our US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480" w:hanging="148"/>
        <w:spacing w:after="0"/>
        <w:tabs>
          <w:tab w:leader="none" w:pos="4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4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2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8" w:name="page159"/>
    <w:bookmarkEnd w:id="15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research and development tax credits, VAT credits, accounts payable, accrued expenses and other current liabilities were evaluated and determined to approximate their fair values due to the short-term nature of these assets and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29,794,856</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29,794,856</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financial assets</w:t>
            </w:r>
          </w:p>
        </w:tc>
        <w:tc>
          <w:tcPr>
            <w:tcW w:w="11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29,794,856</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29,794,856</w:t>
            </w:r>
          </w:p>
        </w:tc>
        <w:tc>
          <w:tcPr>
            <w:tcW w:w="34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20"/>
                <w:szCs w:val="20"/>
                <w:color w:val="auto"/>
              </w:rPr>
            </w:pPr>
          </w:p>
        </w:tc>
      </w:tr>
      <w:tr>
        <w:trPr>
          <w:trHeight w:val="216"/>
        </w:trPr>
        <w:tc>
          <w:tcPr>
            <w:tcW w:w="3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37,240,162</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37,240,162</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financial assets</w:t>
            </w:r>
          </w:p>
        </w:tc>
        <w:tc>
          <w:tcPr>
            <w:tcW w:w="11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37,240,162</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37,240,162</w:t>
            </w:r>
          </w:p>
        </w:tc>
        <w:tc>
          <w:tcPr>
            <w:tcW w:w="340" w:type="dxa"/>
            <w:vAlign w:val="bottom"/>
            <w:tcBorders>
              <w:top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 on investments in research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line with the legislation in force at December 31, 2022,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was equal to 20% in FY 2022 and FY 2021 of the eligible costs incurred, with a maximum annual amount of €4.0 million in FY 2022 and FY 2021.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eligible activities consist of fundamental research, industrial research, and experimental development as defined respectively of the letters m),</w:t>
      </w:r>
    </w:p>
    <w:p>
      <w:pPr>
        <w:spacing w:after="0" w:line="27" w:lineRule="exact"/>
        <w:rPr>
          <w:sz w:val="20"/>
          <w:szCs w:val="20"/>
          <w:color w:val="auto"/>
        </w:rPr>
      </w:pPr>
    </w:p>
    <w:p>
      <w:pPr>
        <w:ind w:right="4320" w:firstLine="8"/>
        <w:spacing w:after="0" w:line="490" w:lineRule="auto"/>
        <w:tabs>
          <w:tab w:leader="none" w:pos="1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j) of point 15, par. 1.3 of the Communication no. 198/2014 of the European Commission. To determine the cost basis of the benefit, the following expenses are eligible:</w:t>
      </w:r>
    </w:p>
    <w:p>
      <w:pPr>
        <w:ind w:left="480" w:hanging="148"/>
        <w:spacing w:after="0"/>
        <w:tabs>
          <w:tab w:leader="none" w:pos="4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w:t>
      </w:r>
    </w:p>
    <w:p>
      <w:pPr>
        <w:spacing w:after="0" w:line="225" w:lineRule="exact"/>
        <w:rPr>
          <w:rFonts w:ascii="Times New Roman" w:cs="Times New Roman" w:eastAsia="Times New Roman" w:hAnsi="Times New Roman"/>
          <w:sz w:val="18"/>
          <w:szCs w:val="18"/>
          <w:color w:val="auto"/>
        </w:rPr>
      </w:pPr>
    </w:p>
    <w:p>
      <w:pPr>
        <w:ind w:left="340" w:right="20" w:hanging="8"/>
        <w:spacing w:after="0" w:line="282" w:lineRule="auto"/>
        <w:tabs>
          <w:tab w:leader="none" w:pos="50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charges, costs of the financial or simple lease and other expenses related to movable tangible assets and software used in research and development projects;</w:t>
      </w:r>
    </w:p>
    <w:p>
      <w:pPr>
        <w:spacing w:after="0" w:line="16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extra-euro research contracts concerning the direct execution of eligible research and development activities by the provider;</w:t>
      </w:r>
    </w:p>
    <w:p>
      <w:pPr>
        <w:spacing w:after="0" w:line="225"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charges;</w:t>
      </w:r>
    </w:p>
    <w:p>
      <w:pPr>
        <w:spacing w:after="0" w:line="225"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consulting services and equivalent services related to eligible research and development activities; and,</w:t>
      </w:r>
    </w:p>
    <w:p>
      <w:pPr>
        <w:spacing w:after="0" w:line="225"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materials, supplies, and other similar products used in research and development projects.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by analogy, accounts for this receivable in accordance with International Accounting Standards (IAS)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Grants and Disclosure of Government Assistance</w:t>
      </w:r>
      <w:r>
        <w:rPr>
          <w:rFonts w:ascii="Times New Roman" w:cs="Times New Roman" w:eastAsia="Times New Roman" w:hAnsi="Times New Roman"/>
          <w:sz w:val="18"/>
          <w:szCs w:val="18"/>
          <w:color w:val="auto"/>
        </w:rPr>
        <w:t>. The receivable is recognized when there is reasonable assurance that: (1) the recipient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May 2021, the Company’s quotaholders adopted the Company’s “Equity Incentive Plan 2021–2025” (“the Plan”); however, through December 31, 2021, no options or awards were granted and there were no outstanding options or awards. (See Note 13. Share-based compensation.)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2022, the Company’s Board of Directors, as administrator of the Plan, awarded nonqualified stock options (“NSOs”) on 147,783 shares to its (former) Chairman according to the terms of a Sub-Plan called “2021-2025 Chairman Sub-Plan” (the “Sub-Plan”) attached to the Plan. (See Note 13. Share-based compensation.)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21, 2022, the Company’s Board of Directors, as administrator of the Plan, awarded nonqualified stock options (“NSOs”) on 392,740 shares to certain of the Company’s directors and employees. (See Note 13. Share-based compensation.)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Company has authorized options on 1,821,685 ordinary shares (i.e., 10% of the number of shares outstanding, which are currently 18,216,858 ordinary shares outstanding); however, at the quotaholders’ meeting held on May 20, 2021, the quotaholders approved an increase to the Plan of up to a maximum of options on 2,700,000 ordinary shares. Therefore, as the Company raises additional capital, the Board of Directors has authority to issue options on upto 2,700,000 ordinary shares, as the number of issued and outstanding ordinary shares increases, i.e., the Company does not have to obtain further authorization from shareholders to increase the number of ordinary shares available for equity grants until the outstanding ordinary shares exceed 27,000,000. The number of options granted at December 31, 2022 were 540,523 and the number of options available for grant were 1,281,162.</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measures its stock option awards granted to employees, officers, directors, and consultants in accordance with FASB ASC 718 Compensation – Stock Compensation under the Plan based on their fair value utilizing the Black-Scholes option pricing model and recognizes compensation expense for those awards over the requisite service period, which is normally the vesting period of the respective award. The fair value of the stock options is determined on the grant date and is affected by our stock price and other assumptions regarding a number of complex and subjective variables. These variables include our expected stock price volatility over the term of the awards, risk free interest rates, expected dividends, and the expected option exercise term. Forfeitures are accounted for as they occur.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chose The Black-Scholes-Merton model because it is considered easier to apply and also it is a defined equation and incorporates only one set of inputs. As a result, it is the model most commonly in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agreed to issue warrants to the underwriters of the IPO (“Warrants”) to purchase 23,502 ADSs. The Warrants are exercisable at a per share exercise price of $14.375 per ADS. The Warrants are exercisable at any time and from time to time, in whole or in part, during the four and one-half-year period commencing June 13, 2022.</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Warrants will provide for adjustment in the number and price of the Warrants and the ADSs underlying such Warrants in the event of recapitalization, merger, stock split or other structural transaction, or a future financing undertaken by the Company. The Warrants were evaluated under applicable guidance and accordingly classified as equity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right of use (ROU)</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which resulted in the creation of Topic 842 (“ASC 842” or the “Standard”) which superseded the existing Leases guidance (“ASC 840”). Among the changes in the accounting standard is, most notably, that under ASC 842 most leases will be recognized on the balance sheet of the lessee.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Public companies were required to adopt ASC 842 for reporting periods beginning after December 15, 2018; however, as an emerging growth company (“EGC”), Genenta was not required to comply with new or revised accounting standards as of the effective dates for public business entities (“PBEs”) and was able to elect to take advantage of the extended transition provisions by using non-PBE (or private-company) adoption dates. Since Genenta is an EGC rather than a PBE, it falls under the “all other entities” category in the guidance, which states that ASC 842 is effective for all other entities for annual periods beginning after December 15, 2021, and interim periods within annual periods beginning after December 15, 2022. That being the case, the Company adopted the ASC 842 to account for the automobile lease agreement entered into in February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0" w:name="page161"/>
    <w:bookmarkEnd w:id="16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state by ASC 842-10-25-2, a lessee shall classify a lease as a finance lease when the lease meets any of the provided criteria at lease commencement.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concludes that the present value of the sum of the lease payments and any residual value guaranteed by the lessee that is not already reflected in the lease payments in accordance with paragraph 842-10-30-5(f) exceeds substantially all of the fair value of the underlying asset. As consequence, the lease is identified as a finance lease.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commencement date, the Company measured the lease liability at the present value of the lease payments not yet paid, discounted using the discount rate for the lease at lease commencement.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present value of the right-of-use asset at the commencement date included the following:</w:t>
      </w:r>
    </w:p>
    <w:p>
      <w:pPr>
        <w:spacing w:after="0" w:line="225"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initial measurement of the lease liability while there were: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lease payments made to the lessor at or before the commencement date, and no lease incentives received;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initial direct costs incurred by the lessee.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lease components were accounted for separately from the lease.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commencement date for a finance lease, the Company measures both of the following:</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liability by increasing the carrying amount to reflect interest on the lease liability and reducing the carrying amount to reflect the lease payments made during the period. The interest on the lease liability are determined in each period during the lease term as the amount that produces a constant periodic discount rate on the remaining balance of the liability, taking into consideration the reassessment requirements in paragraphs 842-10-35-1 through 35-5;</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right-of-use asset at cost less any accumulated amortization and any accumulated impairment losses, taking into consideration the reassessment requirements in paragraphs 842-10-35-1 through 35-5. At December 31, 2022 there were no reassessment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commencement date, the Company recognizes in the consolidated statements of operations and comprehensive loss: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amortization of the right-of-use asset and interest on the lease liability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any impairment of the right-of-use asset determined in accordance with paragraph 842-20-35-9 if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80"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&amp; furniture: 15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office equipment: 10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related implementation costs: 3 years;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December 31,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public offering costs, which primarily consist of direct, incremental legal and accounting fees relating to fundraising activities (e.g., an IPO), were capitalized within prepaid expenses and other current assets prior to the IPO and netted or offset with the IPO proceeds upon closing of the IPO.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€3.9 million in qualifying offering costs that have been recorded as an offset to IPO proceeds at December 31, 2021, approximately 156,000 of these costs were recognized as deferred offering costs at December 31,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2022, the Company did not incur offering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69"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2012, the Jump-Start Our Business Startups Act (the “JOBS Act”) was signed into law. The JOBS Act contains provisions that, among other things, reduce certain reporting requirements for an emerging growth company. As an emerging growth company, the Company may elect to adopt new or revised accounting standards when they become effective for non-public companies, which typically is later than when public companies must adopt the standards. The Company has elected to take advantage of the extended transition period afforded by the JOBS Act and, as a result, unless the Company elects early adoption of any standards, will adopt the new or revised accounting standards on the relevant dates on which adoption of such standards is required for non-public companies.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aim of ASU 2021-10 is to increase the transparency of government assistance including the disclosure of (1) the types of assistance, (2) an entity’s accounting for the assistance, and (3) the effect of the assistance on an entity’s financial statements. Diversity currently exists in the recognition, measurement, presentation, and disclosure of government assistance received by business entities because of the lack of specific authoritative guidance in GAAP. The ASU will be effective for annual reporting periods after December 15, 2021, and early adoption is permitted. Upon implementation, the Company may use either a prospective or retrospective method of adoption when adopting the ASU. The Company is evaluating the impact of adopting the new ASU.</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This ASU amends the guidance on convertible instruments and the derivatives scope exception for contracts in an entity’s own equity and improves and amends the related EPS guidance for both Subtopics. The ASU will be effective for annual reporting periods after December 15, 2023 and interim periods within those annual periods and early adoption is permitted in fiscal periods ending after December 15, 2020. Upon implementation, the Company may use either a modified retrospective or full retrospective method of adoption. The Company is evaluating the impact of adopting the new ASU.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Research and development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annually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General and administrative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taxation in Italy, and with the addition of the Company’s wholly owned subsidiary in the United States, the Company is subject to taxation in the United States. Taxation in Italy includes the standard corporate income tax (“IRES”) and a regional business tax (“IRAP”). Taxation in the United States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 For the period ending December 31, 2022, due to the tax loss position reported, no income taxes were due in Italy, while in the United States, the subsidiary had a taxable profit and income taxes due and settled by the utilization of net operating losses carried forward from the period ended December 31, 2021. In addition the subsidiary in the United States had an immaterial amount of other state taxes.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69"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18"/>
          <w:szCs w:val="18"/>
          <w:color w:val="auto"/>
        </w:rPr>
        <w:t>For the period ending December 31, 2021, no income taxes were due in Italy or in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each reporting date, the Company considers existing evidence, both positive and negative, that could impact its view with regards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83"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8"/>
          <w:szCs w:val="18"/>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For the Italian Company the prior five years of tax returns (2018-2022) are potentially subject to audit, for the Subsidiary in the United States the open years for tax examination are 2021 and 2022.</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A reconciliation of the Company’s effective tax rate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(in Euros)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Italy statutory rate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(2,034,663)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(1,296,797)</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(1,342,083)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(160,133)</w:t>
            </w:r>
          </w:p>
        </w:tc>
        <w:tc>
          <w:tcPr>
            <w:tcW w:w="12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(1,189,844)</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(29,928)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for Genenta Science, Inc.</w:t>
            </w:r>
          </w:p>
        </w:tc>
        <w:tc>
          <w:tcPr>
            <w:tcW w:w="38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(31,993)</w:t>
            </w:r>
          </w:p>
        </w:tc>
        <w:tc>
          <w:tcPr>
            <w:tcW w:w="12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(26,462)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2,226,074</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2,543,031</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1,338,333</w:t>
            </w:r>
          </w:p>
        </w:tc>
        <w:tc>
          <w:tcPr>
            <w:tcW w:w="80" w:type="dxa"/>
            <w:vAlign w:val="bottom"/>
            <w:shd w:val="clear" w:color="auto" w:fill="CCEEFF"/>
          </w:tcPr>
          <w:p>
            <w:pPr>
              <w:spacing w:after="0"/>
              <w:rPr>
                <w:sz w:val="21"/>
                <w:szCs w:val="21"/>
                <w:color w:val="auto"/>
              </w:rPr>
            </w:pPr>
          </w:p>
        </w:tc>
      </w:tr>
      <w:tr>
        <w:trPr>
          <w:trHeight w:val="216"/>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provision expense for income taxes</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are summarized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corporate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1"/>
                <w:szCs w:val="21"/>
                <w:color w:val="auto"/>
              </w:rPr>
            </w:pPr>
          </w:p>
        </w:tc>
      </w:tr>
      <w:tr>
        <w:trPr>
          <w:trHeight w:val="234"/>
        </w:trPr>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(in Euros)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9,197,563</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7,125,174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4,692,845</w:t>
            </w:r>
          </w:p>
        </w:tc>
        <w:tc>
          <w:tcPr>
            <w:tcW w:w="6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52,996</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422,011</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315,322</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210,620</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9,672,570</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7,446,496</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4,903,464</w:t>
            </w:r>
          </w:p>
        </w:tc>
        <w:tc>
          <w:tcPr>
            <w:tcW w:w="60" w:type="dxa"/>
            <w:vAlign w:val="bottom"/>
          </w:tcPr>
          <w:p>
            <w:pPr>
              <w:spacing w:after="0"/>
              <w:rPr>
                <w:sz w:val="18"/>
                <w:szCs w:val="18"/>
                <w:color w:val="auto"/>
              </w:rPr>
            </w:pPr>
          </w:p>
        </w:tc>
      </w:tr>
      <w:tr>
        <w:trPr>
          <w:trHeight w:val="25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(9,672,570)</w:t>
            </w:r>
          </w:p>
        </w:tc>
        <w:tc>
          <w:tcPr>
            <w:tcW w:w="260" w:type="dxa"/>
            <w:vAlign w:val="bottom"/>
          </w:tcPr>
          <w:p>
            <w:pPr>
              <w:spacing w:after="0"/>
              <w:rPr>
                <w:sz w:val="22"/>
                <w:szCs w:val="22"/>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(7,446,496)</w:t>
            </w:r>
          </w:p>
        </w:tc>
        <w:tc>
          <w:tcPr>
            <w:tcW w:w="38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(4,903,464)</w:t>
            </w:r>
          </w:p>
        </w:tc>
      </w:tr>
      <w:tr>
        <w:trPr>
          <w:trHeight w:val="230"/>
        </w:trPr>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-1019175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-744855</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80" w:space="720"/>
            <w:col w:w="584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Tax loss carryforwards expire as follows: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 Euros)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expiration date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5,487,085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5,487,085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5,487,085</w:t>
            </w: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 expiration date - DL 98/2011</w:t>
            </w:r>
          </w:p>
        </w:tc>
        <w:tc>
          <w:tcPr>
            <w:tcW w:w="3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33,054,966</w:t>
            </w:r>
          </w:p>
        </w:tc>
        <w:tc>
          <w:tcPr>
            <w:tcW w:w="12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24,241,891</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14,066,434</w:t>
            </w: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38,542,051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29,728,976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19,553,519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2021 and 2020, the Company believes there are no significant differences with regards to its deferred tax assets and its relevant components, compared to the computations of the preceding periods.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December 31, 2022 and 2021 is deemed not significant with respect of the preceding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63" w:name="page164"/>
    <w:bookmarkEnd w:id="1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 Since the clinical trial is still in Phase I/2A, the time frame and uncertainties regarding the outcome of the completion justify the full allowance of deferred tax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11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4"/>
          </w:tcPr>
          <w:p>
            <w:pPr>
              <w:jc w:val="right"/>
              <w:ind w:right="236"/>
              <w:spacing w:after="0"/>
              <w:rPr>
                <w:sz w:val="20"/>
                <w:szCs w:val="20"/>
                <w:color w:val="auto"/>
              </w:rPr>
            </w:pPr>
            <w:r>
              <w:rPr>
                <w:rFonts w:ascii="Times New Roman" w:cs="Times New Roman" w:eastAsia="Times New Roman" w:hAnsi="Times New Roman"/>
                <w:sz w:val="18"/>
                <w:szCs w:val="18"/>
                <w:color w:val="auto"/>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(VAT)</w:t>
            </w:r>
          </w:p>
        </w:tc>
        <w:tc>
          <w:tcPr>
            <w:tcW w:w="1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912,423</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820,780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58,009</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w:t>
            </w:r>
          </w:p>
        </w:tc>
        <w:tc>
          <w:tcPr>
            <w:tcW w:w="8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prepaids</w:t>
            </w: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103,540</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1,926,512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1,519,023</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Value Added Tax (VAT) receivables are linked to purchases. Italian VAT (</w:t>
      </w:r>
      <w:r>
        <w:rPr>
          <w:rFonts w:ascii="Times New Roman" w:cs="Times New Roman" w:eastAsia="Times New Roman" w:hAnsi="Times New Roman"/>
          <w:sz w:val="18"/>
          <w:szCs w:val="18"/>
          <w:i w:val="1"/>
          <w:iCs w:val="1"/>
          <w:color w:val="auto"/>
        </w:rPr>
        <w:t>Imposta sul Valore Aggiunto</w:t>
      </w:r>
      <w:r>
        <w:rPr>
          <w:rFonts w:ascii="Times New Roman" w:cs="Times New Roman" w:eastAsia="Times New Roman" w:hAnsi="Times New Roman"/>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2022 and 2021 was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€4.4 million at December 31, 2022, and approximately €4.1 million at December 31, 2021,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2023 and 2024.</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12 months period ended December 31, 2022, the Company utilized approximately €600,000 to offset certain social contributions and taxes payable, while during the financial year 2021, the Company utilized approximately €540,000. The benefit recorded for the 12 months ended December 31, 2022 and 2021, to offset research and development expenses was approximately €698,000 and €1,177,000, respectively. The Company reclassified to other non-current assets a portion of the receivable, which is expected to be realized beyond 12 months (see Note 8).</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€41,149 mainly relates to advance payment to suppliers for legal services of approximately €8,000 and other advance payments for R&amp;D operating services of approximately €32,000.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current assets mainly relate to the allowance for corporate equity (“ACE”) of approximately €180,000 and the quota of accruing financial interest income on time deposit of approximately €38,000.</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prepaids mainly include expenses for various services, already financially incurred but attributable to the following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period ended December 31, 2022, intangible assets were €87,000 and consist of software implementation costs related to the new enterprise resource planning system (“ERP”). There were no disposals, nor impairments during the period. Depreciation will be accounted for starting from the financial year 2023 after the go-live of the ERP platform. No intangible assets purchases occurred during the 12 months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Non-current assets right of use (ROU)</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 four-year (i.e., 48 month) lease of an automobile, with an ending date of January 2026. The “base” annual lease payment is €13,967.40 payable monthly in the amount of €1,163.95. The lease payment will remain fixed for the four (4) years. The automobile lease was identified and accounted for as a finance type lease.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initial measurement, the calculation of the net present value of the right of use asset and liability was made by using the discounted rate of 6.25% and was determined to be approximately €49,320.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Lessee initial direct costs were deemed not material. Other non-lease component costs for lease insurances were accounted for separately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the net present value of the right of use asset and liability amounted to approximately €39,079. The liability was determined to be €11,861 as a current liability and €27,218 as a long-term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71"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Fixed assets, net</w:t>
            </w:r>
          </w:p>
        </w:tc>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Fixed assets consist of the following:</w:t>
            </w: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11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4"/>
          </w:tcPr>
          <w:p>
            <w:pPr>
              <w:jc w:val="right"/>
              <w:ind w:right="196"/>
              <w:spacing w:after="0"/>
              <w:rPr>
                <w:sz w:val="20"/>
                <w:szCs w:val="20"/>
                <w:color w:val="auto"/>
              </w:rPr>
            </w:pPr>
            <w:r>
              <w:rPr>
                <w:rFonts w:ascii="Times New Roman" w:cs="Times New Roman" w:eastAsia="Times New Roman" w:hAnsi="Times New Roman"/>
                <w:sz w:val="18"/>
                <w:szCs w:val="18"/>
                <w:color w:val="auto"/>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(ERP Implementation)</w:t>
            </w:r>
          </w:p>
        </w:tc>
        <w:tc>
          <w:tcPr>
            <w:tcW w:w="256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87,800</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Computer</w:t>
            </w: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1140" w:type="dxa"/>
            <w:vAlign w:val="bottom"/>
          </w:tcPr>
          <w:p>
            <w:pPr>
              <w:spacing w:after="0"/>
              <w:rPr>
                <w:sz w:val="17"/>
                <w:szCs w:val="17"/>
                <w:color w:val="auto"/>
              </w:rPr>
            </w:pPr>
          </w:p>
        </w:tc>
        <w:tc>
          <w:tcPr>
            <w:tcW w:w="3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fixed assets</w:t>
            </w: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123,783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29,879</w:t>
            </w:r>
          </w:p>
        </w:tc>
        <w:tc>
          <w:tcPr>
            <w:tcW w:w="80" w:type="dxa"/>
            <w:vAlign w:val="bottom"/>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(12,144)</w:t>
            </w: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(6,789)</w:t>
            </w:r>
          </w:p>
        </w:tc>
      </w:tr>
      <w:tr>
        <w:trPr>
          <w:trHeight w:val="217"/>
        </w:trPr>
        <w:tc>
          <w:tcPr>
            <w:tcW w:w="1140" w:type="dxa"/>
            <w:vAlign w:val="bottom"/>
          </w:tcPr>
          <w:p>
            <w:pPr>
              <w:spacing w:after="0"/>
              <w:rPr>
                <w:sz w:val="18"/>
                <w:szCs w:val="18"/>
                <w:color w:val="auto"/>
              </w:rPr>
            </w:pPr>
          </w:p>
        </w:tc>
        <w:tc>
          <w:tcPr>
            <w:tcW w:w="3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111,639</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80" w:type="dxa"/>
            <w:vAlign w:val="bottom"/>
            <w:tcBorders>
              <w:top w:val="single" w:sz="8" w:color="CCEEFF"/>
            </w:tcBorders>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Fixed assets consist of software, computers and furniture and fixtures of our office space in Milan, Italy. There were no significant disposals, nor significant impairments during the periods. Depreciation has been calculated by taking into consideration the use, purpose and financial-technical duration of the assets, based on their estimated economic lives. No significant purchases occurred during the 12 months ended December 31,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were €6,140 and €4,889,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Other non-current assets</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7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Other non-current assets consist of the long-term portion of the VAT receivable and R&amp;D tax credit, as follows: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At</w:t>
            </w:r>
          </w:p>
        </w:tc>
      </w:tr>
      <w:tr>
        <w:trPr>
          <w:trHeight w:val="229"/>
        </w:trPr>
        <w:tc>
          <w:tcPr>
            <w:tcW w:w="1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1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Euros)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(VAT)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912,424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641,215</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1,601,503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1,241,215</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tax credit increased due to the increase in the utilization rate as explained above (See Note 6. Prepaid expenses and other current assets).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other non-current assets - related party includes a security deposit of €3,350 paid to OSR - San Raffaele Hospital as security guarantee for the office lease contract. (See Note 13.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Retirement benefit obligation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The amount of the obligation at December 31, 2022 and 2021 was €88,962 and €30,618, respectively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was mainly due to the increase in the Company’s organizational structure and the increase in employee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Quotaholders’ and shareholders’ equity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an S.r.l., which is an Italian limited liability company similar to a limited liability company in the United States, prior to May 2021. The Articles of Incorporation, Shareholders’ Agreement and the By-laws of the Company provided for different quotas, which represented the Company’s corporate capital, rather than shares of stock as ownership.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i w:val="1"/>
          <w:iCs w:val="1"/>
          <w:color w:val="auto"/>
        </w:rPr>
        <w:t>Corporate capital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capital was divided between five categories of quotas as summarized below at December 31, 2020:</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5"/>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Quota</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6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6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6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37,056</w:t>
            </w: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five (5) categories of quotas: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D. Investors received Quota D in the Company’s second funding round (2017) where approximately €7 million was raised.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2021, the following events occurred which together had a significant impact on the Company’s equity: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€37,771 (€37,056 corporate capital at December 31, 2020 + €715 exercise of Quota B options before the conversion).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6" w:name="page167"/>
    <w:bookmarkEnd w:id="1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20, 2021, at a Quotaholders’ meeting, the Quotaholders resolved to convert the Company from an S.r.l. to an S.p.A., which conversion became effective on June 18, 2021. As consequence of the conversion, the Corporate Capital was converted to ordinary shares with no par value, and it was increased to €50,000 to satisfy the minimum capital requirement to qualify as an S.p.A. in Italy. This increase was an adjustment from additional paid-in capital to ordinary shares, no par value.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Company conversion, the corporate capital was reclassified as ordinary shares, no par value, combining the minimum capital amount of €50,000 with the additional paid-in capital for a total of €37,139,431. The outstanding quota of €50,000 before the conversion were all converted into 15 million shares of ordinary shares, no par value, after the conversion at the same conversion rate of approximately 300 quota per share of ownership. All preferences related to the quota classes were terminated and all shareholders held ordinary shares, no par value. All of shares outstanding after the conversion are held in ledger form. The Company adopted new Articles of Association and Bylaws, appointed a new Board of Directors and Board of Statutory Auditors.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15, 2021, the Company completed the IPO of its shares and was listed on the Nasdaq Stock Capital Market. Through the IPO, 3,120,114 new ordinary shares with no par value were issued. 720,114 ordinary shares were subscribed by the Company’s existing shareholders through a Reserved Offering, while 2.4 million ADS were directly placed on the market. Subsequently, on December 27, 2021, the Company’s underwriter exercised a portion of its “green shoe” allotment for an additional 96,744 ADS. The total number of shares outstanding resulting at December 31, 2021 was 18,216,858. Through the IPO, approximately €29 million was raised net of listing costs (approximately €3.9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The total of €715 quota B were issued and exercised in April 2021 with no options remaining outstanding at that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2021, in context of our Corporate Conversion from a limited liability company (società a responsabilità limitata, or “S.r.l.”) to a joint stock company (società per azioni, or an “S.p.A.”), the shareholders approved a capital increase to allow for issuance of up to 2.7 million ordinary shares, or 10% of the total outstanding common shares of the Company after the IPO, in the service of a four-year employees’ share option plan, “Equity Incentive Plan 2021–2025,” (the “Plan”) to be adopted by the board of directors. The Plan is administered by the Board of Directors in consultation with the Compensation, Nomination and Governance Committee. No options have been granted under the Plan during 2021.</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April 2022, the Company’s Board of Directors, as administrator of the Plan, awarded a nonqualified stock option (“NSO”) on 147,783 shares to its (former) Chairman according to the terms of a Sub-Plan called “2021-2025 Chairman Sub-Plan” (the “Sub-Plan”) attached to the Plan. The NSO was fully vested upon grant and carried a two- year exercise term. The exercise price of the NSO is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6.38 per share, as pre-determined in the Sub-Plan.</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2022, the Company’s Board of Directors, as administrator of the Plan, awarded nonqualified stock options (“NSOs”) on 392,740 shares to certain of the Company’s directors, officers and employees. The director NSOs vested monthly over a one-year period with a 10-year term. The officer and employee NSOs vested monthly over a four-year period with a 10-year term; however, the vesting of the officer NSOs were adjusted based on hire date per their employment contracts. All NSOs were priced based on a 30-day volume weighted average formula, adjusted by Black-Scholes, which was determined to be $4.76 per share.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18"/>
          <w:szCs w:val="18"/>
          <w:color w:val="auto"/>
        </w:rPr>
        <w:t>At December 31, 2022, there were 540,523 granted stock options and 1,281,162 stock options remaining available for grant.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calculates the fair value of stock options awards granted to employees and nonemployees using the Black-Scholes option-pricing method. If the company determinates that other methods are more reasonable, or other methods for calculating these assumptions are prescribed by regulators, the fair value calculated for the Company’s stock options could change significantly. Higher volatility and longer expected lives would result in an increase to share-based compensation expense to non-employees determined at the date of grant. Share-based compensation expense to non-employees affects the Company’s selling, general and administrative expenses and research and development expenses.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calculated the share compensation expense for the options granted by utilizing the Black Scholes method with the following inputs for each of the stock grants in both July and April of 2022:</w:t>
      </w:r>
    </w:p>
    <w:p>
      <w:pPr>
        <w:spacing w:after="0" w:line="162"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exercise price.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expected term.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current price.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expected price volatility during the option’s expected (or in certain cases, contractual) term, or in cases where calculated value is used, the historical volatility of an appropriate industry sector index.</w:t>
      </w:r>
    </w:p>
    <w:p>
      <w:pPr>
        <w:ind w:left="980" w:hanging="324"/>
        <w:spacing w:after="0" w:line="250"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expected dividends during the option’s expected (or in certain cases, contractual) term except cases, such as when dividend protection is provided; and</w:t>
      </w: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during the option’s expected (or in certain cases, contractual) term.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4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Outstanding, vested and expected to vest as of</w:t>
            </w:r>
          </w:p>
        </w:tc>
        <w:tc>
          <w:tcPr>
            <w:tcW w:w="18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584,132</w:t>
            </w:r>
          </w:p>
        </w:tc>
        <w:tc>
          <w:tcPr>
            <w:tcW w:w="0" w:type="dxa"/>
            <w:vAlign w:val="bottom"/>
          </w:tcPr>
          <w:p>
            <w:pPr>
              <w:spacing w:after="0"/>
              <w:rPr>
                <w:sz w:val="1"/>
                <w:szCs w:val="1"/>
                <w:color w:val="auto"/>
              </w:rPr>
            </w:pPr>
          </w:p>
        </w:tc>
      </w:tr>
      <w:tr>
        <w:trPr>
          <w:trHeight w:val="24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8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580" w:type="dxa"/>
            <w:vAlign w:val="bottom"/>
            <w:gridSpan w:val="2"/>
            <w:vMerge w:val="continue"/>
            <w:shd w:val="clear" w:color="auto" w:fill="CCEEFF"/>
          </w:tcPr>
          <w:p>
            <w:pPr>
              <w:spacing w:after="0"/>
              <w:rPr>
                <w:sz w:val="20"/>
                <w:szCs w:val="20"/>
                <w:color w:val="auto"/>
              </w:rPr>
            </w:pPr>
          </w:p>
        </w:tc>
        <w:tc>
          <w:tcPr>
            <w:tcW w:w="1600" w:type="dxa"/>
            <w:vAlign w:val="bottom"/>
            <w:gridSpan w:val="2"/>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777,920</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vested and expected to vest as of</w:t>
            </w: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540,523</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4.99</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272,480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vested and expected to vest as of</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237,129</w:t>
            </w:r>
          </w:p>
        </w:tc>
        <w:tc>
          <w:tcPr>
            <w:tcW w:w="2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61,988</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21, 2022, the Company granted non-qualified stock options to certain directors and employees that were partially vested and priced based on the “2021-2025 -Plan.” Total recognized expense was approximately €482,692.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21, 2022, the Company granted non-qualified stock options to Dr. Squinto, Chairman of the Company at that time, that were fully vested and priced based on a Sub-Plan called “2021-2025 Chairman Sub-Plan” attached to the Plan. Total recognized expense was €240,043.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2021, there were no outstanding stock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share-based compensation expense for the years ended December 31, 2022 and 2021 is represented by the following table: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3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(in Euros)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expense</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35,164</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 - related party</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326,400</w:t>
            </w: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133,794</w:t>
            </w:r>
          </w:p>
        </w:tc>
        <w:tc>
          <w:tcPr>
            <w:tcW w:w="80" w:type="dxa"/>
            <w:vAlign w:val="bottom"/>
            <w:shd w:val="clear" w:color="auto" w:fill="CCEEFF"/>
          </w:tcPr>
          <w:p>
            <w:pPr>
              <w:spacing w:after="0"/>
              <w:rPr>
                <w:sz w:val="18"/>
                <w:szCs w:val="18"/>
                <w:color w:val="auto"/>
              </w:rPr>
            </w:pPr>
          </w:p>
        </w:tc>
      </w:tr>
      <w:tr>
        <w:trPr>
          <w:trHeight w:val="237"/>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&amp; administrative expense- related party</w:t>
            </w: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200,609</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r>
      <w:tr>
        <w:trPr>
          <w:trHeight w:val="236"/>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722,735</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497,104</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460,194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expense</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1,639,082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313,273</w:t>
            </w:r>
          </w:p>
        </w:tc>
        <w:tc>
          <w:tcPr>
            <w:tcW w:w="8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fair value of the options granted during 2021 was €1,088 per quota B. There were no options granted in 2020.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recorded €722,735, €497,104 and €460,194, respectively, as the fair value of the stock options granted. The amount of unrecognized expense at December 31, 2022 was €1,639,082. There was no amount of unrecognized expense at December 31, 2021. The amount of unrecognized expense at December 31, 2020 was €313,273.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31"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i w:val="1"/>
          <w:iCs w:val="1"/>
          <w:color w:val="auto"/>
        </w:rPr>
        <w:t>Quota B Valuations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Quota B underlying the Company’s share-based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87" w:lineRule="exact"/>
        <w:rPr>
          <w:sz w:val="20"/>
          <w:szCs w:val="20"/>
          <w:color w:val="auto"/>
        </w:rPr>
      </w:pPr>
    </w:p>
    <w:p>
      <w:pPr>
        <w:ind w:left="760" w:hanging="162"/>
        <w:spacing w:after="0"/>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the Quota B equity performed by third-party specialists;</w:t>
      </w:r>
    </w:p>
    <w:p>
      <w:pPr>
        <w:spacing w:after="0" w:line="225" w:lineRule="exact"/>
        <w:rPr>
          <w:rFonts w:ascii="Times New Roman" w:cs="Times New Roman" w:eastAsia="Times New Roman" w:hAnsi="Times New Roman"/>
          <w:sz w:val="18"/>
          <w:szCs w:val="18"/>
          <w:color w:val="auto"/>
        </w:rPr>
      </w:pPr>
    </w:p>
    <w:p>
      <w:pPr>
        <w:ind w:left="800" w:hanging="202"/>
        <w:spacing w:after="0"/>
        <w:tabs>
          <w:tab w:leader="none" w:pos="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Company’s equity to third-party, arms-length, sophisticated, and qualified investors, which was used in the OPM Backsolve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the prices, rights, preferences, and privileges of the Company’s Quota C, D, and E preferred equity classes relative to those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207" w:lineRule="exact"/>
        <w:rPr>
          <w:sz w:val="20"/>
          <w:szCs w:val="20"/>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the Quota B;</w:t>
      </w:r>
    </w:p>
    <w:p>
      <w:pPr>
        <w:spacing w:after="0" w:line="225" w:lineRule="exact"/>
        <w:rPr>
          <w:rFonts w:ascii="Times New Roman" w:cs="Times New Roman" w:eastAsia="Times New Roman" w:hAnsi="Times New Roman"/>
          <w:sz w:val="18"/>
          <w:szCs w:val="18"/>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voting rights of the Quota B;</w:t>
      </w:r>
    </w:p>
    <w:p>
      <w:pPr>
        <w:spacing w:after="0" w:line="225" w:lineRule="exact"/>
        <w:rPr>
          <w:rFonts w:ascii="Times New Roman" w:cs="Times New Roman" w:eastAsia="Times New Roman" w:hAnsi="Times New Roman"/>
          <w:sz w:val="18"/>
          <w:szCs w:val="18"/>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225" w:lineRule="exact"/>
        <w:rPr>
          <w:rFonts w:ascii="Times New Roman" w:cs="Times New Roman" w:eastAsia="Times New Roman" w:hAnsi="Times New Roman"/>
          <w:sz w:val="18"/>
          <w:szCs w:val="18"/>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key personnel and the experience of management;</w:t>
      </w:r>
    </w:p>
    <w:p>
      <w:pPr>
        <w:spacing w:after="0" w:line="225" w:lineRule="exact"/>
        <w:rPr>
          <w:rFonts w:ascii="Times New Roman" w:cs="Times New Roman" w:eastAsia="Times New Roman" w:hAnsi="Times New Roman"/>
          <w:sz w:val="18"/>
          <w:szCs w:val="18"/>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development;</w:t>
      </w:r>
    </w:p>
    <w:p>
      <w:pPr>
        <w:spacing w:after="0" w:line="225" w:lineRule="exact"/>
        <w:rPr>
          <w:rFonts w:ascii="Times New Roman" w:cs="Times New Roman" w:eastAsia="Times New Roman" w:hAnsi="Times New Roman"/>
          <w:sz w:val="18"/>
          <w:szCs w:val="18"/>
          <w:color w:val="auto"/>
        </w:rPr>
      </w:pPr>
    </w:p>
    <w:p>
      <w:pPr>
        <w:jc w:val="both"/>
        <w:ind w:firstLine="598"/>
        <w:spacing w:after="0" w:line="266" w:lineRule="auto"/>
        <w:tabs>
          <w:tab w:leader="none" w:pos="7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75" w:lineRule="exact"/>
        <w:rPr>
          <w:rFonts w:ascii="Times New Roman" w:cs="Times New Roman" w:eastAsia="Times New Roman" w:hAnsi="Times New Roman"/>
          <w:sz w:val="18"/>
          <w:szCs w:val="18"/>
          <w:color w:val="auto"/>
        </w:rPr>
      </w:pPr>
    </w:p>
    <w:p>
      <w:pPr>
        <w:ind w:firstLine="598"/>
        <w:spacing w:after="0" w:line="282" w:lineRule="auto"/>
        <w:tabs>
          <w:tab w:leader="none" w:pos="7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a merger or acquisition of the Company given prevailing market conditions, or other liquidation events;</w:t>
      </w:r>
    </w:p>
    <w:p>
      <w:pPr>
        <w:spacing w:after="0" w:line="161" w:lineRule="exact"/>
        <w:rPr>
          <w:rFonts w:ascii="Times New Roman" w:cs="Times New Roman" w:eastAsia="Times New Roman" w:hAnsi="Times New Roman"/>
          <w:sz w:val="18"/>
          <w:szCs w:val="18"/>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225" w:lineRule="exact"/>
        <w:rPr>
          <w:rFonts w:ascii="Times New Roman" w:cs="Times New Roman" w:eastAsia="Times New Roman" w:hAnsi="Times New Roman"/>
          <w:sz w:val="18"/>
          <w:szCs w:val="18"/>
          <w:color w:val="auto"/>
        </w:rPr>
      </w:pPr>
    </w:p>
    <w:p>
      <w:pPr>
        <w:ind w:left="760" w:hanging="16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U.S. and global capital market conditions.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9" w:name="page170"/>
    <w:bookmarkEnd w:id="16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Weighted average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Company’s conversion to an S.P.A. in June 2021, the Company converted all of its ownership to common shares. From that point forward, the Company was able to calculate both a weighted average and pro forma weighted average number of shares outstanding. The calculation was performed by taking the number of shares outstanding during a given period and weighting them for the number of days that number of shares were outstanding. Prior to June 2021, the Company was unable to convert quota to shares, in part due to the fact that quota carried different rights and privileges, so the Company was not sure how all quota would be treated in the conversion; however, shareholders agreed at the conversion in June 2021 that all classes of quota would be treated equally and all quota were exchanged for shares on a 1:1 basis and all the preferences were removed. Therefore, the Company was able to calculate a weighted average for the Company’s December 31, 2021 consolidated financial statement presentation. For the years ended December 31, 2022 and 2021, there was a weighted average of 18,216,858 shares and 15,083,825 shares, respectively, of the Company’s ordinary shares, no par value. No corresponding calculation was available at December 31, 2020.</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research and development expenses are a combination of third-party expenses, and related party expenses, as detailed below:</w:t>
      </w:r>
    </w:p>
    <w:p>
      <w:pPr>
        <w:sectPr>
          <w:pgSz w:w="11900" w:h="16838" w:orient="portrait"/>
          <w:cols w:equalWidth="0" w:num="1">
            <w:col w:w="11240"/>
          </w:cols>
          <w:pgMar w:left="320" w:top="661" w:right="339" w:bottom="10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&amp; other third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&amp; supplies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(including share-based)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520"/>
              <w:spacing w:after="0" w:line="198" w:lineRule="exact"/>
              <w:rPr>
                <w:sz w:val="20"/>
                <w:szCs w:val="20"/>
                <w:color w:val="auto"/>
              </w:rPr>
            </w:pPr>
            <w:r>
              <w:rPr>
                <w:rFonts w:ascii="Times New Roman" w:cs="Times New Roman" w:eastAsia="Times New Roman" w:hAnsi="Times New Roman"/>
                <w:sz w:val="18"/>
                <w:szCs w:val="18"/>
                <w:color w:val="auto"/>
              </w:rPr>
              <w:t>(in Euros)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804,341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726,082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1,530,423</w:t>
            </w:r>
          </w:p>
        </w:tc>
      </w:tr>
      <w:tr>
        <w:trPr>
          <w:trHeight w:val="216"/>
        </w:trPr>
        <w:tc>
          <w:tcPr>
            <w:tcW w:w="2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2,790,982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2,790,982</w:t>
            </w:r>
          </w:p>
        </w:tc>
      </w:tr>
      <w:tr>
        <w:trPr>
          <w:trHeight w:val="229"/>
        </w:trPr>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412,085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580,196</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992,281</w:t>
            </w:r>
          </w:p>
        </w:tc>
      </w:tr>
      <w:tr>
        <w:trPr>
          <w:trHeight w:val="241"/>
        </w:trPr>
        <w:tc>
          <w:tcPr>
            <w:tcW w:w="22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25,276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25,276</w:t>
            </w:r>
          </w:p>
        </w:tc>
      </w:tr>
      <w:tr>
        <w:trPr>
          <w:trHeight w:val="229"/>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4,032,684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1,306,278</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5,338,962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-745490</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-179705</wp:posOffset>
            </wp:positionV>
            <wp:extent cx="713232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22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16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840" w:type="dxa"/>
            <w:vAlign w:val="bottom"/>
          </w:tcPr>
          <w:p>
            <w:pPr>
              <w:spacing w:after="0"/>
              <w:rPr>
                <w:sz w:val="18"/>
                <w:szCs w:val="18"/>
                <w:color w:val="auto"/>
              </w:rPr>
            </w:pPr>
          </w:p>
        </w:tc>
        <w:tc>
          <w:tcPr>
            <w:tcW w:w="2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 Euros)</w:t>
            </w:r>
          </w:p>
        </w:tc>
        <w:tc>
          <w:tcPr>
            <w:tcW w:w="1640" w:type="dxa"/>
            <w:vAlign w:val="bottom"/>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2">
            <w:col w:w="4680" w:space="720"/>
            <w:col w:w="5840"/>
          </w:cols>
          <w:pgMar w:left="320" w:top="661" w:right="339" w:bottom="100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946,156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711,464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1,657,620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Materials &amp; supplies</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1,231,019</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1,231,019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284,957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214,892</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499,849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r>
      <w:tr>
        <w:trPr>
          <w:trHeight w:val="24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2,463,725</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926,952</w:t>
            </w: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3,390,677</w:t>
            </w:r>
          </w:p>
        </w:tc>
        <w:tc>
          <w:tcPr>
            <w:tcW w:w="10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2020</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(in Euros)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1,454,576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2,009,884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3,464,460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Materials &amp; supplies</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709,183</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3,124</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712,307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145,700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326,400</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472,100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16,742</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17,724</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34,466</w:t>
            </w:r>
          </w:p>
        </w:tc>
      </w:tr>
      <w:tr>
        <w:trPr>
          <w:trHeight w:val="24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5,128</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5,128</w:t>
            </w:r>
          </w:p>
        </w:tc>
      </w:tr>
      <w:tr>
        <w:trPr>
          <w:trHeight w:val="217"/>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2,331,329</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4,688,461</w:t>
            </w:r>
          </w:p>
        </w:tc>
        <w:tc>
          <w:tcPr>
            <w:tcW w:w="10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5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660"/>
              <w:spacing w:after="0"/>
              <w:rPr>
                <w:sz w:val="20"/>
                <w:szCs w:val="20"/>
                <w:color w:val="auto"/>
              </w:rPr>
            </w:pPr>
            <w:r>
              <w:rPr>
                <w:rFonts w:ascii="Times New Roman" w:cs="Times New Roman" w:eastAsia="Times New Roman" w:hAnsi="Times New Roman"/>
                <w:sz w:val="18"/>
                <w:szCs w:val="18"/>
                <w:color w:val="auto"/>
              </w:rPr>
              <w:t>F-23</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000" w:gutter="0" w:footer="0" w:header="0"/>
          <w:type w:val="continuous"/>
        </w:sectPr>
      </w:pPr>
    </w:p>
    <w:bookmarkStart w:id="170" w:name="page171"/>
    <w:bookmarkEnd w:id="17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(related party) expenses during the years ended December 31, 2022, 2021, and 2020, mainly relate to the clinical trial activity done as per the agreement with the OSR - San Raffaele Hospital. The Company recorded research and development expenses of approximately €5.3 million in 2022 (€6.0 million less €0.7 million from the compensation effect of the tax credit benefit), and €3.4 million in 2021 (€4.6 million less €1.2 million from the compensation effect of the tax credit benefit).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general and administrative expenses are also a combination of third-party and related party expenses, as detailed below:</w:t>
      </w:r>
    </w:p>
    <w:p>
      <w:pPr>
        <w:spacing w:after="0" w:line="23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For the Year Ended December, 2022</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right="1860"/>
        <w:spacing w:after="0" w:line="257" w:lineRule="auto"/>
        <w:rPr>
          <w:sz w:val="20"/>
          <w:szCs w:val="20"/>
          <w:color w:val="auto"/>
        </w:rPr>
      </w:pPr>
      <w:r>
        <w:rPr>
          <w:rFonts w:ascii="Times New Roman" w:cs="Times New Roman" w:eastAsia="Times New Roman" w:hAnsi="Times New Roman"/>
          <w:sz w:val="18"/>
          <w:szCs w:val="18"/>
          <w:color w:val="auto"/>
        </w:rPr>
        <w:t>Compensation (including share-based) Accounting, legal &amp; other professional Communication &amp; IT related Facility &amp; insurance related Consultants &amp; other third parties Other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60"/>
        <w:spacing w:after="0" w:line="257" w:lineRule="auto"/>
        <w:rPr>
          <w:sz w:val="20"/>
          <w:szCs w:val="20"/>
          <w:color w:val="auto"/>
        </w:rPr>
      </w:pPr>
      <w:r>
        <w:rPr>
          <w:rFonts w:ascii="Times New Roman" w:cs="Times New Roman" w:eastAsia="Times New Roman" w:hAnsi="Times New Roman"/>
          <w:sz w:val="18"/>
          <w:szCs w:val="18"/>
          <w:color w:val="auto"/>
        </w:rPr>
        <w:t>Compensation (including share-based) Accounting, legal &amp; other professional Communication &amp; IT related Facility &amp; insurance related Consultants &amp; other third parties third Other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60"/>
        <w:spacing w:after="0" w:line="257" w:lineRule="auto"/>
        <w:rPr>
          <w:sz w:val="20"/>
          <w:szCs w:val="20"/>
          <w:color w:val="auto"/>
        </w:rPr>
      </w:pPr>
      <w:r>
        <w:rPr>
          <w:rFonts w:ascii="Times New Roman" w:cs="Times New Roman" w:eastAsia="Times New Roman" w:hAnsi="Times New Roman"/>
          <w:sz w:val="18"/>
          <w:szCs w:val="18"/>
          <w:color w:val="auto"/>
        </w:rPr>
        <w:t>Compensation (including share-based) Accounting, legal &amp; other professional Communication &amp; IT related Facility &amp; insurance related Consultants &amp; other third parties Other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(in Euros)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1,293,880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1,268,974</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2,562,854</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781,817</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781,817</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171,380</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171,380</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1,241,692</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14,815</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1,256,507</w:t>
            </w:r>
          </w:p>
        </w:tc>
      </w:tr>
      <w:tr>
        <w:trPr>
          <w:trHeight w:val="230"/>
        </w:trPr>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593,788</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593,788</w:t>
            </w:r>
          </w:p>
        </w:tc>
      </w:tr>
      <w:tr>
        <w:trPr>
          <w:trHeight w:val="241"/>
        </w:trPr>
        <w:tc>
          <w:tcPr>
            <w:tcW w:w="2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331,824</w:t>
            </w: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6,860</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338,684</w:t>
            </w:r>
          </w:p>
        </w:tc>
      </w:tr>
      <w:tr>
        <w:trPr>
          <w:trHeight w:val="230"/>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4,414,381</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1,290,649</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5,705,030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-1019810</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-744855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For the Year Ended December,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(in Euros)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353,177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567,624</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920,801</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390,134</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390,134</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52,230</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52,230</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71,181</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14,399</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85,580</w:t>
            </w:r>
          </w:p>
        </w:tc>
      </w:tr>
      <w:tr>
        <w:trPr>
          <w:trHeight w:val="229"/>
        </w:trPr>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675,688</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675,688</w:t>
            </w:r>
          </w:p>
        </w:tc>
      </w:tr>
      <w:tr>
        <w:trPr>
          <w:trHeight w:val="241"/>
        </w:trPr>
        <w:tc>
          <w:tcPr>
            <w:tcW w:w="2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164,468</w:t>
            </w: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7,695</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172,163</w:t>
            </w:r>
          </w:p>
        </w:tc>
      </w:tr>
      <w:tr>
        <w:trPr>
          <w:trHeight w:val="230"/>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1,706,878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589,718</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2,296,596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-1019175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-745490</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-470535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(in Euros)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191,998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298,628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490,626</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239,861</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239,861</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64,430</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64,430</w:t>
            </w:r>
          </w:p>
        </w:tc>
      </w:tr>
      <w:tr>
        <w:trPr>
          <w:trHeight w:val="216"/>
        </w:trPr>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24,685</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14,402</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39,087</w:t>
            </w:r>
          </w:p>
        </w:tc>
      </w:tr>
      <w:tr>
        <w:trPr>
          <w:trHeight w:val="229"/>
        </w:trPr>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59,648</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1,495</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61,143</w:t>
            </w:r>
          </w:p>
        </w:tc>
      </w:tr>
      <w:tr>
        <w:trPr>
          <w:trHeight w:val="241"/>
        </w:trPr>
        <w:tc>
          <w:tcPr>
            <w:tcW w:w="2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6,618</w:t>
            </w: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r>
      <w:tr>
        <w:trPr>
          <w:trHeight w:val="229"/>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587,240</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314,525</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901,765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-1019810</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-745490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-471170</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-179705</wp:posOffset>
            </wp:positionV>
            <wp:extent cx="713232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680" w:space="720"/>
            <w:col w:w="5840"/>
          </w:cols>
          <w:pgMar w:left="320" w:top="661" w:right="339" w:bottom="1440" w:gutter="0" w:footer="0" w:header="0"/>
          <w:type w:val="continuous"/>
        </w:sectPr>
      </w:pPr>
    </w:p>
    <w:bookmarkStart w:id="171" w:name="page172"/>
    <w:bookmarkEnd w:id="1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related parties during the year ended December 31, 2022 was mainly due to the increase in management compensation. General and administrative expenses, other than related party, increased due to the increase in director and officer insurance and to the increase in legal and audit fees as result of the post IPO administrative and compliance activities.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accounts payable to related parties are comprised as follows: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 San Raffaele Hospital</w:t>
            </w:r>
          </w:p>
        </w:tc>
        <w:tc>
          <w:tcPr>
            <w:tcW w:w="118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150,206</w:t>
            </w:r>
          </w:p>
        </w:tc>
        <w:tc>
          <w:tcPr>
            <w:tcW w:w="80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Richard Slansky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 Russo (former XDG Biomed)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151,988</w:t>
            </w: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Company’s accrued expenses to related parties are comprised as follows:</w:t>
            </w: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 San Raffaele Hospital</w:t>
            </w:r>
          </w:p>
        </w:tc>
        <w:tc>
          <w:tcPr>
            <w:tcW w:w="118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176,559</w:t>
            </w:r>
          </w:p>
        </w:tc>
        <w:tc>
          <w:tcPr>
            <w:tcW w:w="80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112,501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Slansky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Carlo Russo (former XDG Biomed)</w:t>
            </w:r>
          </w:p>
        </w:tc>
        <w:tc>
          <w:tcPr>
            <w:tcW w:w="2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118,778</w:t>
            </w: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489,207</w:t>
            </w:r>
          </w:p>
        </w:tc>
        <w:tc>
          <w:tcPr>
            <w:tcW w:w="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identified the following related parties:</w:t>
      </w:r>
    </w:p>
    <w:p>
      <w:pPr>
        <w:spacing w:after="0" w:line="22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Pierluigi Paracchi</w:t>
      </w:r>
      <w:r>
        <w:rPr>
          <w:rFonts w:ascii="Times New Roman" w:cs="Times New Roman" w:eastAsia="Times New Roman" w:hAnsi="Times New Roman"/>
          <w:sz w:val="18"/>
          <w:szCs w:val="18"/>
          <w:color w:val="auto"/>
        </w:rPr>
        <w:t xml:space="preserve"> (director and co-founder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Luigi Naldini</w:t>
      </w:r>
      <w:r>
        <w:rPr>
          <w:rFonts w:ascii="Times New Roman" w:cs="Times New Roman" w:eastAsia="Times New Roman" w:hAnsi="Times New Roman"/>
          <w:sz w:val="18"/>
          <w:szCs w:val="18"/>
          <w:color w:val="auto"/>
        </w:rPr>
        <w:t xml:space="preserve"> (co-founder of the Company and chair of the scientific advisory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Bernhard Rudolph Gentner</w:t>
      </w:r>
      <w:r>
        <w:rPr>
          <w:rFonts w:ascii="Times New Roman" w:cs="Times New Roman" w:eastAsia="Times New Roman" w:hAnsi="Times New Roman"/>
          <w:sz w:val="18"/>
          <w:szCs w:val="18"/>
          <w:color w:val="auto"/>
        </w:rPr>
        <w:t xml:space="preserve"> (co- founders of the Company and member of the scientific advisory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Carlo Russo</w:t>
      </w:r>
      <w:r>
        <w:rPr>
          <w:rFonts w:ascii="Times New Roman" w:cs="Times New Roman" w:eastAsia="Times New Roman" w:hAnsi="Times New Roman"/>
          <w:sz w:val="18"/>
          <w:szCs w:val="18"/>
          <w:color w:val="auto"/>
        </w:rPr>
        <w:t xml:space="preserve"> (former XDG Biomed - chief medical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Richard Slansky</w:t>
      </w:r>
      <w:r>
        <w:rPr>
          <w:rFonts w:ascii="Times New Roman" w:cs="Times New Roman" w:eastAsia="Times New Roman" w:hAnsi="Times New Roman"/>
          <w:sz w:val="18"/>
          <w:szCs w:val="18"/>
          <w:color w:val="auto"/>
        </w:rPr>
        <w:t xml:space="preserve"> (chief financial officer; prior to his employment on November 1, 2021, Mr. Slansky was under a consulting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Spafid S.pA. (</w:t>
      </w:r>
      <w:r>
        <w:rPr>
          <w:rFonts w:ascii="Times New Roman" w:cs="Times New Roman" w:eastAsia="Times New Roman" w:hAnsi="Times New Roman"/>
          <w:sz w:val="18"/>
          <w:szCs w:val="18"/>
          <w:color w:val="auto"/>
        </w:rPr>
        <w:t>shareholder with ownership &gt; 5% until June 30, 2022, now &lt; 1% to date);</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OSR - San Raffaele Hospital</w:t>
      </w:r>
      <w:r>
        <w:rPr>
          <w:rFonts w:ascii="Times New Roman" w:cs="Times New Roman" w:eastAsia="Times New Roman" w:hAnsi="Times New Roman"/>
          <w:sz w:val="18"/>
          <w:szCs w:val="18"/>
          <w:color w:val="auto"/>
        </w:rPr>
        <w:t xml:space="preserve"> (co-founder of the Company, shareholder, main service provider for clinical activity and licensor of brands of any product that can be obtained through research).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Pierluigi Paracchi</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Pierluigi Paracchi, President and Chairman of the Company prior to the conversion, is the Chief Executive Officer as well as co-founder. His annual compensation, until December 16, 2021, amounted to €250,000 per year plus an annual performance bonus of €50,000, maturing in the period July-June of each year payable after Board of Directors approval. On December 17, 2021, he was employed by the Company as chief executive officer (aka general manager in Italy), with an annual gross salary of €420,000 plus a 20% of annual bonus subject to Board of Directors approval. He is provided with a Company car. The lease contract is charged to the Company in the amount of approximately €21,000 per year (including related insurance policies). Additionally, he has a medical insurance for €1,429 per year. The Company car leasing agreement is €76,500 (48 monthly lease payments), which started in February 2022 and accounted for under ASC 842 - Leases.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2022, Mr. Paracchi received a bonus of €50,000 (gross amount), of which €23,000 related to the activity performed in the second half of 2021 and €37,000 for the activity performed following the IPO in the first few months of 2022. In July 2022, the Board approved an increase in Mr. Paracchi’s bonus from 20% to 40% to begin effective January 1,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and 2021, the Company expensed approximately €624,000 and €307,000, respectively, related to compensation for Mr. Paracchi. At December 31, 2022 the Company accrued €112,501 for Mr. Paracchi’s bonus to reward the activity performed in 2022, while at December 31, 2021, the Company accrued €25,000 for Mr. Paracchi’s bonus from July to December.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Luigi Naldini/Bernhard Rudolph Gentner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consulting agreement with Dr. Naldini was signed on December 12, 2019, for an annual fee of €50,000. On June 20, 2022, a new agreement with Dr. Naldini was signed, which included an annual fee of €100,000 starting July 1, 2022. At December 31, 2022, Dr. Naldini billed €75,000 and all the issued invoices were paid before December 31, 2022.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Dr. Gentner, like Dr. Naldini, oversees pre-clinical research related to the platform technology. In addition, he analyzes clinical biological data. The last agreement with Dr. Gentner, was signed on October 26, 2017, which included an annual fee of €30,000, and is still in force. An amendment of the same started on July 1, 2022 and provided new fees in the amount of €45,000 per year. At December 31, 2022, Dr. Gentner billed €37,500. All the issued invoiced were paid before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Carlo Russo – former XDG Biomed LLC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XDG Biomed is the LLC of Dr. Carlo Russo. Dr. Russo has a single contract signed by XDG and the Company that has been approved by the Board of Directors and was subject to multiple amendments. In particular, Dr. Russo, via XDG, served as the Company’s Chief Medical Officer and Head of Development. Dr. Russo is responsible for the clinical development of Temferon™, the Company’s gene therapy platform. The applicable recurring fees until the IPO date was €300,000 per year, plus a performance bonus of €50,000 maturing for the period July-June of each year and payable after Board of Directors approval. From the IPO date, December 15, 2021, Dr. Russo has been employed by Genenta Science Inc. with the same role and responsibilities under a new employment agreement. The annual gross salary of Dr. Russo as an employee amounts to $500,000 per year (approximately €442,000 per year at December 31, 2021) + 30% annual bonus subject to Board of Director approval.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expensed approximately €580,000 related to compensation for Mr. Russo. At December 31, 2022 the Company accrued approximately €112,000 for Mr. Russo’s bonus to reward the activity performed in 2022.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Dr. Russo invoiced the Company for €313,181. At year end, €25,000 was accrued for the bonus, maturing from July to December 2021. From December 15 to December 31, 2021, the cost recorded for Dr. Russo as a Genenta Science Inc. employee, amounts to €14,140. For the year ended December 31, 2021, the Company recorded a total cost for Dr. Russo amounting to €352,321 excluding social contribution. In addition, in April 2021, Dr. Russo was awarded a stock option grant and it was immediately vested, with a value accrued in the Company’s consolidated statements of operations and comprehensive loss of €179,480.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Slansky</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Mr. Slansky is the Chief Financial Officer of the Company. He was engaged in late 2020 by the Company to assist with financial, accounting and audit support under an advisory agreement until the end of October 2021. On November 1, 2021, he joined the Company full time and has been employed as Chief Financial Officer. Under the new employment agreement Mr. Slansky is entitled to receive a gross annual compensation of $300,000 per year +</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30% annual bonus subject to Board of Director approval. Starting from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2023, the new gross annual compensation for Mr. Slansky was increased to $375,000 + 30% annual bonus subject to Board of Director approval.</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expensed approximately €445,000 related to compensation for Mr. Slansky. At December 31, 2022 the Company accrued approximately €77,000 for Mr. Slansky’s bonus to reward the activity performed in 2022.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2022, Mr. Slansky was awarded a stock option grant and part of it was immediately vested, with value accrued into the Company’s consolidated statements of operations and comprehensive loss of approximately €201,000.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09" w:gutter="0" w:footer="0" w:header="0"/>
        </w:sectPr>
      </w:pPr>
    </w:p>
    <w:bookmarkStart w:id="173" w:name="page174"/>
    <w:bookmarkEnd w:id="17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2021, by the advisory agreement, Mr. Slansky invoiced Genenta for €72,248. The personnel cost of Mr. Slansky from November 1 to December 31, 2021, amounts to €66,812 (social contribution excluded). This amount includes a bonus of $50,000 accrued at year end and paid in 2022, related to 2021 performance. For the year ended December 31, 2021, the Company recorded a total cost for Mr. Slansky amounting to €139,060 (excluding social contribution). In April 2021, Mr. Slansky was awarded a stock option grant and it was immediately vested, with value accrued into the Company’s consolidated statements of operations and comprehensive loss of €54,388.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Spafid S.p.A.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Spafid S.p.A. (“Spafid”) is a shareholder in the Company with an ownership of more than 5% before June 30, 2022. Currently, Spafid holds less than 1% of the Company’s outstanding shares. Spafid is also a service provider for the Company. The engagement started on May 20, 2021, and relates to several services concerning corporate governance activities, such as shareholders book and shareholders meeting management, shares dematerialization and centralization, etc.</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Spafid invoiced the Company €6,860 for services provided, which were paid at year end. For the year ended December 31, 2021, Spafid invoiced the Company €7,695 for services provided, which were paid at year 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OSR – San Raffaele Hospital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OSR - San Raffaele Hospital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38" w:lineRule="exact"/>
        <w:rPr>
          <w:sz w:val="20"/>
          <w:szCs w:val="20"/>
          <w:color w:val="auto"/>
        </w:rPr>
      </w:pPr>
    </w:p>
    <w:p>
      <w:pPr>
        <w:ind w:left="1300" w:hanging="320"/>
        <w:spacing w:after="0"/>
        <w:tabs>
          <w:tab w:leader="none" w:pos="1300" w:val="left"/>
        </w:tabs>
        <w:numPr>
          <w:ilvl w:val="0"/>
          <w:numId w:val="1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Lympho-Hematopoietic Indication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and,</w:t>
      </w: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Cancer Indication.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the first indication = €1.0 million (subsequently reduced to €0.5 million);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the second indication = €0.5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the third indication = €0.3 million;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fee on any additional indications = no license fee.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year ended December 31, 2021, 2020 and 2019, there were no costs incurred for the above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4" w:lineRule="exact"/>
        <w:rPr>
          <w:sz w:val="20"/>
          <w:szCs w:val="20"/>
          <w:color w:val="auto"/>
        </w:rPr>
      </w:pPr>
    </w:p>
    <w:p>
      <w:pPr>
        <w:ind w:firstLine="8"/>
        <w:spacing w:after="0" w:line="195" w:lineRule="auto"/>
        <w:tabs>
          <w:tab w:leader="none" w:pos="120" w:val="left"/>
        </w:tabs>
        <w:numPr>
          <w:ilvl w:val="0"/>
          <w:numId w:val="1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later amended the License agreement focusing on GBM options. The TEM-MM option fee has never been exercised and instead the related research was abandoned in early 2021.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4" w:name="page175"/>
    <w:bookmarkEnd w:id="174"/>
    <w:p>
      <w:pPr>
        <w:ind w:left="720"/>
        <w:spacing w:after="0"/>
        <w:rPr>
          <w:sz w:val="20"/>
          <w:szCs w:val="20"/>
          <w:color w:val="auto"/>
        </w:rPr>
      </w:pPr>
      <w:r>
        <w:rPr>
          <w:rFonts w:ascii="Times New Roman" w:cs="Times New Roman" w:eastAsia="Times New Roman" w:hAnsi="Times New Roman"/>
          <w:sz w:val="18"/>
          <w:szCs w:val="18"/>
          <w:color w:val="auto"/>
        </w:rPr>
        <w:t>The protocol TEM-GBM_001 received approval by national Competent Authorities in September 2018 and recruited the first patient in April</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Amendment #2</w:t>
      </w:r>
    </w:p>
    <w:p>
      <w:pPr>
        <w:spacing w:after="0" w:line="227" w:lineRule="exact"/>
        <w:rPr>
          <w:sz w:val="20"/>
          <w:szCs w:val="20"/>
          <w:color w:val="auto"/>
        </w:rPr>
      </w:pPr>
    </w:p>
    <w:p>
      <w:pPr>
        <w:jc w:val="both"/>
        <w:ind w:left="80" w:firstLine="648"/>
        <w:spacing w:after="0" w:line="253" w:lineRule="auto"/>
        <w:rPr>
          <w:sz w:val="20"/>
          <w:szCs w:val="20"/>
          <w:color w:val="auto"/>
        </w:rPr>
      </w:pPr>
      <w:r>
        <w:rPr>
          <w:rFonts w:ascii="Times New Roman" w:cs="Times New Roman" w:eastAsia="Times New Roman" w:hAnsi="Times New Roman"/>
          <w:sz w:val="18"/>
          <w:szCs w:val="18"/>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years ended December 31, 2021, 2020 and 2019, the comparable costs incurred and expensed for the GBM program were approximately €1.0 million, €1.0 million and €0.6 million, respectively.</w:t>
      </w:r>
    </w:p>
    <w:p>
      <w:pPr>
        <w:spacing w:after="0" w:line="194" w:lineRule="exact"/>
        <w:rPr>
          <w:sz w:val="20"/>
          <w:szCs w:val="20"/>
          <w:color w:val="auto"/>
        </w:rPr>
      </w:pPr>
    </w:p>
    <w:p>
      <w:pPr>
        <w:jc w:val="both"/>
        <w:ind w:left="80" w:firstLine="648"/>
        <w:spacing w:after="0" w:line="282" w:lineRule="auto"/>
        <w:rPr>
          <w:sz w:val="20"/>
          <w:szCs w:val="20"/>
          <w:color w:val="auto"/>
        </w:rPr>
      </w:pPr>
      <w:r>
        <w:rPr>
          <w:rFonts w:ascii="Times New Roman" w:cs="Times New Roman" w:eastAsia="Times New Roman" w:hAnsi="Times New Roman"/>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Amendment #3</w:t>
      </w:r>
    </w:p>
    <w:p>
      <w:pPr>
        <w:spacing w:after="0" w:line="227" w:lineRule="exact"/>
        <w:rPr>
          <w:sz w:val="20"/>
          <w:szCs w:val="20"/>
          <w:color w:val="auto"/>
        </w:rPr>
      </w:pPr>
    </w:p>
    <w:p>
      <w:pPr>
        <w:jc w:val="both"/>
        <w:ind w:left="80" w:firstLine="648"/>
        <w:spacing w:after="0" w:line="256" w:lineRule="auto"/>
        <w:rPr>
          <w:sz w:val="20"/>
          <w:szCs w:val="20"/>
          <w:color w:val="auto"/>
        </w:rPr>
      </w:pPr>
      <w:r>
        <w:rPr>
          <w:rFonts w:ascii="Times New Roman" w:cs="Times New Roman" w:eastAsia="Times New Roman" w:hAnsi="Times New Roman"/>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summary, the Amendment #3 formalized the new arrangement as follows:</w:t>
      </w:r>
    </w:p>
    <w:p>
      <w:pPr>
        <w:spacing w:after="0" w:line="225" w:lineRule="exact"/>
        <w:rPr>
          <w:sz w:val="20"/>
          <w:szCs w:val="20"/>
          <w:color w:val="auto"/>
        </w:rPr>
      </w:pPr>
    </w:p>
    <w:p>
      <w:pPr>
        <w:ind w:left="980" w:right="20" w:hanging="324"/>
        <w:spacing w:after="0" w:line="261"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 fee on the first solid cancer indication = €0.5 million (accrued in 2019, since it was considered probable, and paid in December 2020); plus,</w:t>
      </w: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enter into a Sponsored Research Agreement by February 2021;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 fee on the second indication = €0.5 million (accrued at December 31, 2020 and was paid on June 30, 2021).</w:t>
      </w:r>
    </w:p>
    <w:p>
      <w:pPr>
        <w:spacing w:after="0" w:line="207" w:lineRule="exact"/>
        <w:rPr>
          <w:sz w:val="20"/>
          <w:szCs w:val="20"/>
          <w:color w:val="auto"/>
        </w:rPr>
      </w:pPr>
    </w:p>
    <w:p>
      <w:pPr>
        <w:jc w:val="both"/>
        <w:ind w:left="80" w:firstLine="648"/>
        <w:spacing w:after="0" w:line="281" w:lineRule="auto"/>
        <w:rPr>
          <w:sz w:val="20"/>
          <w:szCs w:val="20"/>
          <w:color w:val="auto"/>
        </w:rPr>
      </w:pPr>
      <w:r>
        <w:rPr>
          <w:rFonts w:ascii="Times New Roman" w:cs="Times New Roman" w:eastAsia="Times New Roman" w:hAnsi="Times New Roman"/>
          <w:sz w:val="17"/>
          <w:szCs w:val="17"/>
          <w:color w:val="auto"/>
        </w:rPr>
        <w:t>At December 31, 2022, no milestones were achieved related to any indication, as provided by License Agreement and subsequent amendments, therefore, no such payments were due to OSR. The Company has paid €1.25 million to OSR, since inception under the license agreement. No events have occurred or have been achieved (and none are considered probable) to trigger any contingent payments under the license agreement at December 31, 2021. For information relating to the contingency payments or future milestones for these indications, please refer to Note 14 - Commitments and Contingencies.</w:t>
      </w:r>
    </w:p>
    <w:p>
      <w:pPr>
        <w:spacing w:after="0" w:line="164" w:lineRule="exact"/>
        <w:rPr>
          <w:sz w:val="20"/>
          <w:szCs w:val="20"/>
          <w:color w:val="auto"/>
        </w:rPr>
      </w:pPr>
    </w:p>
    <w:p>
      <w:pPr>
        <w:jc w:val="both"/>
        <w:ind w:left="80" w:firstLine="648"/>
        <w:spacing w:after="0" w:line="256" w:lineRule="auto"/>
        <w:rPr>
          <w:sz w:val="20"/>
          <w:szCs w:val="20"/>
          <w:color w:val="auto"/>
        </w:rPr>
      </w:pPr>
      <w:r>
        <w:rPr>
          <w:rFonts w:ascii="Times New Roman" w:cs="Times New Roman" w:eastAsia="Times New Roman" w:hAnsi="Times New Roman"/>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Amendment #4</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28, 2021, the fourth amendment to the License Agreement was signed with the aim to extend the deadline for the definition of the second Solid Cancer Indication. If the Company is not able to obtain approval of the Regulatory Authorities to initiate a human clinical trial in any country with respect to solid liver cancer on or before September 30, 2022, then the Company shall have the right, at no additional cost, to convert the option exercise for the second Solid Cancer Indication to an indication (the “Alternate Indication”) other than solid liver cancer, upon written notice to OSR, such notice to be delivered to OSR within September 30, 2022. Under the amendment, the Company will be entitled to exercise the Option set forth above with respect to any other Solid Cancer Indication for the remainder of the Option Period that will expire on December 23, 2022 and shall not be subject to further extensions.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recorded expenses for OSR for clinical trials in the amount of approximately €1.0 million, respectively.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2021, the cumulative total amount of expenses for the OSR clinical trial activity from inception amounted to €8.3 million and it includes the cost for the exercise of the first and the second Solid Cancer indication Option fee of €1.0 million.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#Amendment 5</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22, 2022, the fifth amendment to the License Agreement was signed with the aim to clarify certain terms. It has been stated that solely with respect to GBM, “IND” means an investigational new drug application (including any amendment or supplement thereto) submitted to the FDA pursuant to Part 312 of Title 21 of the U.S. Code of Federal Regulations. IND shall include any comparable filing(s) outside the United States of America for the investigation of any product in any other country or group of countries (such as a Clinical Trial Application, or CTA, in the European Union).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with respect to Licensed Products for GBM, the Company has committed to carry out a Phase III Clinical Trial also in the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GBM, the Company shall pay to OSR an additional Milestone Payment equal to €350,000 upon the first patient being dosed in a Phase III Clinical Trial in the US with respect to a Licensed Product for GBM.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 over with regards to termination rights, if the Company has not filed an IND with respect to such Solid Cancer Indication within three (3) years from the date of the exercise of the option (or, in relation to GBM, has not dosed the first patient with a Licensed Product for GBM in a Phase III Clinical Trial started in the US within 72 months from the first patient being dosed in the first in human clinical trial of such applicable Licensed Product for GBM), the termination rights shall be limited to such Licensed Product in the Terminated Solid Cancer Indication. Any further activity on such Licensed Product in the Terminated Solid Cancer Indication shall be immediately discontinued by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no milestones were achieved related to any indication, as provided by the License Agreement; therefore, no payments were due to OSR, nor other contingencies exist.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Funding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years ended December 2021 and 2020, the Company expensed €0 and approximately €105,000,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Research Agreement (SRA)</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76" w:lineRule="exact"/>
        <w:rPr>
          <w:sz w:val="20"/>
          <w:szCs w:val="20"/>
          <w:color w:val="auto"/>
        </w:rPr>
      </w:pPr>
    </w:p>
    <w:p>
      <w:pPr>
        <w:ind w:left="1620" w:hanging="316"/>
        <w:spacing w:after="0" w:line="282" w:lineRule="auto"/>
        <w:tabs>
          <w:tab w:leader="none" w:pos="1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6" w:name="page177"/>
    <w:bookmarkEnd w:id="176"/>
    <w:p>
      <w:pPr>
        <w:jc w:val="both"/>
        <w:ind w:left="1620" w:hanging="316"/>
        <w:spacing w:after="0" w:line="266" w:lineRule="auto"/>
        <w:tabs>
          <w:tab w:leader="none" w:pos="1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and 2021 respectively, the Company paid and expensed €500,000 related to the SRA.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#01 to the Agreement of March 2, 2019</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27, 2022, OSR and the Company signed Amendment #01 as an amendment to the Agreement for Clinical Trials called: “Phase I/IIa clinical trial to assess the safety and efficacy of increasing doses of autologous CD34+ hematopoietic stem cells genetically modified with a lentiviral vector encoding for the human interferon-alpha2 gene in patients with Glioblastoma Multiforme with unmethylated MGMT gene promoter” (“Clinical Trial”) relating to protocol number TEMGBM_001; EudraCT 2018-001404-11. The Amendment #01 aimed to allocate to the TEM-GBM study the fee for the personnel shares not accrued and originally allocated to the TEM-MM study for: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Investigator €105,000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Data Manager €92,500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€197,500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2022, the Company recorded trial expenses for €158,000 in the consolidated statement of operations and comprehensive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 dated September 29, 2022</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29, 2022, OSR and the Company signed a new letter regarding the License Agreement entered into on December 15, 2014 to agree that each of the Alternative Indication Notice Period (as defined in Section 2 of Amendment No.4 to the Agreement, dated September 28, 2021) and the Competing Product Option Period (as defined in Section 5 of Amendment No.3 to the Agreement, dated December 23, 2020) are extended to December 23,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 dated December 22, 2022</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22, 2022, OSR and the Company signed a new letter regarding the License Agreement entered into on December 15, 2014 to agree that each of the Alternative Indication Notice Period (as defined in Section 2 of Amendment No.4 to the Agreement, dated September 28, 2021) and the Competing Product Option Period (as defined in Section 5 of Amendment No.3 to the Agreement, dated December 23, 2020) are extended to March 23,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 non-cancelable lease agreement for office space in January 2020 (see Note 14).</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 obligations by contractual maturity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Less than 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1 to 3</w:t>
            </w:r>
          </w:p>
        </w:tc>
        <w:tc>
          <w:tcPr>
            <w:tcW w:w="24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4 to 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More than</w:t>
            </w:r>
          </w:p>
        </w:tc>
      </w:tr>
      <w:tr>
        <w:trPr>
          <w:trHeight w:val="245"/>
        </w:trPr>
        <w:tc>
          <w:tcPr>
            <w:tcW w:w="3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5 years</w:t>
            </w: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 Euros)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operating leases and office rent</w:t>
            </w:r>
          </w:p>
        </w:tc>
        <w:tc>
          <w:tcPr>
            <w:tcW w:w="7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29,600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14,800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14,800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AGC manufacturing</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552,700</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58,150</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21,589</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14,593</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31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603,889</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499,346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w w:val="92"/>
              </w:rPr>
              <w:t>87,543</w:t>
            </w: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17,000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commitments with OSR relate to the office rent agreement, the commitments with AGC Biologic relate to product manufacturing and stability studies on plasmid batch and the commitments for insurance policies relate to the non-lease component of the car lease agreement with BMW Italia S.p.A.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CMOs and CROs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i w:val="1"/>
          <w:iCs w:val="1"/>
          <w:color w:val="auto"/>
        </w:rPr>
        <w:t>OSR - San Raffaele Hospital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Multiple myeloma (MM)</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13,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Glioblastoma multiforme (GBM)</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13, in December 2020, the Company had one indication ongoing, GBM. The Company’s contingent liability for this first solid cancer indication potentially payable to OSR was €53 million, as explained above.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Liver cancer (LC)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agreements also include a €7.8 million commitment related to the development and manufacturing of licensed products, of which the Company had incurred €1.3 million, €1.2 million and €1.5 million of expense during the years ended December 31, 2022, 2021 and 2020. The cumulative expense to date is approximately €6.7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AGC Biologics (formerly MolMed)</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 -you-go”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for a total amount of €259,000,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 In October 2021 the Company entered into Side Letter to the Framework Service Agreement with ACG Biologics to perform the manufacture of one (1) additional </w:t>
      </w:r>
      <w:r>
        <w:rPr>
          <w:rFonts w:ascii="Times New Roman" w:cs="Times New Roman" w:eastAsia="Times New Roman" w:hAnsi="Times New Roman"/>
          <w:sz w:val="18"/>
          <w:szCs w:val="18"/>
          <w:i w:val="1"/>
          <w:iCs w:val="1"/>
          <w:color w:val="auto"/>
        </w:rPr>
        <w:t>GMP</w:t>
      </w:r>
      <w:r>
        <w:rPr>
          <w:rFonts w:ascii="Times New Roman" w:cs="Times New Roman" w:eastAsia="Times New Roman" w:hAnsi="Times New Roman"/>
          <w:sz w:val="18"/>
          <w:szCs w:val="18"/>
          <w:color w:val="auto"/>
        </w:rPr>
        <w:t xml:space="preserve"> batch of 24L INFa LV vector (TIA-126 LV) in 2021 (the “LVV Batch”) in connection with the Study TEM-GBM001, Genenta is in the process of completing, for a total amount of €311,280. In December 2021 the Company entered into Side Letter to the Framework Service Agreement with ACG Biologics to perform the manufacture of one (1) additional </w:t>
      </w:r>
      <w:r>
        <w:rPr>
          <w:rFonts w:ascii="Times New Roman" w:cs="Times New Roman" w:eastAsia="Times New Roman" w:hAnsi="Times New Roman"/>
          <w:sz w:val="18"/>
          <w:szCs w:val="18"/>
          <w:i w:val="1"/>
          <w:iCs w:val="1"/>
          <w:color w:val="auto"/>
        </w:rPr>
        <w:t>GMP</w:t>
      </w:r>
      <w:r>
        <w:rPr>
          <w:rFonts w:ascii="Times New Roman" w:cs="Times New Roman" w:eastAsia="Times New Roman" w:hAnsi="Times New Roman"/>
          <w:sz w:val="18"/>
          <w:szCs w:val="18"/>
          <w:color w:val="auto"/>
        </w:rPr>
        <w:t xml:space="preserve"> batch of 24L INFa LV vector (TIA-126 LV) in 2022 (the “LVV Batch”) in connection with the Study TEM-GBM001, Genenta is in the process of completing, for a total amount of €311,280. In March 2022, the Company entered into Side Letter to the Framework Service Agreement with ACG Biologics to perform the manufacture of one (1) additional GMP batch of 24L INFa LV vector (TIA-126 LV) in 2022 for use in connection with the Study for €272,800. In October 2022, the Company entered into Side Letter to the Master Service Agreement dated March 6, 2019 to negotiate a technology transfer agreement regarding the transfer and implementation of the manufacturing process in the AGC facility located in Bresso, including timeline, budget and the technology transfer protocol (the “Tech Transfer”) and AGC agreed with the Company to procure raw materials to be use under the Tech Transfer. On December 2022, the Company signed respectively the Amendment#1 to the Master Service Agreement dated March 6, 2019 mainly to update the definition of raw materials and the Process Transfer Agreement to agree on producing the raw materials necessary for the performance of the service under the letter dated October 2022 for a total commitment of €405,000 for raw materials and €24,000 for the stability timepoints.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8" w:name="page179"/>
    <w:bookmarkEnd w:id="1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early 2020, the Company and AGC amended the Master Service Agreement for the fourth time to regulate some new production activities for which the total estimated budget amounts to €0.3 million. At December 31, 2022, the Company is committed to pay a total of €32,200 relating to various stability timepoints, which will be realized and come due at different times through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2021, the Company extended the stability studies on the plasmid batch pIFNa 16024 (p906) up to nine (9) years and for the year ended December 31, 2021, the Company is committed to pay a total of €51,000 relating to various stability timepoints which will be realized in the future.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2022, the total commitment of the Company for stability endpoints to be realized in the future, amounts to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€83,000.</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2022, the Company signed respectively the Amendment#1 to the Master Service Agreement dated March 6, 2019 mainly to update the definition of raw materials and the Process Transfer Agreement to agree on producing the raw materials necessary for the performance of the service under the letter dated October 2022 for a total commitment of €405,000 for raw materials and €24,000 for the stability timepoints. At December 31, 2022, the total commitment of the Company for the Process Transfer Agreement is €469,500.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 2020, the Company began a six-year non-cancelable lease agreement for office space with OSR. Withdrawal is allowed from the fourth year with a notice of 12 months. Since the annual rent amounts to approximately €14,800, at December 31, 2022, outstanding minimum payments amount to €26,800 until January 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 Pandemic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a development and manufacturing service agreement (“MSA”) with AGC Biologics S.p.A. to manufacture cell therapy lentivirus based product to scaling up the ongoing clinical programs based on results from Phase 1 of the ongoing Phase ½ clinical trial.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23, 2023, the Company entered into an agreement with Ospedale San Raffaele S.r.l. (“OSR”) called The Amendment and Restated License Agreement (“ARLA”). The ARLA amends and restates the license agreement with OSR that the Company entered into on December 15, 2014 (and modifies and replaces all subsequent Amendments No. 1-5 and Letter Agreements). The ARLA is the Company’s new comprehensive agreement with OSR and allows for, among other things, the Company’s right to extend to all solid cancer indications to the field of use of the license. The ARLA also provides the Company an expansion of the licensed product definition, an increase in the breadth of the Company’s intellectual property rights, and two combination candidate products for further development at an additional fee. The ARLA is an amendment and restatement of the existing OSR license agreement with the Company and is subject to customary clearance of the Golden Power Regulation by the Italian government and is not yet effective. The ARLA will go into effect following the consent from the applicable governmental authority, or after the statutory period lapses without any response, in which case the default is the consent.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4718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is an English translation of a document in Italian language. In preparing this document, an attempt 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I</w:t>
      </w:r>
    </w:p>
    <w:p>
      <w:pPr>
        <w:spacing w:after="0" w:line="2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CORPORATE NAME – CORPORATE PURPOSE – REGISTERED OFFICE – SHAREHOLDERS’ DOMICILE –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 – Corporate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joint stock company has been incorporated under the name: “Genenta Science S.p.A.”.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2 – Registered office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 The Company has its registered office in the Municipality of Milan, at the address resulting from the registration with the Register of Enterprises of Milan, pursuant to section 111 -ter of the preliminary dispositions prefacing the Italian Civil Code and transitory provisions.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 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 – Shareholders’ domicile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shareholder’s address for all relationships with the Company is deemed to be the address resulting from the Shareholders’ ledger. Each Shareholder must communicate any change in address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5743575" cy="6343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0" w:name="page181"/>
    <w:bookmarkEnd w:id="180"/>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Article 4 – Corporate purpose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achieves the following purpose:</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processing of materials and provision of services in relation to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improvement of new technologies and procedures in relation to the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production, production and distribution on own behalf and on behalf of third parties of pharmaceutical and para-pharmaceutical products, bio-technological, biologic and chemical products and their derivatives;</w:t>
      </w: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 and organization or updates to its offering of scientific courses.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 The Company may also take on and sell, directly or indirectly, interests in or investments in other companies or enterprise whether established or in the process of establishment, whose purpose is similar, related or in any way connected to its own.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 Duration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Company is scheduled to expire on 31 December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TITLE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AND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6 – Capital and shares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6.1 The corporate capital of the Company is equal to Euro 371,685.80 and is divided into number 18,216,858 shares without an expressed nominal value.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The corporate capital may also be increased by issuing shares entailing rights other than those granted by the previous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6.3 The capital increase may take place through contribution in cash or in kind or of receivables, whether proportional or not, in compliance with applicable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6.4 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6.5 Pursuant to section 2346, par. 1, of the Italian Civil Code, unless otherwise provided by applicable law, evidencing shares representing the Company’s capital shall not be represented by share certificates. The shares shall be uncertificated (dematerializzate) pursuant to section 83-bis et seq. of Legislative Decree no. 58 of 24 February 1998.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6.6 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5743575" cy="6343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shareholders’ meeting dated 20 May 2021 resolved to:</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share capital against payment, in one or more instalments on a divisible basis, excluding the pre-emption right under Article 2441 paragraph 5, Italian Civil Code up to a maximum sum of Euro 115,000,000 (including share premium), with a contribution to the share capital of Euro 0.10 per share, by issuing a maximum of 11,500,000 new ordinary shares with no indication of their nominal value and with regular dividend entitlement, in order to service the admission of the Company’s ADSs to listing on the Nasdaq Capital Market, granting a mandate to the Board of Directors to execute, even in several tranches, the proposed capital increase, in the amounts indicated above, by 31 December 2021, of which a maximum of 10,000.000 ordinary shares, for a countervalue of Euro 100,000,000 (including share premium), to service the IPO (i.e. the ADS Placing and the Reserved Shareholders’ Placing); a maximum of 1,500.000 ordinary shares (and in any case up to a maximum limit of 15% of the number of shares that will be issued servicing the IPO and the admission of the Company to listing on the Nasdaq Capital Market), for a countervalue of Euro 15,000,000 (including the share premium), servicing the possible exercise of the Greenshoe Option;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the Board of Directors, in accordance with the Article 2443 of the Italian Civil Code, the power to approve the issuance of up to a maximum of 500,000 warrants to be assigned to the Underwriters, approving the related regulations, and therefore the power to further increase the share capital in one or more tranches to service the exercise of the warrants by a further maximum nominal amount of Euro 5,000,000 (including share premium), with a contribution to the share capital of Euro 0.10 per share, through the issuance of up to a further maximum of 500,000 ordinary shares (and therefore the power to increase the share capital in one or more tranches) by Euro 0.10 per share, to service the exercise of the Greenshoe Option; and 500,000 ordinary shares (and in any case within the maximum limit of 4% of the ADSs servicing the IPO and the criteria set forth in the agreements entered into by the Company in connection with the IPO), represented by ADSs, faculty to be exercised no later than 31 December 2021 (it being understood that the Board of Directors may, when exercising its delegated powers, set the terms and conditions of the issue) with the express waiver by the shareholders of any further terms and conditions when exercising the proxy;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share capital against payment, in one or more instalments on a divisible basis, excluding pre-emption right under Article 2441, paragraph 5 of the Italian Civil Code, up to a maximum amount of Euro 1,000,000 (one hundred and twenty-five per cent), up to a maximum amount of Euro 27,000,000 (including share premium) with a contribution to the share capital of Euro 0.10 per share, through the issue of up to 2,700,000 new ordinary shares with no indication of their express par value and regular dividend rights (and in any case within the maximum limit of 10% of the number of shares outstanding at the time of issue in addition to those that may be issued based on the existing Warrants), to service the stock option plan called “Equity Incentive Plan 2021 – 2025”, authorizing the Board of Directors to execute the proposed capital increase, even in several tranches, by the deadline of 31 December 2025, as well as to define the issue price and the amount to be allocated to share capital and the amount to be allocated to 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5743575" cy="6343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both"/>
        <w:ind w:left="660" w:hanging="328"/>
        <w:spacing w:after="0" w:line="253"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the Board of Directors a proxy, pursuant to Article 2443 of the Italian Civil Code, to increase the share capital against payment, in accordance with the provisions of Article 2443 of the Italian Civil Code, to increase the share capital for cash, on one or more occasions and in separate issues, up to a maximum amount of Euro 300,000,000 (including share premium), by issuing up to 30,000,000 new ordinary shares with no indication of their express par value and regular dividend rights, also excluding pre-emption rights or on a free basis, also pursuant to Article 2441, paragraphs 4, 5 and 8 of the Italian Civil Code, for a period of 5 years, in accordance with Article 2441, paragraph 2 of the Italian Civil Code. The Board of Directors may also grant a proxy pursuant to Article 2420-ter of the Italian Civil Code, for a period of 5 years, for the contribution by third parties of equity investments and/or industrial and intellectual property rights and similar intangible assets (such as patents, trademarks, know-how) that can be conferred and are deemed by the Board of Directors to be instrumental to the achievement of the corporate purpose, to issue, in one or more instalments, bonds convertible into ordinary shares, up to the same maximum total amount of Euro 300,000,000 (including share premium), with a consequent increase in share capital to service the conversion, also excluding pre-emption right, also pursuant to Article 2441, paragraphs 4, 5 and 8 of the Italian Civil Code for a period of 5 years.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by resolution dated November 8, 2021, in execution of the authority granted by the shareholders’ meeting dated May 20, 2021, resolved to increase the share capital of a maximum amount of Euro 5,000,000 (including share premium), with a contribution to the share capital of Euro 0.10 per share, to be executed, in one or more instalments, by issuing a maximum of no. 500,000 ordinary shares with a nominal value of EUR 0.10 each (and in any case within the maximum limit of 4% of the ADSs to the service of the IPO and according to the criteria set out in the agreements entered into by the Company in relation to the IPO) within the final term of December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7 – Transfer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may be freely transferred.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8 – Issuance of Debt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may approve the issuance of debt securities (obbligazioni)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5743575" cy="6343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TITLE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 Shareholders’ meetings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 Shareholders’ meetings shall be held at the registered office of the Company or elsewhere, provided that the location is in Italy or in another country within the European Union or in the United States of America.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meetings can be called at any time as the Board of Directors deems it necessary or upon request by Shareholders representing at least 10% of the share capital.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 Shareholders entitled to vote at a Shareholders’ Meeting may vote in advance of the Shareholders’ Meeting by mail or, if specified in the notice of the meeting, electronically in such manner as specified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spacing w:after="0" w:line="180"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mail with return receipt requested;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with electronic acknowledgment of receipt;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long as the notice is received by the addressee at least 8 calendar days before the date set for the meeting with evidence thereof as provided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shall also be posted on the Company’s web site.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notice shall set forth the agenda for the meeting as well as the date and place where the meeting is to be held and the date for an adjourned meeting in the event a quorum is missing on the original date set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920115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5743575" cy="6343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9.4 The Shareholders’ meeting shall be chaired by a person selected by those in attendance.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meeting notice may specify alternative locations, whether in the registered office or elsewhere, where Shareholders may convene to participate via teleconference or videoconference connection.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9.6 A Shareholders’ meeting shall be deemed to have been validly called and convened and can duly act according to such majorities as provided by applicable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9.7 At an ordinary Shareholders’ meeting Shareholders may adopt resolutions with respect to any and all matters as to which Shareholders have the power to vote pursuant to applicable law or this corporate charter.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9.8 At a special Shareholders’ meeting Shareholders may adopt resolutions with respect to any amendments to this corporate charter, the issuance of debt securities convertible into shares, any issuance of additional shares (aumento di capitale), the appointment, replacement and powers of receivers and liquidators, and any and all other matters as to which Shareholders have the power to vote pursuant to applicable law or this corporate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Each share entitles the holder to one vote, subject to the provisions of this corporate charter with respect to particular classes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 Any shareholder may name a proxy to represent such Shareholder at the Shareholders’ meeting subject to section 2372 of the Italian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TITLE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 – Board of Directors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10.1 The Company shall be managed by a Board of Directors composed of a minimum of three directors and a maximum of seven directors, as determined by the resolution of the shareholders at the time of the election.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non-compete obligation upon directors, pursuant to Article 2390 of the Italian Civil Code, does not apply.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directors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slates submitted without compliance with the above requirements shall be deemed not to have been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Directors to be filled as provided in clause</w:t>
      </w:r>
    </w:p>
    <w:p>
      <w:pPr>
        <w:spacing w:after="0" w:line="3" w:lineRule="exact"/>
        <w:rPr>
          <w:sz w:val="20"/>
          <w:szCs w:val="20"/>
          <w:color w:val="auto"/>
        </w:rPr>
      </w:pPr>
    </w:p>
    <w:p>
      <w:pPr>
        <w:jc w:val="both"/>
        <w:ind w:firstLine="8"/>
        <w:spacing w:after="0" w:line="255" w:lineRule="auto"/>
        <w:tabs>
          <w:tab w:leader="none" w:pos="18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Directors shall be elected for a three-year term and may be re-elected, except as otherwise resolved by Shareholders at the time of their election.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10.3 The Board of Directors shall appoint a Chairman among its members, unless the Chairman is not appointed by a vote of Shareholders’, as well as a Deputy Chairman.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10.4 Meetings of the Board of Directors may be called by the Chairman or the Deputy Chairman and shall be called upon request by at least one director or by the Board of Auditors.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Resolutions of the Board of Directors’ shall be deemed validly adopted if a majority of directors in office are present at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 Resolutions of the Board of Directors shall be deemed approved with the favourable vote of a majority of the directors present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10.7 The Board of Directors may act with respect to any and all matters related to the ordinary and extraordinary affairs of the Company as necessary and/or appropriate for the conduct of the Company’s business in accordance with its purpose.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also have authority with respect to the following matters:</w:t>
      </w:r>
    </w:p>
    <w:p>
      <w:pPr>
        <w:spacing w:after="0" w:line="225"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concerning mergers in the cases referred to in Articles 2505, 2505-bis and 2506-ter of the Italian Civil Code;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the share capital in case of withdrawal of a shareholder;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Articles of Association to comply with applicable law provisions.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The Board of Directors may appoint one or more deputy chairs and designate a Secretary, which need not be a director.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 shall be entitled to reimbursement of the expenses incurred in fulfilling to their responsibilities.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929005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5743575" cy="6343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a meeting must indicate the place of the meeting, which may be the registered office or the Company or elsewhere, provided that it is in Italy, in another country within the European Union or in the United States of America.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10.17 Any director who has a conflict of interest with respect to a matter to be acted upon must disclose it to the other directors according section 2391 of the Italian Civil Code.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 Board of Directors’ resolutions shall be set forth in minutes signed by the Chairman and the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TITLE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 – Board of Auditors and Internal Auditing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The Board of Auditors shall consist of three statutory and two alternate members and shall act in accordance with applicable law.</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share capital eligible to vote at the Shareholders’ meeting at which members of the Board of Auditors are to be elected,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slates submitted without compliance with the above requirements shall be deemed not to have been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 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937260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5743575" cy="6343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11.4 For anything not provided herein, the Italian Civil Code and applicable laws concerning internal audit committees and the auditing function shall apply.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12 – Withdrawal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Shareholders may exercise their right of withdrawal in the cases and according to the procedures provided by applicable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However, withdrawal right shall be excluded for those shareholders who have not taken part in or have voted against the resolutions concerning:</w:t>
      </w:r>
    </w:p>
    <w:p>
      <w:pPr>
        <w:spacing w:after="0" w:line="225"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removal of any restraint on circulation of the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the Company’s term.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13 – Financial statements and Profits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13.1 The Company’s fiscal year shall end on 31 December of each year. At the end of each fiscal year, the Board of Directors shall have financial statements prepared in accordance with applicable law.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13.2 5% of the net profits resulting from the year-end financial statements shall be set aside as legal reserves, until the aggregate amount allocated to such reserve equals one fifth of the share capital.</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13.3 The remaining net profits shall be available for the payment of dividends as approved at a meeting of Shareholders or for such other purposes as the Shareholders will deem most appropriate or necessary.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 Dividends not collected within five years following the day on which they became payable shall be deemed forfeited back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5743575" cy="6343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714500" cy="4718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TITLE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14 – Winding-up and Liquidation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the Company be wound up at any time, the Shareholders acting at a duly called and convened meeting shall approve procedures to be followed for liquidation and shall appoint one or more receivers or liquidators, as their powers.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15 – Final provisions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matter not specifically provided in this corporate charter shall be governed by the provisions of the Italian Civil Code and other applicable laws then in force with respect to joint stock companies.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prejudice to the above, disputes to which the Company, the directors and/or liquidators, shareholders or other persons who have acted in the interest and on behalf of the Company are part of and which derive from, or are inherent to, the provisions of the United States Securities Act of 1933 and / or of the United States Exchange Act of 1934, as subsequently amended and supplemented, and the related implementing provisions, are subject, as permitted by applicable law, to the exclusive jurisdiction of the United States Federal Court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5743575" cy="6343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5743575" cy="6343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8380" w:type="dxa"/>
            <w:vAlign w:val="bottom"/>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Subsidiaries of Genenta Science S.p.A.</w:t>
            </w:r>
          </w:p>
        </w:tc>
      </w:tr>
      <w:tr>
        <w:trPr>
          <w:trHeight w:val="473"/>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8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Genenta Science, Inc.</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Delaware</w:t>
            </w:r>
          </w:p>
        </w:tc>
      </w:tr>
      <w:tr>
        <w:trPr>
          <w:trHeight w:val="448"/>
        </w:trPr>
        <w:tc>
          <w:tcPr>
            <w:tcW w:w="2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95" w:name="page196"/>
    <w:bookmarkEnd w:id="19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HAS BEEN OMITTED BECAUSE IT IS NOT MATERIAL AND IS THE TYPE THAT THE REGISTRANT TREATS AS PRIVATE AND CONFIDENTIAL.</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10.17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ARLA</w:t>
      </w:r>
      <w:r>
        <w:rPr>
          <w:rFonts w:ascii="Times New Roman" w:cs="Times New Roman" w:eastAsia="Times New Roman" w:hAnsi="Times New Roman"/>
          <w:sz w:val="18"/>
          <w:szCs w:val="18"/>
          <w:color w:val="auto"/>
        </w:rPr>
        <w:t>”) attached herewith under the Enclosure is executed on March 23, 2023 (the “</w:t>
      </w:r>
      <w:r>
        <w:rPr>
          <w:rFonts w:ascii="Times New Roman" w:cs="Times New Roman" w:eastAsia="Times New Roman" w:hAnsi="Times New Roman"/>
          <w:sz w:val="18"/>
          <w:szCs w:val="18"/>
          <w:b w:val="1"/>
          <w:bCs w:val="1"/>
          <w:color w:val="auto"/>
        </w:rPr>
        <w:t>ARLA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Ospedale San Raffaele S.r.l.</w:t>
      </w:r>
      <w:r>
        <w:rPr>
          <w:rFonts w:ascii="Times New Roman" w:cs="Times New Roman" w:eastAsia="Times New Roman" w:hAnsi="Times New Roman"/>
          <w:sz w:val="18"/>
          <w:szCs w:val="18"/>
          <w:color w:val="auto"/>
        </w:rPr>
        <w:t>, an Italian company having registered office at via Olgettina No. 60, 20132, Milan, Italy,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Code 07636600962, duly represented for the purposes hereof by its Managing Director, Ing. Marco Centenari (“</w:t>
      </w:r>
      <w:r>
        <w:rPr>
          <w:rFonts w:ascii="Times New Roman" w:cs="Times New Roman" w:eastAsia="Times New Roman" w:hAnsi="Times New Roman"/>
          <w:sz w:val="18"/>
          <w:szCs w:val="18"/>
          <w:b w:val="1"/>
          <w:bCs w:val="1"/>
          <w:color w:val="auto"/>
        </w:rPr>
        <w:t>OSR</w:t>
      </w:r>
      <w:r>
        <w:rPr>
          <w:rFonts w:ascii="Times New Roman" w:cs="Times New Roman" w:eastAsia="Times New Roman" w:hAnsi="Times New Roman"/>
          <w:sz w:val="18"/>
          <w:szCs w:val="18"/>
          <w:color w:val="auto"/>
        </w:rPr>
        <w:t xml:space="preserve">”), on the one side, and </w:t>
      </w:r>
      <w:r>
        <w:rPr>
          <w:rFonts w:ascii="Times New Roman" w:cs="Times New Roman" w:eastAsia="Times New Roman" w:hAnsi="Times New Roman"/>
          <w:sz w:val="18"/>
          <w:szCs w:val="18"/>
          <w:b w:val="1"/>
          <w:bCs w:val="1"/>
          <w:color w:val="auto"/>
        </w:rPr>
        <w:t xml:space="preserve">Genenta Science S.p.a., </w:t>
      </w:r>
      <w:r>
        <w:rPr>
          <w:rFonts w:ascii="Times New Roman" w:cs="Times New Roman" w:eastAsia="Times New Roman" w:hAnsi="Times New Roman"/>
          <w:sz w:val="18"/>
          <w:szCs w:val="18"/>
          <w:color w:val="auto"/>
        </w:rPr>
        <w:t>an Italian company having registered office at via Olgettina No. 60, 20132, Milan, Italy, Fiscal Code 08738490963,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for the purposes hereof by its Chief Executive Officer, Mr. Pierluigi Paracchi (“</w:t>
      </w:r>
      <w:r>
        <w:rPr>
          <w:rFonts w:ascii="Times New Roman" w:cs="Times New Roman" w:eastAsia="Times New Roman" w:hAnsi="Times New Roman"/>
          <w:sz w:val="18"/>
          <w:szCs w:val="18"/>
          <w:b w:val="1"/>
          <w:bCs w:val="1"/>
          <w:color w:val="auto"/>
        </w:rPr>
        <w:t>Genenta</w:t>
      </w:r>
      <w:r>
        <w:rPr>
          <w:rFonts w:ascii="Times New Roman" w:cs="Times New Roman" w:eastAsia="Times New Roman" w:hAnsi="Times New Roman"/>
          <w:sz w:val="18"/>
          <w:szCs w:val="18"/>
          <w:color w:val="auto"/>
        </w:rPr>
        <w:t>”), on the other side (OSR and Genenta shall be, collectively but not jointly, defined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severally,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Particularly, with the execution of the ARLA the Parties intend to further amend that certain license agreement entered into on December 15, 2014 (as amended by Amendment No.1 dated March 16, 2017 (“</w:t>
      </w:r>
      <w:r>
        <w:rPr>
          <w:rFonts w:ascii="Times New Roman" w:cs="Times New Roman" w:eastAsia="Times New Roman" w:hAnsi="Times New Roman"/>
          <w:sz w:val="18"/>
          <w:szCs w:val="18"/>
          <w:b w:val="1"/>
          <w:bCs w:val="1"/>
          <w:color w:val="auto"/>
        </w:rPr>
        <w:t>Amendment No.1</w:t>
      </w:r>
      <w:r>
        <w:rPr>
          <w:rFonts w:ascii="Times New Roman" w:cs="Times New Roman" w:eastAsia="Times New Roman" w:hAnsi="Times New Roman"/>
          <w:sz w:val="18"/>
          <w:szCs w:val="18"/>
          <w:color w:val="auto"/>
        </w:rPr>
        <w:t>”), Amendment No.2 dated February 1, 2019 (“</w:t>
      </w:r>
      <w:r>
        <w:rPr>
          <w:rFonts w:ascii="Times New Roman" w:cs="Times New Roman" w:eastAsia="Times New Roman" w:hAnsi="Times New Roman"/>
          <w:sz w:val="18"/>
          <w:szCs w:val="18"/>
          <w:b w:val="1"/>
          <w:bCs w:val="1"/>
          <w:color w:val="auto"/>
        </w:rPr>
        <w:t>Amendment No.2</w:t>
      </w:r>
      <w:r>
        <w:rPr>
          <w:rFonts w:ascii="Times New Roman" w:cs="Times New Roman" w:eastAsia="Times New Roman" w:hAnsi="Times New Roman"/>
          <w:sz w:val="18"/>
          <w:szCs w:val="18"/>
          <w:color w:val="auto"/>
        </w:rPr>
        <w:t>”), Amendment No. 3 dated December 23, 2020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Amendment No. 4 dated September 28, 2021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Amendment No. 5 dated January 22, 2022 (“</w:t>
      </w:r>
      <w:r>
        <w:rPr>
          <w:rFonts w:ascii="Times New Roman" w:cs="Times New Roman" w:eastAsia="Times New Roman" w:hAnsi="Times New Roman"/>
          <w:sz w:val="18"/>
          <w:szCs w:val="18"/>
          <w:b w:val="1"/>
          <w:bCs w:val="1"/>
          <w:color w:val="auto"/>
        </w:rPr>
        <w:t>Amendment No. 5</w:t>
      </w:r>
      <w:r>
        <w:rPr>
          <w:rFonts w:ascii="Times New Roman" w:cs="Times New Roman" w:eastAsia="Times New Roman" w:hAnsi="Times New Roman"/>
          <w:sz w:val="18"/>
          <w:szCs w:val="18"/>
          <w:color w:val="auto"/>
        </w:rPr>
        <w:t>”) and the letter agreements dated September 29, 2022 and December 22, 2022 (“</w:t>
      </w:r>
      <w:r>
        <w:rPr>
          <w:rFonts w:ascii="Times New Roman" w:cs="Times New Roman" w:eastAsia="Times New Roman" w:hAnsi="Times New Roman"/>
          <w:sz w:val="18"/>
          <w:szCs w:val="18"/>
          <w:b w:val="1"/>
          <w:bCs w:val="1"/>
          <w:color w:val="auto"/>
        </w:rPr>
        <w:t>Letter Agreements</w:t>
      </w:r>
      <w:r>
        <w:rPr>
          <w:rFonts w:ascii="Times New Roman" w:cs="Times New Roman" w:eastAsia="Times New Roman" w:hAnsi="Times New Roman"/>
          <w:sz w:val="18"/>
          <w:szCs w:val="18"/>
          <w:color w:val="auto"/>
        </w:rPr>
        <w:t>”); the license agreement, as amended by Amendment No.1, Amendment No.2, Amendment No.3, Amendment No.4, Amendment No.5, and the Letter Agreements, as well as by this ARLA, is hereinafter referred to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license agreement as amended by Amendments from No.1 to No. 5 is hereinafter referred to as the “</w:t>
      </w:r>
      <w:r>
        <w:rPr>
          <w:rFonts w:ascii="Times New Roman" w:cs="Times New Roman" w:eastAsia="Times New Roman" w:hAnsi="Times New Roman"/>
          <w:sz w:val="18"/>
          <w:szCs w:val="18"/>
          <w:b w:val="1"/>
          <w:bCs w:val="1"/>
          <w:color w:val="auto"/>
        </w:rPr>
        <w:t>Last Amended License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hanging="328"/>
        <w:spacing w:after="0" w:line="257"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extend to all Solid Cancer Indications the Field of Use of the license granted under the Last Amended Licensed Agreement (provided that prior to the ARLA Execution Date Genenta exercised the option granted under the Last Amended License Agreement with respect to GBM (glioblastoma) and LC (solid liver cancer));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carve-out all Lympho-Hematopoietic Indications from the Field of Use of the license granted under the Last Amended Licensed Agreement and grant Genenta an option to include Lympho-Hematopoietic Indications as part of the Field of Use of the license granted under the ARLA;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and conditions set forth in the ARLA.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ARLA Execution Date, the Parties will submit a Golden Power Notification to the competent government authority (according to the Golden Power Regulation), in connection with the amendments to the Last Amended Licensed Agreement as included in the ARLA (the “</w:t>
      </w:r>
      <w:r>
        <w:rPr>
          <w:rFonts w:ascii="Times New Roman" w:cs="Times New Roman" w:eastAsia="Times New Roman" w:hAnsi="Times New Roman"/>
          <w:sz w:val="18"/>
          <w:szCs w:val="18"/>
          <w:b w:val="1"/>
          <w:bCs w:val="1"/>
          <w:color w:val="auto"/>
        </w:rPr>
        <w:t>GP Notification</w:t>
      </w:r>
      <w:r>
        <w:rPr>
          <w:rFonts w:ascii="Times New Roman" w:cs="Times New Roman" w:eastAsia="Times New Roman" w:hAnsi="Times New Roman"/>
          <w:sz w:val="18"/>
          <w:szCs w:val="18"/>
          <w:color w:val="auto"/>
        </w:rPr>
        <w:t>”). The Parties agree and acknowledge that the ARLA shall not come into effect until (i) the Parties receive a response to the GP Notification from the competent government authority that provides the Parties consent to effect the amendments contemplated by the ARLA or</w:t>
      </w:r>
    </w:p>
    <w:p>
      <w:pPr>
        <w:spacing w:after="0" w:line="2" w:lineRule="exact"/>
        <w:rPr>
          <w:rFonts w:ascii="Times New Roman" w:cs="Times New Roman" w:eastAsia="Times New Roman" w:hAnsi="Times New Roman"/>
          <w:sz w:val="18"/>
          <w:szCs w:val="18"/>
          <w:color w:val="auto"/>
        </w:rPr>
      </w:pPr>
    </w:p>
    <w:p>
      <w:pPr>
        <w:jc w:val="both"/>
        <w:ind w:left="660" w:right="20" w:hanging="4"/>
        <w:spacing w:after="0" w:line="255" w:lineRule="auto"/>
        <w:tabs>
          <w:tab w:leader="none" w:pos="94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is inferred by way of silent consent (so called “</w:t>
      </w:r>
      <w:r>
        <w:rPr>
          <w:rFonts w:ascii="Times New Roman" w:cs="Times New Roman" w:eastAsia="Times New Roman" w:hAnsi="Times New Roman"/>
          <w:sz w:val="18"/>
          <w:szCs w:val="18"/>
          <w:i w:val="1"/>
          <w:iCs w:val="1"/>
          <w:color w:val="auto"/>
        </w:rPr>
        <w:t>silenzio assenso</w:t>
      </w:r>
      <w:r>
        <w:rPr>
          <w:rFonts w:ascii="Times New Roman" w:cs="Times New Roman" w:eastAsia="Times New Roman" w:hAnsi="Times New Roman"/>
          <w:sz w:val="18"/>
          <w:szCs w:val="18"/>
          <w:color w:val="auto"/>
        </w:rPr>
        <w:t>”) upon the lapse of the statutory period for delivery of such response ((i) and (ii) hereinafter the “</w:t>
      </w:r>
      <w:r>
        <w:rPr>
          <w:rFonts w:ascii="Times New Roman" w:cs="Times New Roman" w:eastAsia="Times New Roman" w:hAnsi="Times New Roman"/>
          <w:sz w:val="18"/>
          <w:szCs w:val="18"/>
          <w:b w:val="1"/>
          <w:bCs w:val="1"/>
          <w:color w:val="auto"/>
        </w:rPr>
        <w:t>GP Response</w:t>
      </w:r>
      <w:r>
        <w:rPr>
          <w:rFonts w:ascii="Times New Roman" w:cs="Times New Roman" w:eastAsia="Times New Roman" w:hAnsi="Times New Roman"/>
          <w:sz w:val="18"/>
          <w:szCs w:val="18"/>
          <w:color w:val="auto"/>
        </w:rPr>
        <w:t>”; the date on which the GP Response is obtained - or formed in the event under (ii) - is referred to as the “</w:t>
      </w:r>
      <w:r>
        <w:rPr>
          <w:rFonts w:ascii="Times New Roman" w:cs="Times New Roman" w:eastAsia="Times New Roman" w:hAnsi="Times New Roman"/>
          <w:sz w:val="18"/>
          <w:szCs w:val="18"/>
          <w:b w:val="1"/>
          <w:bCs w:val="1"/>
          <w:color w:val="auto"/>
        </w:rPr>
        <w:t>ARLA Effective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6" w:name="page197"/>
    <w:bookmarkEnd w:id="196"/>
    <w:p>
      <w:pPr>
        <w:jc w:val="both"/>
        <w:ind w:left="32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Golden Power Notification</w:t>
      </w:r>
      <w:r>
        <w:rPr>
          <w:rFonts w:ascii="Times New Roman" w:cs="Times New Roman" w:eastAsia="Times New Roman" w:hAnsi="Times New Roman"/>
          <w:sz w:val="18"/>
          <w:szCs w:val="18"/>
          <w:color w:val="auto"/>
        </w:rPr>
        <w:t>” means any notice to the Italian Government or other public authority or public entity required pursuant to the Golden Power Regulation.</w:t>
      </w:r>
    </w:p>
    <w:p>
      <w:pPr>
        <w:spacing w:after="0" w:line="155" w:lineRule="exact"/>
        <w:rPr>
          <w:sz w:val="20"/>
          <w:szCs w:val="20"/>
          <w:color w:val="auto"/>
        </w:rPr>
      </w:pPr>
    </w:p>
    <w:p>
      <w:pPr>
        <w:jc w:val="both"/>
        <w:ind w:left="32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Golden Power Regulation</w:t>
      </w:r>
      <w:r>
        <w:rPr>
          <w:rFonts w:ascii="Times New Roman" w:cs="Times New Roman" w:eastAsia="Times New Roman" w:hAnsi="Times New Roman"/>
          <w:sz w:val="18"/>
          <w:szCs w:val="18"/>
          <w:color w:val="auto"/>
        </w:rPr>
        <w:t>” means the golden power regulation under the Decree-Law No. 21 of 15 March 2012, converted into Law No. 56 of 11 May 2012, as further amended, supplemented and implemented, including the amendments introduced by means of Decree -Law No. 21 of 21 March 2022, converted into Law No. 51 of 20 May 2022;</w:t>
      </w:r>
    </w:p>
    <w:p>
      <w:pPr>
        <w:spacing w:after="0" w:line="175" w:lineRule="exact"/>
        <w:rPr>
          <w:sz w:val="20"/>
          <w:szCs w:val="20"/>
          <w:color w:val="auto"/>
        </w:rPr>
      </w:pPr>
    </w:p>
    <w:p>
      <w:pPr>
        <w:ind w:left="328" w:hanging="328"/>
        <w:spacing w:after="0" w:line="282"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with a view to obtaining the GP Response (including providing any information and document to the authority or otherwise necessary for its clearance, participate in any conference calls and meetings requested by the authority);</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if a modification to or waiver of rights in respect to this ARLA is required by the competent government authority in connection with the Golden Power Notification, the Parties shall promptly negotiate such required amendments and waivers, as applicable, in good faith;</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Amended License Agreement shall continue to be effective until the ARLA Effective Date. The amendments to the Last Amended License Agreement as set forth in the ARLA shall be effective starting from the ARLA Effective Date, provided that the provisions under a), b) and c) above shall be effective starting from the ARLA Execution Date. Starting from the ARLA Effective Date the ARLA embodies the entire agreement between the Parties and supersedes any prior representations, understandings and agreements between the Parties regarding the subject matter hereof;</w:t>
      </w:r>
    </w:p>
    <w:p>
      <w:pPr>
        <w:spacing w:after="0" w:line="183"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Effective Date in the ARLA attached herewith shall be intended as referred to December 15, 2014, unless the ARLA expressly refers to the ARLA Effective Date;</w:t>
      </w:r>
    </w:p>
    <w:p>
      <w:pPr>
        <w:spacing w:after="0" w:line="157"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GP Response is not obtained on or before the expiry of 90 days from the ARLA Execution Date (“</w:t>
      </w:r>
      <w:r>
        <w:rPr>
          <w:rFonts w:ascii="Times New Roman" w:cs="Times New Roman" w:eastAsia="Times New Roman" w:hAnsi="Times New Roman"/>
          <w:sz w:val="18"/>
          <w:szCs w:val="18"/>
          <w:b w:val="1"/>
          <w:bCs w:val="1"/>
          <w:color w:val="auto"/>
        </w:rPr>
        <w:t>GP Long Stop Date</w:t>
      </w:r>
      <w:r>
        <w:rPr>
          <w:rFonts w:ascii="Times New Roman" w:cs="Times New Roman" w:eastAsia="Times New Roman" w:hAnsi="Times New Roman"/>
          <w:sz w:val="18"/>
          <w:szCs w:val="18"/>
          <w:color w:val="auto"/>
        </w:rPr>
        <w:t>”), the ARLA shall be regarded as non-effective and the Last Amended License Agreement shall continue to regulate the license grant to Genenta;</w:t>
      </w:r>
    </w:p>
    <w:p>
      <w:pPr>
        <w:spacing w:after="0" w:line="15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OSR agrees that, in the event that the GP Response is not obtained on or before the GP Long Stop Date, Genenta shall be entitled to exercise the Competing Product Option and the option to convert the option exercise to the second Solid Cancer Indication (i.e. solid liver cancer) to the Alternate Indication as set forth in Section 2 of Amendment No. 4 (which expired on March 23, 2023) during the 30 days starting from the GP Long Stop Date; provided that the exercise by Genenta of any such options during such 30 day term shall not determine any further extension of any options;</w:t>
      </w:r>
    </w:p>
    <w:p>
      <w:pPr>
        <w:spacing w:after="0" w:line="183"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Parties acknowledge and agree that prior to the ARLA Execution Date Genenta has not exercised the Competing Product Option, as well as any option with respect to Additional Patents and OSR Product Improvements;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definition of “Option Period” according to the Sponsored Research Agreement executed by and between OSR and Genenta on February 12, 2021 (the “</w:t>
      </w:r>
      <w:r>
        <w:rPr>
          <w:rFonts w:ascii="Times New Roman" w:cs="Times New Roman" w:eastAsia="Times New Roman" w:hAnsi="Times New Roman"/>
          <w:sz w:val="18"/>
          <w:szCs w:val="18"/>
          <w:b w:val="1"/>
          <w:bCs w:val="1"/>
          <w:color w:val="auto"/>
        </w:rPr>
        <w:t>2021 SRA</w:t>
      </w:r>
      <w:r>
        <w:rPr>
          <w:rFonts w:ascii="Times New Roman" w:cs="Times New Roman" w:eastAsia="Times New Roman" w:hAnsi="Times New Roman"/>
          <w:sz w:val="18"/>
          <w:szCs w:val="18"/>
          <w:color w:val="auto"/>
        </w:rPr>
        <w:t>”) shall be intended as expiring as of the expiry of sixty (60) days from the delivery by OSR to Genenta of the final report in relation to the applicable Research Project.</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 witness whereof</w:t>
      </w:r>
      <w:r>
        <w:rPr>
          <w:rFonts w:ascii="Times New Roman" w:cs="Times New Roman" w:eastAsia="Times New Roman" w:hAnsi="Times New Roman"/>
          <w:sz w:val="18"/>
          <w:szCs w:val="18"/>
          <w:color w:val="auto"/>
        </w:rPr>
        <w:t>, the Parties have executed this Agreement effective as of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Ospedale San Raffaele S.r.l.</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Marco Centenari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Marco Centenari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Mr. Pierluigi Paracchi</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ENCLOSURE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Ospedale San Raffaele S.r.l.</w:t>
      </w:r>
      <w:r>
        <w:rPr>
          <w:rFonts w:ascii="Times New Roman" w:cs="Times New Roman" w:eastAsia="Times New Roman" w:hAnsi="Times New Roman"/>
          <w:sz w:val="18"/>
          <w:szCs w:val="18"/>
          <w:color w:val="auto"/>
        </w:rPr>
        <w:t>, an Italian company having registered office at via Olgettina No. 60, 20132, Milan, Italy, Fiscal Code 07636600962,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for the purposes hereof by its Managing Director, Ing. Marco Centenari (“</w:t>
      </w:r>
      <w:r>
        <w:rPr>
          <w:rFonts w:ascii="Times New Roman" w:cs="Times New Roman" w:eastAsia="Times New Roman" w:hAnsi="Times New Roman"/>
          <w:sz w:val="18"/>
          <w:szCs w:val="18"/>
          <w:b w:val="1"/>
          <w:bCs w:val="1"/>
          <w:color w:val="auto"/>
        </w:rPr>
        <w:t>OSR</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the one side</w:t>
      </w:r>
      <w:r>
        <w:rPr>
          <w:rFonts w:ascii="Times New Roman" w:cs="Times New Roman" w:eastAsia="Times New Roman" w:hAnsi="Times New Roman"/>
          <w:sz w:val="18"/>
          <w:szCs w:val="18"/>
          <w:color w:val="auto"/>
        </w:rPr>
        <w:t xml:space="preserve"> -</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 an Italian company having registered office at via Olgettina No. 60, 20132, Milan, Italy, Fiscal Code 08738490963,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for the purposes hereof by its Chief Executive Officer, Mr. Pierluigi Paracchi (“</w:t>
      </w:r>
      <w:r>
        <w:rPr>
          <w:rFonts w:ascii="Times New Roman" w:cs="Times New Roman" w:eastAsia="Times New Roman" w:hAnsi="Times New Roman"/>
          <w:sz w:val="18"/>
          <w:szCs w:val="18"/>
          <w:b w:val="1"/>
          <w:bCs w:val="1"/>
          <w:color w:val="auto"/>
        </w:rPr>
        <w:t>Genenta</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the other side</w:t>
      </w:r>
      <w:r>
        <w:rPr>
          <w:rFonts w:ascii="Times New Roman" w:cs="Times New Roman" w:eastAsia="Times New Roman" w:hAnsi="Times New Roman"/>
          <w:sz w:val="18"/>
          <w:szCs w:val="18"/>
          <w:color w:val="auto"/>
        </w:rPr>
        <w:t xml:space="preserve">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(OSR and Genenta shall be, collectively but not jointly, defined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severally,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19, 2013, Fondazione Telethon, having its principal seat in Rome, via Carlo Spinola No. 16 (“</w:t>
      </w:r>
      <w:r>
        <w:rPr>
          <w:rFonts w:ascii="Times New Roman" w:cs="Times New Roman" w:eastAsia="Times New Roman" w:hAnsi="Times New Roman"/>
          <w:sz w:val="18"/>
          <w:szCs w:val="18"/>
          <w:b w:val="1"/>
          <w:bCs w:val="1"/>
          <w:color w:val="auto"/>
        </w:rPr>
        <w:t>Telethon</w:t>
      </w:r>
      <w:r>
        <w:rPr>
          <w:rFonts w:ascii="Times New Roman" w:cs="Times New Roman" w:eastAsia="Times New Roman" w:hAnsi="Times New Roman"/>
          <w:sz w:val="18"/>
          <w:szCs w:val="18"/>
          <w:color w:val="auto"/>
        </w:rPr>
        <w:t>”) and OSR stipulated a co-operation agreement (as subsequently amended, the “</w:t>
      </w:r>
      <w:r>
        <w:rPr>
          <w:rFonts w:ascii="Times New Roman" w:cs="Times New Roman" w:eastAsia="Times New Roman" w:hAnsi="Times New Roman"/>
          <w:sz w:val="18"/>
          <w:szCs w:val="18"/>
          <w:b w:val="1"/>
          <w:bCs w:val="1"/>
          <w:color w:val="auto"/>
        </w:rPr>
        <w:t>OSR-Telethon Cooperation Agreement</w:t>
      </w:r>
      <w:r>
        <w:rPr>
          <w:rFonts w:ascii="Times New Roman" w:cs="Times New Roman" w:eastAsia="Times New Roman" w:hAnsi="Times New Roman"/>
          <w:sz w:val="18"/>
          <w:szCs w:val="18"/>
          <w:color w:val="auto"/>
        </w:rPr>
        <w:t>”), for the carrying out of basic, translational and clinical research relating to diagnosis and therapy of certain diseases through the establishment of the so-called “</w:t>
      </w:r>
      <w:r>
        <w:rPr>
          <w:rFonts w:ascii="Times New Roman" w:cs="Times New Roman" w:eastAsia="Times New Roman" w:hAnsi="Times New Roman"/>
          <w:sz w:val="18"/>
          <w:szCs w:val="18"/>
          <w:i w:val="1"/>
          <w:iCs w:val="1"/>
          <w:color w:val="auto"/>
        </w:rPr>
        <w:t>San Raffaele Telethon Institute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 Therapy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TIGET Institute</w:t>
      </w:r>
      <w:r>
        <w:rPr>
          <w:rFonts w:ascii="Times New Roman" w:cs="Times New Roman" w:eastAsia="Times New Roman" w:hAnsi="Times New Roman"/>
          <w:sz w:val="18"/>
          <w:szCs w:val="18"/>
          <w:color w:val="auto"/>
        </w:rPr>
        <w:t>”);</w:t>
      </w:r>
    </w:p>
    <w:p>
      <w:pPr>
        <w:spacing w:after="0" w:line="178"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what matters for the purposes of this Agreement, the OSR-Telethon Cooperation Agreement sets forth: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joint ownership on any intellectual property rights arising out from the research activities jointly carried out through the TIGET Institute (a) in the specific field consisting in the diagnosis, physiopathology and therapy of hereditary genetic diseases, including diagnostic and prognostic applications, the development and clinical trial of strategy and technological platform for the gene and cells therapy, the identification, characterization, manipulation and transplant of stem or differentiated cells relevant for regenerating medicine, cell therapy and modulation of immunological reaction and (b) outside the field mentioned in clause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(a) above;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granting of a world-wide exclusive license by Telethon to OSR, bearing the right to sub-license to third party, on the intellectual property rights jointly held by Telethon and OSR and arising out from the research activities carried out outside the field indicated in clause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(a)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9" w:name="page200"/>
    <w:bookmarkEnd w:id="199"/>
    <w:p>
      <w:pPr>
        <w:jc w:val="both"/>
        <w:ind w:left="660" w:hanging="652"/>
        <w:spacing w:after="0" w:line="255"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OSR-Telethon Cooperation Agreement, the TIGET Institute has carried out certain pre-clinical studies on a specific gene therapy approach compound (as identified below) to be further developed and assessed on human clinical trials based on the use of Interferon (IFN) gene therapy by lentiviral based-HSPC gene transfer with respect to lympho-hematopoietic indication and/or solid cancer indication and, therefore, OSR owns and, for the quota held by Telethon, has the right to license, the intellectual property rights accrued up to the Effective Date on the know-how developed as of the Effective Date, it being understood that the know-how in possession of OSR as of the Effective Date that is reasonably necessary to research, develop, manufacture or commercialize the Licensed Products in the Field of Use is identified (along with the relevant limitations) in Exhibit (C) to this Agreement (the “</w:t>
      </w:r>
      <w:r>
        <w:rPr>
          <w:rFonts w:ascii="Times New Roman" w:cs="Times New Roman" w:eastAsia="Times New Roman" w:hAnsi="Times New Roman"/>
          <w:sz w:val="18"/>
          <w:szCs w:val="18"/>
          <w:b w:val="1"/>
          <w:bCs w:val="1"/>
          <w:color w:val="auto"/>
        </w:rPr>
        <w:t>Existing Know-How</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24, 2014, OSR, </w:t>
      </w:r>
      <w:r>
        <w:rPr>
          <w:rFonts w:ascii="Times New Roman" w:cs="Times New Roman" w:eastAsia="Times New Roman" w:hAnsi="Times New Roman"/>
          <w:sz w:val="18"/>
          <w:szCs w:val="18"/>
          <w:color w:val="auto"/>
          <w:highlight w:val="black"/>
        </w:rPr>
        <w:t>Prof. Luigi Naldini, Prof. Bernhard Gentner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highlight w:val="black"/>
        </w:rPr>
        <w:t>Mr. Pierluigi Paracchi</w:t>
      </w:r>
      <w:r>
        <w:rPr>
          <w:rFonts w:ascii="Times New Roman" w:cs="Times New Roman" w:eastAsia="Times New Roman" w:hAnsi="Times New Roman"/>
          <w:sz w:val="18"/>
          <w:szCs w:val="18"/>
          <w:color w:val="auto"/>
        </w:rPr>
        <w:t xml:space="preserve"> incorporated Genenta;</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24, 2014, OSR, </w:t>
      </w:r>
      <w:r>
        <w:rPr>
          <w:rFonts w:ascii="Times New Roman" w:cs="Times New Roman" w:eastAsia="Times New Roman" w:hAnsi="Times New Roman"/>
          <w:sz w:val="18"/>
          <w:szCs w:val="18"/>
          <w:color w:val="auto"/>
          <w:highlight w:val="black"/>
        </w:rPr>
        <w:t>Prof. Luigi Naldini, Prof. Bernhard Gentner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highlight w:val="black"/>
        </w:rPr>
        <w:t>Mr. Pierluigi Paracchi</w:t>
      </w:r>
      <w:r>
        <w:rPr>
          <w:rFonts w:ascii="Times New Roman" w:cs="Times New Roman" w:eastAsia="Times New Roman" w:hAnsi="Times New Roman"/>
          <w:sz w:val="18"/>
          <w:szCs w:val="18"/>
          <w:color w:val="auto"/>
        </w:rPr>
        <w:t xml:space="preserve"> entered into an investment and shareholders’ agreement for the regulation of the common investment in Genenta as well as to regulate certain governance prerogatives on the management of the said company (the “</w:t>
      </w:r>
      <w:r>
        <w:rPr>
          <w:rFonts w:ascii="Times New Roman" w:cs="Times New Roman" w:eastAsia="Times New Roman" w:hAnsi="Times New Roman"/>
          <w:sz w:val="18"/>
          <w:szCs w:val="18"/>
          <w:b w:val="1"/>
          <w:bCs w:val="1"/>
          <w:color w:val="auto"/>
        </w:rPr>
        <w:t>Genenta Investment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Genenta Investment Agreement, Genenta shall operate in the development and subsequent exploitation of a project for the research and development of a treatment of cancer through genetic therapy and, specifically, for the inhibition of cancer through the genetic engineering of hematopoietic stem cells used as carrier of alpha-interferon through monocytes (the “</w:t>
      </w:r>
      <w:r>
        <w:rPr>
          <w:rFonts w:ascii="Times New Roman" w:cs="Times New Roman" w:eastAsia="Times New Roman" w:hAnsi="Times New Roman"/>
          <w:sz w:val="18"/>
          <w:szCs w:val="18"/>
          <w:b w:val="1"/>
          <w:bCs w:val="1"/>
          <w:color w:val="auto"/>
        </w:rPr>
        <w:t>Genenta Project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what matters for the purposes of this Agreement, the Parties hereby acknowledge that: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2014, OSR, in accordance to the terms of the OSR-Telethon Cooperation Agreement, notified Telethon its intention to license the patents and the relevant Existing Know-How in the field covered by the Genenta Project and requested Telethon the authorization to further sub-license the Telethon’s quota of the said patents and know-how in the field covered by the Genenta Project;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very same date, Telethon acknowledged the communication mentioned under clause (a) above and agreed to amend the OSR-Telethon Cooperation Agreement so that the right to further sub-license the Telethon’s quota of the said patents and Know-How in the field covered by the Genenta Project is now expressly set forth in the OSR-Telethon Cooperation Agreement;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Genenta Investment Agreement, OSR is willing to grant to Genenta, who is willing to accept, a license under the Licensed Technology in the Field of Use (each as defined below), under the terms and conditions set forth below and the Parties hereby acknowledge that, through the entering of this Agreement, the condition precedent set forth in clause a) of Article 3.1 of the Investment Agreement is met.</w:t>
      </w:r>
    </w:p>
    <w:p>
      <w:pPr>
        <w:spacing w:after="0" w:line="17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0" w:name="page201"/>
    <w:bookmarkEnd w:id="200"/>
    <w:p>
      <w:pPr>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also in consideration of the foregoing premises, which together with the Exhibits herein appended form an integral and substantial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and the mutual covenants herein contained, the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arties hereby agree as follows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other terms and expressions elsewhere defined in this Agreement, or purposes hereof, the terms and expressions defined in this Section 1, whether used in singular or plural, shall have the respective meanings set forth below.</w:t>
      </w:r>
    </w:p>
    <w:p>
      <w:pPr>
        <w:spacing w:after="0" w:line="158"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mean, with respect to any Person, any other Person which directly or indirectly controls, is controlled by, or is under common control with, such Person.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 provided that, for the purposes of this Agreement, (a) in no case shall Genenta be regarded as, or considered, an Affiliate of OSR and </w:t>
      </w:r>
      <w:r>
        <w:rPr>
          <w:rFonts w:ascii="Times New Roman" w:cs="Times New Roman" w:eastAsia="Times New Roman" w:hAnsi="Times New Roman"/>
          <w:sz w:val="18"/>
          <w:szCs w:val="18"/>
          <w:i w:val="1"/>
          <w:iCs w:val="1"/>
          <w:color w:val="auto"/>
        </w:rPr>
        <w:t xml:space="preserve">vice-versa </w:t>
      </w:r>
      <w:r>
        <w:rPr>
          <w:rFonts w:ascii="Times New Roman" w:cs="Times New Roman" w:eastAsia="Times New Roman" w:hAnsi="Times New Roman"/>
          <w:sz w:val="18"/>
          <w:szCs w:val="18"/>
          <w:color w:val="auto"/>
        </w:rPr>
        <w:t>and (b) in no case shall any shareholder of Genenta, whether a controlling shareholder or not, be considered an Affiliate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Genenta.</w:t>
      </w:r>
    </w:p>
    <w:p>
      <w:pPr>
        <w:spacing w:after="0" w:line="183"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Regulation</w:t>
      </w:r>
      <w:r>
        <w:rPr>
          <w:rFonts w:ascii="Times New Roman" w:cs="Times New Roman" w:eastAsia="Times New Roman" w:hAnsi="Times New Roman"/>
          <w:sz w:val="18"/>
          <w:szCs w:val="18"/>
          <w:color w:val="auto"/>
        </w:rPr>
        <w:t>” shall mean any applicable federal, state, local or foreign law, statute, ordinance, principle of common law, or any rule, regulation, standard, judgment, order, writ, injunction, decree, arbitration award, agency requirement, license or permit of any Governmental Authority, including, for the avoidance of doubt, cGCP, cGLP and cGMP.</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ARLA Effective Date</w:t>
      </w:r>
      <w:r>
        <w:rPr>
          <w:rFonts w:ascii="Times New Roman" w:cs="Times New Roman" w:eastAsia="Times New Roman" w:hAnsi="Times New Roman"/>
          <w:sz w:val="17"/>
          <w:szCs w:val="17"/>
          <w:color w:val="auto"/>
        </w:rPr>
        <w:t>” shall have the meaning set forth in the preamble.</w:t>
      </w:r>
    </w:p>
    <w:p>
      <w:pPr>
        <w:spacing w:after="0" w:line="22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excluding Saturday, Sunday and any day which shall be in Milan, Italy a day on which banking institutions are not open for their business activity.</w:t>
      </w:r>
    </w:p>
    <w:p>
      <w:pPr>
        <w:spacing w:after="0" w:line="155" w:lineRule="exact"/>
        <w:rPr>
          <w:sz w:val="20"/>
          <w:szCs w:val="20"/>
          <w:color w:val="auto"/>
        </w:rPr>
      </w:pPr>
    </w:p>
    <w:p>
      <w:pPr>
        <w:jc w:val="both"/>
        <w:ind w:left="13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shall mean the period beginning on the ARLA Effective Date and ending on the last day of the calendar quarter in which the ARLA Effective Date falls, and thereafter each successive period of three (3) consecutive calendar months ending on the last day of March, June, September, or December, respectively; provided that, the final Calendar Quarter shall end on the last day of the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1" w:name="page202"/>
    <w:bookmarkEnd w:id="201"/>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shall mean the period beginning on the ARLA Effective Date and ending on December 31 of the calendar year in which the ARLA Effective Date falls, and thereafter each successive period of twelve (12) consecutive calendar months beginning on January 1 and ending on December 31; provided that, the final Calendar Year shall end on the last day of the Term.</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Candidate Products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left="640" w:firstLine="4"/>
        <w:spacing w:after="0" w:line="261" w:lineRule="auto"/>
        <w:tabs>
          <w:tab w:leader="none" w:pos="8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 therapy products consisting of, or comprising, any lentiviral vector regulated by miR126 and/or miR130 and/or other miRs with the same expression pattern as miR126 and miR130 in hematopoietic cells for the expression of IFN under the control of a Tie2 promoter, in combination with any immunotherapy (including, without limitation, an immune checkpoint inhibitor and/or a tumor associate antigen specific T cell expressing a chimeric antigen receptor (CAR)) (“</w:t>
      </w:r>
      <w:r>
        <w:rPr>
          <w:rFonts w:ascii="Times New Roman" w:cs="Times New Roman" w:eastAsia="Times New Roman" w:hAnsi="Times New Roman"/>
          <w:sz w:val="18"/>
          <w:szCs w:val="18"/>
          <w:b w:val="1"/>
          <w:bCs w:val="1"/>
          <w:color w:val="auto"/>
        </w:rPr>
        <w:t>Candidate Products 1</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jc w:val="both"/>
        <w:ind w:left="640" w:firstLine="4"/>
        <w:spacing w:after="0" w:line="258" w:lineRule="auto"/>
        <w:tabs>
          <w:tab w:leader="none" w:pos="91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 therapy products consisting of, or comprising, any lentiviral vector regulated by miR126 and/or miR130 and/or other miRs with the same expression pattern as miR126 and miR130 in hematopoietic cells for the expression of cytokines and their variants (other than IFN) under the control of a Tie2 promoter, either alone or in combination with any immunotherapy (including, without limitation, immune checkpoint inhibitor and/or a tumor associate antigen specific T cell expressing a chimeric antigen receptor (CAR)) (“</w:t>
      </w:r>
      <w:r>
        <w:rPr>
          <w:rFonts w:ascii="Times New Roman" w:cs="Times New Roman" w:eastAsia="Times New Roman" w:hAnsi="Times New Roman"/>
          <w:sz w:val="18"/>
          <w:szCs w:val="18"/>
          <w:b w:val="1"/>
          <w:bCs w:val="1"/>
          <w:color w:val="auto"/>
        </w:rPr>
        <w:t>Candidate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Products 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cGCP</w:t>
      </w:r>
      <w:r>
        <w:rPr>
          <w:rFonts w:ascii="Times New Roman" w:cs="Times New Roman" w:eastAsia="Times New Roman" w:hAnsi="Times New Roman"/>
          <w:sz w:val="18"/>
          <w:szCs w:val="18"/>
          <w:color w:val="auto"/>
        </w:rPr>
        <w:t>” means the then-current standards, practices and procedures set forth in the International Conference on Harmonization (ICH) guidelines entitled “</w:t>
      </w:r>
      <w:r>
        <w:rPr>
          <w:rFonts w:ascii="Times New Roman" w:cs="Times New Roman" w:eastAsia="Times New Roman" w:hAnsi="Times New Roman"/>
          <w:sz w:val="18"/>
          <w:szCs w:val="18"/>
          <w:i w:val="1"/>
          <w:iCs w:val="1"/>
          <w:color w:val="auto"/>
        </w:rPr>
        <w:t>Guidance for Industry E6 Good Clinical Practice: Consolidated Guidance</w:t>
      </w:r>
      <w:r>
        <w:rPr>
          <w:rFonts w:ascii="Times New Roman" w:cs="Times New Roman" w:eastAsia="Times New Roman" w:hAnsi="Times New Roman"/>
          <w:sz w:val="18"/>
          <w:szCs w:val="18"/>
          <w:color w:val="auto"/>
        </w:rPr>
        <w:t>” including related requirements promulgated by the FDA, and equivalent foreign regulations or standards, as applicable, as such standards, practices, procedures, requirements and regulations may be amended from time to time.</w:t>
      </w:r>
    </w:p>
    <w:p>
      <w:pPr>
        <w:spacing w:after="0" w:line="176"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cGLP</w:t>
      </w:r>
      <w:r>
        <w:rPr>
          <w:rFonts w:ascii="Times New Roman" w:cs="Times New Roman" w:eastAsia="Times New Roman" w:hAnsi="Times New Roman"/>
          <w:sz w:val="18"/>
          <w:szCs w:val="18"/>
          <w:color w:val="auto"/>
        </w:rPr>
        <w:t>” means the then-current good laboratory practice regulations promulgated by the FDA, published at 21 C.F.R. § 58, and equivalent foreign regulations or standards, as applicable, as such current laboratory practices, regulations and equivalent foreign regulations or standards may be amended from time to time.</w:t>
      </w:r>
    </w:p>
    <w:p>
      <w:pPr>
        <w:spacing w:after="0" w:line="17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the then-current good manufacturing practices that apply to the manufacturing practices for fine chemicals, intermediates, bulk products and/or finished medicinal products, including the regulations promulgated by the FDA, published at 21 C.F.R. Parts 210 and 211, and equivalent foreign regulations or standards, as applicable, including The Rules Governing Medicinal Products in the European Community, Volume IV, Good Manufacturing Practice for Medicinal Products, as current good manufacturing practices, regulations and equivalent foreign regulations or standards may be amended from time to time.</w:t>
      </w:r>
    </w:p>
    <w:p>
      <w:pPr>
        <w:spacing w:after="0" w:line="1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02" w:name="page203"/>
    <w:bookmarkEnd w:id="202"/>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 product that contains a Licensed Product and another component, including other active ingredients, delivery devices and adjuvants, which is not a Licensed Product or a Candidate Product.</w:t>
      </w:r>
    </w:p>
    <w:p>
      <w:pPr>
        <w:spacing w:after="0" w:line="155"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Exclusivity</w:t>
      </w:r>
      <w:r>
        <w:rPr>
          <w:rFonts w:ascii="Times New Roman" w:cs="Times New Roman" w:eastAsia="Times New Roman" w:hAnsi="Times New Roman"/>
          <w:sz w:val="18"/>
          <w:szCs w:val="18"/>
          <w:color w:val="auto"/>
        </w:rPr>
        <w:t xml:space="preserve">” means, with respect to each Licensed Product in each of the countries included in the Territory, that at the time of sale: (a) at least one Valid Claim of each of the Licensed Patents covers the composition of matter, formulation, manufacture, use, sale, offer for sale or importation of such Licensed Product in such country; or (b)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Genenta or any of its Sublicensees (at any tiers) has been granted and continues to enjoy the exclusive legal right by a Regulatory Authority (or is otherwise entitled to the exclusive legal right by operation of the Applicable Regulation) in such country to market and sell the Licensed Product in such country,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data and information submitted by (or on behalf and in the interest of) Genenta or any of its Sublicensees (at any tiers) to the relevant Regulatory Authority in such country for purposes of obtaining Regulatory Approval may not, as a matter of legal right or under Applicable Regulations, be disclosed, referenced or relied upon in any way by any other applicant or by such Regulatory Authority (including by relying upon the Regulatory Authority’s previous findings regarding the safety or effectiveness of the Licensed Product) to support the Regulatory Approval or marketing of any product by a Third Party in such country.</w:t>
      </w:r>
    </w:p>
    <w:p>
      <w:pPr>
        <w:spacing w:after="0" w:line="185"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shall mean (a) with respect to the efforts to be expended by a Party under Section 14, the application by such Party, consistent with the exercise of its prudent scientific and business judgment, of diligent efforts and resources then used to fulfil the obligation in issue, consistent with the level of efforts that a reputable company of the same size and resources of such Party would typically devote to accomplish a similar objective under similar circumstances; and (b) with respect to any objective relating to development of a Licensed Product, the application by Genenta or any of its Sublicensees (at any tiers), consistent with the exercise of its prudent scientific and business judgment, of diligent efforts and resources then used to fulfil the obligation in issue, consistent with the level of efforts that a reputable company of the same size and resources of Genenta (or, if higher, of its applicable Sublicensees, at any tier) would typically devote to research, develop, manufacture or commercialize a medicinal product of similar market potential at a similar stage in development or product life as the relevant Licensed Product taking into account the Licensed Product’s efficacy, safety, likelihood of approval, expected approved indications, pricing and profitability, other competing products available at the time, the patent coverage and strength of the proprietary position of the Licensed Product and other reasonably relevant factors. It is understood that, with respect to clause (b) above, such Licensed Product’s potential may change from time to time based upon changing scientific, business and marketing and return on investment considerations. For clarity, “Commercially Reasonable Efforts” will not mean that a Party guarantees that it will actually accomplish the applicable task or objective.</w:t>
      </w:r>
    </w:p>
    <w:p>
      <w:pPr>
        <w:spacing w:after="0" w:line="1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03" w:name="page204"/>
    <w:bookmarkEnd w:id="203"/>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with respect to a Party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all non-public information of such Party or its Affiliates (or, with respect to Genenta, its Sublicensees, through multiple tiers) that is disclosed to the other Party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by or on behalf of the Disclosing Party under this Agreement, which may include specifications, know-how, trade secrets, technical information, models, business information, inventions, discoveries, methods, procedures, formulae, protocols, techniques, data, and unpublished patent applications, whether disclosed in oral, written, graphic, or electronic form. Notwithstanding anything to the contrary herein, (a) (i) the Existing Know-How and (ii) the know-how constituting OSR Product Improvements are deemed to be the Confidential Information of OSR, and OSR is deemed to be the Disclosing Party and Genenta is deemed to be the Receiving Party with respect thereto, and (b) the know-how constituting Genenta Product Improvements are deemed to be the Confidential Information of Genenta, and Genenta is deemed to be the Disclosing Party and OSR is deemed to be the Receiving Party with respect thereto.</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15 December 2014.</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shall mean the European Medicines Agency of the European Union, or the successor thereto.</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shall mean the Food and Drug Administration of the United States of America, or the successor thereto.</w:t>
      </w:r>
    </w:p>
    <w:p>
      <w:pPr>
        <w:spacing w:after="0" w:line="22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 of Use</w:t>
      </w:r>
      <w:r>
        <w:rPr>
          <w:rFonts w:ascii="Times New Roman" w:cs="Times New Roman" w:eastAsia="Times New Roman" w:hAnsi="Times New Roman"/>
          <w:sz w:val="18"/>
          <w:szCs w:val="18"/>
          <w:color w:val="auto"/>
        </w:rPr>
        <w:t>” shall mean the use of Interferon (IFN) gene therapy with respect to (a) any and all Solid Cancer Indications (including, for the avoidance of doubt, glioblastoma and solid liver cancer) and/or (b) solely subject to (and starting from) Genenta having exercised the option set forth in Section 2.2(b) below, such Lympho-Hematopoietic Indication(s) in relation to which such option is exercised.</w:t>
      </w:r>
    </w:p>
    <w:p>
      <w:pPr>
        <w:spacing w:after="0" w:line="171"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shall mean, with respect to any Licensed Product, the first sale of such Licensed Product in any country included in the Territory after all applicable MMA Approval and pricing approvals (if any) have been granted by the applicable Regulatory Authority in such country.</w:t>
      </w:r>
    </w:p>
    <w:p>
      <w:pPr>
        <w:spacing w:after="0" w:line="17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Genenta Product Improvements</w:t>
      </w:r>
      <w:r>
        <w:rPr>
          <w:rFonts w:ascii="Times New Roman" w:cs="Times New Roman" w:eastAsia="Times New Roman" w:hAnsi="Times New Roman"/>
          <w:sz w:val="18"/>
          <w:szCs w:val="18"/>
          <w:color w:val="auto"/>
        </w:rPr>
        <w:t>” shall mean any modification, enhancement, improvement, invention or discovery (whether patentable or not) that (a) relates to the Licensed Products and/or the Licensed Technology, and (b) is generated by Genenta during the Term in the exercise of the rights granted to it under Section 2.1, and (c) is, at the time that it is first reduced to practice, covered by a Valid Claim of a Licensed Patent, such that it could not be practiced without infringing on such Valid Claim (where a patent application shall be deemed issued for purposes of the foregoing).</w:t>
      </w:r>
    </w:p>
    <w:p>
      <w:pPr>
        <w:spacing w:after="0" w:line="1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04" w:name="page205"/>
    <w:bookmarkEnd w:id="204"/>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shall mean a gene therapy product that (a) obtained a Regulatory Approval by means of establishing high similarity to (and no clinically meaningful difference from) a Licensed Product, as the reference product, in a particular country and for the same indication within the Field of Use, and (b) is legally marketed in such country by an entity other than Genenta or its Sublicensees.</w:t>
      </w:r>
    </w:p>
    <w:p>
      <w:pPr>
        <w:spacing w:after="0" w:line="176"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federal, state, local, municipal or other government authority of any nature (including any governmental division, subdivision, department, agency, bureau, branch, office, commission, council, court, tribunal or other entity), including a Regulatory Authority.</w:t>
      </w:r>
    </w:p>
    <w:p>
      <w:pPr>
        <w:spacing w:after="0" w:line="171"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(including any amendment or supplement thereto) submitted to the FDA pursuant to Part 312 of Title 21 of the U.S. Code of Federal Regulations, including any amendments thereto, and any comparable filing(s) outside the United Stated of America for the investigation of any product in any other country or group of countries (such as an investigational medicinal product dossier (IMPD) or Clinical Trial Application (CTA), in the European Union).</w:t>
      </w:r>
    </w:p>
    <w:p>
      <w:pPr>
        <w:spacing w:after="0" w:line="176" w:lineRule="exact"/>
        <w:rPr>
          <w:sz w:val="20"/>
          <w:szCs w:val="20"/>
          <w:color w:val="auto"/>
        </w:rPr>
      </w:pPr>
    </w:p>
    <w:p>
      <w:pPr>
        <w:jc w:val="both"/>
        <w:ind w:left="180" w:right="2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Threshold</w:t>
      </w:r>
      <w:r>
        <w:rPr>
          <w:rFonts w:ascii="Times New Roman" w:cs="Times New Roman" w:eastAsia="Times New Roman" w:hAnsi="Times New Roman"/>
          <w:sz w:val="18"/>
          <w:szCs w:val="18"/>
          <w:color w:val="auto"/>
        </w:rPr>
        <w:t xml:space="preserve">” shall mean the overall amount of Euro </w:t>
      </w:r>
      <w:r>
        <w:rPr>
          <w:rFonts w:ascii="Times New Roman" w:cs="Times New Roman" w:eastAsia="Times New Roman" w:hAnsi="Times New Roman"/>
          <w:sz w:val="18"/>
          <w:szCs w:val="18"/>
          <w:color w:val="auto"/>
          <w:highlight w:val="black"/>
        </w:rPr>
        <w:t>2.750.000,00</w:t>
      </w:r>
      <w:r>
        <w:rPr>
          <w:rFonts w:ascii="Times New Roman" w:cs="Times New Roman" w:eastAsia="Times New Roman" w:hAnsi="Times New Roman"/>
          <w:sz w:val="18"/>
          <w:szCs w:val="18"/>
          <w:color w:val="auto"/>
        </w:rPr>
        <w:t xml:space="preserve"> duly paid to Genenta through, subscription of share capital increases and bonds, as set forth and in accordance with the Genenta Investment Agreement.</w:t>
      </w:r>
    </w:p>
    <w:p>
      <w:pPr>
        <w:spacing w:after="0" w:line="155"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LHI Option Period</w:t>
      </w:r>
      <w:r>
        <w:rPr>
          <w:rFonts w:ascii="Times New Roman" w:cs="Times New Roman" w:eastAsia="Times New Roman" w:hAnsi="Times New Roman"/>
          <w:sz w:val="18"/>
          <w:szCs w:val="18"/>
          <w:color w:val="auto"/>
        </w:rPr>
        <w:t>” shall mean the period that commences on the ARLA Effective Date and ends on the third anniversary of the ARLA Effective Date, subject to extension pursuant to Section 2.2(b) below.</w:t>
      </w:r>
    </w:p>
    <w:p>
      <w:pPr>
        <w:spacing w:after="0" w:line="155"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shall mean (a) the Existing Know-How; and (b) upon exercise of the OPI Option set forth in Section 2.2(a), the OSR Product Improvements (other than the Licensed Patents under Section 1.27(b)).</w:t>
      </w:r>
    </w:p>
    <w:p>
      <w:pPr>
        <w:spacing w:after="0" w:line="155"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shall mean: (a) the patents and patent applications identified in Exhibit 1.27 to this Agreement; (b) upon exercise of the OPI Option set forth in Section 2.2(a), the patents and patent applications, if any, covering the OSR Product Improvements; (c) all divisions, continuations, continuations-in-part, that claim priority to, or common priority with, any of the patent applications described in clauses (a) through (b); and (d) all patents that have issued or in the future issue from any of the foregoing patent applications, provided that clauses (a) through (c) above shall always include any reissues, renewals, extensions, supplemental protection certificates, and additions to any thereof.</w:t>
      </w:r>
    </w:p>
    <w:p>
      <w:pPr>
        <w:spacing w:after="0" w:line="1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05" w:name="page206"/>
    <w:bookmarkEnd w:id="205"/>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shall mean any gene therapy product developed during the Term consisting of, or comprising, any lentivirals or other viral vectors regulated by miR126 and/or miR130 and/or other miRs with the same expression pattern as miR126 and miR130 in hematopoietic cells for the expression of IFN under the control of a Tie2 promoter. For the sake of clarity, gene therapy products developed during the Term and consisting of, or comprising, or using the Replication Competent Viruses shall in no event be included in the Licensed Product.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Technology</w:t>
      </w:r>
      <w:r>
        <w:rPr>
          <w:rFonts w:ascii="Times New Roman" w:cs="Times New Roman" w:eastAsia="Times New Roman" w:hAnsi="Times New Roman"/>
          <w:sz w:val="17"/>
          <w:szCs w:val="17"/>
          <w:color w:val="auto"/>
        </w:rPr>
        <w:t>” shall mean, collectively, the Licensed Patents and the Licensed Know-How.</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Lympho-Hematopoietic Indication</w:t>
      </w:r>
      <w:r>
        <w:rPr>
          <w:rFonts w:ascii="Times New Roman" w:cs="Times New Roman" w:eastAsia="Times New Roman" w:hAnsi="Times New Roman"/>
          <w:sz w:val="17"/>
          <w:szCs w:val="17"/>
          <w:color w:val="auto"/>
        </w:rPr>
        <w:t>” shall mean any indication related to lympho-hematopoietic malignancies.</w:t>
      </w:r>
    </w:p>
    <w:p>
      <w:pPr>
        <w:spacing w:after="0" w:line="22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shall mean a marketing authorization application or equivalent application filed with the applicable Regulatory Authority in the Territory. MAA shall be intended to include NDA.</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MAA Approval</w:t>
      </w:r>
      <w:r>
        <w:rPr>
          <w:rFonts w:ascii="Times New Roman" w:cs="Times New Roman" w:eastAsia="Times New Roman" w:hAnsi="Times New Roman"/>
          <w:sz w:val="18"/>
          <w:szCs w:val="18"/>
          <w:color w:val="auto"/>
        </w:rPr>
        <w:t>” shall mean the approval of a MAA by the applicable Regulatory Authority to market a Licensed Product in the Field of Use in a country or region in the Territory.</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Market Countries</w:t>
      </w:r>
      <w:r>
        <w:rPr>
          <w:rFonts w:ascii="Times New Roman" w:cs="Times New Roman" w:eastAsia="Times New Roman" w:hAnsi="Times New Roman"/>
          <w:sz w:val="17"/>
          <w:szCs w:val="17"/>
          <w:color w:val="auto"/>
        </w:rPr>
        <w:t>” shall mean each of the following countries or region: France, Germany, Italy, Spain and Great Britain.</w:t>
      </w:r>
    </w:p>
    <w:p>
      <w:pPr>
        <w:spacing w:after="0" w:line="225"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shall mean a New Drug Application, or similar application for marketing approval of a Licensed Product in the Field of Use filed with the FDA.</w:t>
      </w:r>
    </w:p>
    <w:p>
      <w:pPr>
        <w:spacing w:after="0" w:line="155"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shall mean the gross invoiced amount of any Licensed Products sold by Genenta or Sublicensees (at any tiers) to any Third Party in a transaction after deducting, if not previously deducted, from the amount invoiced or received:</w:t>
      </w:r>
    </w:p>
    <w:p>
      <w:pPr>
        <w:spacing w:after="0" w:line="159" w:lineRule="exact"/>
        <w:rPr>
          <w:sz w:val="20"/>
          <w:szCs w:val="20"/>
          <w:color w:val="auto"/>
        </w:rPr>
      </w:pPr>
    </w:p>
    <w:p>
      <w:pPr>
        <w:ind w:left="1300" w:hanging="656"/>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added taxes, sales taxes, or similar taxes;</w:t>
      </w:r>
    </w:p>
    <w:p>
      <w:pPr>
        <w:spacing w:after="0" w:line="225"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actually credited or allowed for rejections or returns of the relevant Licensed Products actually accepted by Genenta and/or its Sublicensees;</w:t>
      </w:r>
    </w:p>
    <w:p>
      <w:pPr>
        <w:spacing w:after="0" w:line="16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06" w:name="page207"/>
    <w:bookmarkEnd w:id="206"/>
    <w:p>
      <w:pPr>
        <w:ind w:left="1300" w:right="20" w:hanging="656"/>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chargebacks, retroactive price reductions and other sales allowances that are actually allowed or granted, including rebates, reductions and allowances mandated by Regulatory Authorities;</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payment cash discounts, bad debt expense, amounts written off by reason of uncollectible debt; and</w:t>
      </w:r>
    </w:p>
    <w:p>
      <w:pPr>
        <w:spacing w:after="0" w:line="225"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customs duties, freight, postage, shipping, handling, and other transportation costs incurred by the Genenta or its Sublicensees in shipping the Licensed Products to a Third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being understood and further agreed that:</w:t>
      </w:r>
    </w:p>
    <w:p>
      <w:pPr>
        <w:spacing w:after="0" w:line="223" w:lineRule="exact"/>
        <w:rPr>
          <w:sz w:val="20"/>
          <w:szCs w:val="20"/>
          <w:color w:val="auto"/>
        </w:rPr>
      </w:pPr>
    </w:p>
    <w:p>
      <w:pPr>
        <w:ind w:left="1300" w:hanging="656"/>
        <w:spacing w:after="0" w:line="284"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and reductions of the “</w:t>
      </w: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xml:space="preserve">” indicated by clauses (ii) and (iv) above shall not be in </w:t>
      </w:r>
      <w:r>
        <w:rPr>
          <w:rFonts w:ascii="Times New Roman" w:cs="Times New Roman" w:eastAsia="Times New Roman" w:hAnsi="Times New Roman"/>
          <w:sz w:val="18"/>
          <w:szCs w:val="18"/>
          <w:color w:val="auto"/>
          <w:highlight w:val="black"/>
        </w:rPr>
        <w:t>excess of four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black"/>
        </w:rPr>
        <w:t xml:space="preserve">(4%) </w:t>
      </w:r>
      <w:r>
        <w:rPr>
          <w:rFonts w:ascii="Times New Roman" w:cs="Times New Roman" w:eastAsia="Times New Roman" w:hAnsi="Times New Roman"/>
          <w:sz w:val="18"/>
          <w:szCs w:val="18"/>
          <w:color w:val="auto"/>
        </w:rPr>
        <w:t>of the gross sales during each Net Sales reporting period;</w:t>
      </w:r>
    </w:p>
    <w:p>
      <w:pPr>
        <w:spacing w:after="0" w:line="160"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sale of the Licensed Products which is not invoiced or is delivered before invoicing, Net Sales shall be calculated at the time all revenue recognition criteria are met, irrespective of when the actual payment for such sale is received by Genenta or its Sublicensees;</w:t>
      </w:r>
    </w:p>
    <w:p>
      <w:pPr>
        <w:spacing w:after="0" w:line="175"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sale or other disposal of a Licensed Products between or among Genenta and/or its Sublicensees for resale, Net Sales shall be calculated as above, only on the value charged or invoiced on the first sale by such Sublicensee to any Third Party;</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nominal consideration received in exchange for the transfer of Licensed Products for use in clinical trials, sampling, compassionate or promotional use, free of charge, shall not be included in Net Sales;</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Combination Products shall be determined as follows:</w:t>
      </w:r>
    </w:p>
    <w:p>
      <w:pPr>
        <w:spacing w:after="0" w:line="225" w:lineRule="exact"/>
        <w:rPr>
          <w:rFonts w:ascii="Times New Roman" w:cs="Times New Roman" w:eastAsia="Times New Roman" w:hAnsi="Times New Roman"/>
          <w:sz w:val="18"/>
          <w:szCs w:val="18"/>
          <w:color w:val="auto"/>
        </w:rPr>
      </w:pPr>
    </w:p>
    <w:p>
      <w:pPr>
        <w:jc w:val="both"/>
        <w:ind w:left="1940" w:hanging="648"/>
        <w:spacing w:after="0" w:line="258" w:lineRule="auto"/>
        <w:tabs>
          <w:tab w:leader="none" w:pos="19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one or more Licensed Products are sold as part of a Combination Product in a particular country, and all Licensed Products contained in the Combination Product are also sold separately in such country, the Net Sales of such Licensed Product(s), for the purposes of determining payments based on the Net Sales, shall be determined by multiplying the Net Sales of the Combination Product in such country, during the applicable Net Sales reporting period, by the fraction A/(A+B), where:</w:t>
      </w:r>
    </w:p>
    <w:p>
      <w:pPr>
        <w:spacing w:after="0" w:line="1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the average weighted (by sales volume, on a quarterly basis) sale price of the Licensed Product(s)</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contained in such Combination Product when sold separately in finished form in such country; and</w:t>
      </w:r>
    </w:p>
    <w:p>
      <w:pPr>
        <w:spacing w:after="0" w:line="205" w:lineRule="exact"/>
        <w:rPr>
          <w:sz w:val="20"/>
          <w:szCs w:val="20"/>
          <w:color w:val="auto"/>
        </w:rPr>
      </w:pPr>
    </w:p>
    <w:p>
      <w:pPr>
        <w:ind w:left="2580"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is the average weighted (by sales volume, on a quarterly basis) purchase price paid by Genenta or its Sublicensees for the other component(s) included in the Combination Product,</w:t>
      </w:r>
    </w:p>
    <w:p>
      <w:pPr>
        <w:spacing w:after="0" w:line="16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in each case during the applicable Net Sales reporting period.</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07" w:name="page208"/>
    <w:bookmarkEnd w:id="207"/>
    <w:p>
      <w:pPr>
        <w:jc w:val="both"/>
        <w:ind w:left="1480" w:hanging="648"/>
        <w:spacing w:after="0" w:line="258" w:lineRule="auto"/>
        <w:tabs>
          <w:tab w:leader="none" w:pos="1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one or more Licensed Products are sold as part of a Combination Product and are sold separately in finished form in such country, but the other medicinal Licensed Product(s) included in the Combination Product are not sold separately in finished form in such country, the Net Sales of the Licensed Product, for the purposes of determining payments based on Net Sales, shall be determined by multiplying the Net Sales of the Combination Product in such country by the fraction C/D where:</w:t>
      </w:r>
    </w:p>
    <w:p>
      <w:pPr>
        <w:spacing w:after="0" w:line="1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is the average weighted (by sales volume, on a quarterly basis) sale price of the Licensed Product(s)</w:t>
      </w:r>
    </w:p>
    <w:p>
      <w:pPr>
        <w:spacing w:after="0" w:line="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contained in such Combination Product when sold separately in finished form in such country; and</w:t>
      </w:r>
    </w:p>
    <w:p>
      <w:pPr>
        <w:spacing w:after="0" w:line="205" w:lineRule="exact"/>
        <w:rPr>
          <w:sz w:val="20"/>
          <w:szCs w:val="20"/>
          <w:color w:val="auto"/>
        </w:rPr>
      </w:pPr>
    </w:p>
    <w:p>
      <w:pPr>
        <w:ind w:left="2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is the average weighted (by sales volume, on a quarterly basis) sale price of the Combination Product sold in such country,</w:t>
      </w:r>
    </w:p>
    <w:p>
      <w:pPr>
        <w:spacing w:after="0" w:line="16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 each case during the applicable Net Sales reporting period.</w:t>
      </w:r>
    </w:p>
    <w:p>
      <w:pPr>
        <w:spacing w:after="0" w:line="225" w:lineRule="exact"/>
        <w:rPr>
          <w:sz w:val="20"/>
          <w:szCs w:val="20"/>
          <w:color w:val="auto"/>
        </w:rPr>
      </w:pPr>
    </w:p>
    <w:p>
      <w:pPr>
        <w:jc w:val="both"/>
        <w:ind w:left="1480" w:hanging="648"/>
        <w:spacing w:after="0" w:line="258" w:lineRule="auto"/>
        <w:tabs>
          <w:tab w:leader="none" w:pos="1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Net Sales of the Licensed Product(s) when included in a Combination Product cannot be determined by using the methods indicated in clauses (i) and (ii) above, the Net Sales for the purposes of determining payments based on the Net Sales shall be agreed upon in good faith by the Parties, on the basis of the respective fair market values of the Licensed Product(s) and all other medicinal Licensed Products included in such Combination Product.</w:t>
      </w:r>
    </w:p>
    <w:p>
      <w:pPr>
        <w:spacing w:after="0" w:line="179"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Sublicensing Income</w:t>
      </w:r>
      <w:r>
        <w:rPr>
          <w:rFonts w:ascii="Times New Roman" w:cs="Times New Roman" w:eastAsia="Times New Roman" w:hAnsi="Times New Roman"/>
          <w:sz w:val="18"/>
          <w:szCs w:val="18"/>
          <w:color w:val="auto"/>
        </w:rPr>
        <w:t>” shall mean any cash amounts received by Genenta and/or any Affiliates from any Sublicensee (other than any Affiliate of Genenta) in consideration for any sublicense under the Licensed Technology granted by Genenta or any of its Affiliates or Sublicensees (other than distributors) including any upfront payment, and (subject to Section 4.6) any milestone payments, but excluding the following amounts: royalties, amounts received to reimburse Genenta’s costs to perform research, development or similar services conducted for such Licensed Product after signing the agreement with the Third Party, or in reimbursement of patent expenses or other out-of-pocket expenses relating to such Licensed Product, plus, in the event that Genenta and/or any Affiliate of Genenta receives from a Sublicensee (other than any Affiliate of Genenta) any equity interest (or other non-monetary consideration) in consideration of the grant of the sublicense granted in accordance with this Agreement, the value at which such equity interest (or other non-monetary consideration), is sold, or otherwise disposed of, either before or after the termination of the licenses granted herein, by the Licensee, in both cases in addition to the dividends, distributions or other form of remuneration generated by such equity interest (or other non-monetary consideration) from time to time.</w:t>
      </w:r>
    </w:p>
    <w:p>
      <w:pPr>
        <w:spacing w:after="0" w:line="1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08" w:name="page209"/>
    <w:bookmarkEnd w:id="208"/>
    <w:p>
      <w:pPr>
        <w:jc w:val="both"/>
        <w:ind w:left="180" w:right="2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 Option Period</w:t>
      </w:r>
      <w:r>
        <w:rPr>
          <w:rFonts w:ascii="Times New Roman" w:cs="Times New Roman" w:eastAsia="Times New Roman" w:hAnsi="Times New Roman"/>
          <w:sz w:val="18"/>
          <w:szCs w:val="18"/>
          <w:color w:val="auto"/>
        </w:rPr>
        <w:t>” shall mean the period that commences on the ARLA Effective Date and ends on the third anniversary of the ARLA Effective Date.</w:t>
      </w:r>
    </w:p>
    <w:p>
      <w:pPr>
        <w:spacing w:after="0" w:line="155"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OSR Product Improvements</w:t>
      </w:r>
      <w:r>
        <w:rPr>
          <w:rFonts w:ascii="Times New Roman" w:cs="Times New Roman" w:eastAsia="Times New Roman" w:hAnsi="Times New Roman"/>
          <w:sz w:val="18"/>
          <w:szCs w:val="18"/>
          <w:color w:val="auto"/>
        </w:rPr>
        <w:t xml:space="preserve">” shall mean any modification, enhancement, improvement, invention or discovery (whether patentable or not) relating to the Licensed Products in the Field of Use (provided that “Field of Use” as used in this Section 1.38, shall mean the use of Interferon (IFN) gene therapy with respect to (a) all Solid Cancer Indications, and/or (b) all Lympho-Hematopoietic Indication(s), until the expiration of the option set forth in Section 2.2(b), upon which expiration this clause (b) shall be limited to only those Lympho-Hematopoietic Indication(s) in relation to which such option is exercised) and/or the Licensed Technology (i) which is generated after the ARLA Effective Date and prior to the expiration of the OPI Option Period by scientists or other personnel working at the </w:t>
      </w:r>
      <w:r>
        <w:rPr>
          <w:rFonts w:ascii="Times New Roman" w:cs="Times New Roman" w:eastAsia="Times New Roman" w:hAnsi="Times New Roman"/>
          <w:sz w:val="18"/>
          <w:szCs w:val="18"/>
          <w:color w:val="auto"/>
          <w:highlight w:val="black"/>
        </w:rPr>
        <w:t>Professor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black"/>
        </w:rPr>
        <w:t xml:space="preserve">Naldini Research Unit </w:t>
      </w:r>
      <w:r>
        <w:rPr>
          <w:rFonts w:ascii="Times New Roman" w:cs="Times New Roman" w:eastAsia="Times New Roman" w:hAnsi="Times New Roman"/>
          <w:sz w:val="18"/>
          <w:szCs w:val="18"/>
          <w:color w:val="auto"/>
        </w:rPr>
        <w:t>at TIGET Institute (including, for clarity and without limitation, in the performance of the CPSRA); and (ii) for</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which OSR has the right to grant a license at the time of the OPI Option exercise (including under the terms and conditions of the OSR-Telethon Cooperation Agreement); and (iii) which is, at the time that it is first reduced to practice, covered by a Valid Claim of a Licensed Patent, such that it could not be practiced without infringing on such Valid Claim (where a patent application shall be deemed issued for purposes of the foregoing).</w:t>
      </w:r>
    </w:p>
    <w:p>
      <w:pPr>
        <w:spacing w:after="0" w:line="182"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OSR-Genenta Scientific Collaboration Agreement</w:t>
      </w:r>
      <w:r>
        <w:rPr>
          <w:rFonts w:ascii="Times New Roman" w:cs="Times New Roman" w:eastAsia="Times New Roman" w:hAnsi="Times New Roman"/>
          <w:sz w:val="18"/>
          <w:szCs w:val="18"/>
          <w:color w:val="auto"/>
        </w:rPr>
        <w:t>” means that certain Scientific Collaboration Agreement entered into between OSR and Genenta on the Effective Date, as such agreement may be amended or extended from time to time by the Parties during the Term.</w:t>
      </w:r>
    </w:p>
    <w:p>
      <w:pPr>
        <w:spacing w:after="0" w:line="155"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1"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shall mean a human clinical trial in any country that is intended to evaluate the safety and effectiveness of a Licensed Product in an indication comprised in the Field of Use and satisfies the requirements of 21 CFR 312.21(a/b), or its foreign equivalent.</w:t>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09" w:name="page210"/>
    <w:bookmarkEnd w:id="209"/>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shall mean a human clinical trial in any country, the results of which could be used to establish safety and efficacy of a Licensed Product in an indication comprised in the Field of Use as a basis for a MAA and satisfies the requirements of 21 CFR 312.21(c), or its foreign equivalent, regardless of whether the sponsor of such trial characterizes or refers to such trial as a “Phase 3”, “Phase 2b” or “Phase 2b/3” trial (or otherwise) in the applicable protocol, on clinicaltrials.gov, or in any other context. If a human clinical trial does not constitute a Phase III Clinical Trial at the time of the first dosing of the first patient in such trial, but is later determined by the applicable Regulatory Authority to enable an NDA submission, then such trial shall be deemed to constitute a Phase III Clinical Trial on the date of such determination by the applicable Regulatory Authority.</w:t>
      </w:r>
    </w:p>
    <w:p>
      <w:pPr>
        <w:spacing w:after="0" w:line="183"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Authority(ies)</w:t>
      </w:r>
      <w:r>
        <w:rPr>
          <w:rFonts w:ascii="Times New Roman" w:cs="Times New Roman" w:eastAsia="Times New Roman" w:hAnsi="Times New Roman"/>
          <w:sz w:val="18"/>
          <w:szCs w:val="18"/>
          <w:color w:val="auto"/>
        </w:rPr>
        <w:t>” shall mean, collectively (a) the governmental entities in each country or supranational organization that is responsible for the regulation of any Licensed Product intended for use in the Field of Use or the establishment, maintenance and/or protection of rights related to the Licensed Technology (including the FDA and the EMA), or (b) any other applicable regulatory or administrative agency in any country or supranational organization that is comparable to, or a counterpart of, the foregoing.</w:t>
      </w:r>
    </w:p>
    <w:p>
      <w:pPr>
        <w:spacing w:after="0" w:line="176"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Registration(s)</w:t>
      </w:r>
      <w:r>
        <w:rPr>
          <w:rFonts w:ascii="Times New Roman" w:cs="Times New Roman" w:eastAsia="Times New Roman" w:hAnsi="Times New Roman"/>
          <w:sz w:val="18"/>
          <w:szCs w:val="18"/>
          <w:color w:val="auto"/>
        </w:rPr>
        <w:t>” shall mean any and all permits, licenses, authorizations, registrations or regulatory approvals (including MAA Approvals) required and/or granted by any Regulatory Authority as a prerequisite to the development, manufacturing, packaging, marketing and selling of any Licensed Product.</w:t>
      </w:r>
    </w:p>
    <w:p>
      <w:pPr>
        <w:spacing w:after="0" w:line="171"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Replication Competent Viruses</w:t>
      </w:r>
      <w:r>
        <w:rPr>
          <w:rFonts w:ascii="Times New Roman" w:cs="Times New Roman" w:eastAsia="Times New Roman" w:hAnsi="Times New Roman"/>
          <w:sz w:val="18"/>
          <w:szCs w:val="18"/>
          <w:color w:val="auto"/>
        </w:rPr>
        <w:t>” shall mean the following replication competent viruses (unless OSR provides written notice to Genenta during the Term stating that the list is restricted by excluding one or more of the following): Herpes Simplex Virus (HSV), Vaccinia Virus (VACV), Vesicular Stomatitis Virus (VSV) and Measles Virus (MeV).</w:t>
      </w:r>
    </w:p>
    <w:p>
      <w:pPr>
        <w:spacing w:after="0" w:line="171"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shall mean, with respect to each Licensed Product in each country included in the Territory, on a country-by-country basis, the period of time commencing on the First Commercial Sale of such Licensed Product in such country and ending upon the later of: (a) the expiration of Commercial Exclusivity with respect to that Licensed Product in that country; and (b) ten (10) years from the First Commercial Sale of that Licensed Product in such country.</w:t>
      </w:r>
    </w:p>
    <w:p>
      <w:pPr>
        <w:spacing w:after="0" w:line="176"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Solid Cancer Indication</w:t>
      </w:r>
      <w:r>
        <w:rPr>
          <w:rFonts w:ascii="Times New Roman" w:cs="Times New Roman" w:eastAsia="Times New Roman" w:hAnsi="Times New Roman"/>
          <w:sz w:val="18"/>
          <w:szCs w:val="18"/>
          <w:color w:val="auto"/>
        </w:rPr>
        <w:t>” means any solid cancer indication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without limitation, breast, pancreas, colon cancer), it being understood that each affected human organ shall count as a specific Solid Cancer Indication.</w:t>
      </w:r>
    </w:p>
    <w:p>
      <w:pPr>
        <w:spacing w:after="0" w:line="1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10" w:name="page211"/>
    <w:bookmarkEnd w:id="210"/>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Sublicensee</w:t>
      </w:r>
      <w:r>
        <w:rPr>
          <w:rFonts w:ascii="Times New Roman" w:cs="Times New Roman" w:eastAsia="Times New Roman" w:hAnsi="Times New Roman"/>
          <w:sz w:val="17"/>
          <w:szCs w:val="17"/>
          <w:color w:val="auto"/>
        </w:rPr>
        <w:t>” means any Person to whom Genenta has granted a sublicense under the Licensed Technology:</w:t>
      </w:r>
    </w:p>
    <w:p>
      <w:pPr>
        <w:spacing w:after="0" w:line="229" w:lineRule="exact"/>
        <w:rPr>
          <w:sz w:val="20"/>
          <w:szCs w:val="20"/>
          <w:color w:val="auto"/>
        </w:rPr>
      </w:pPr>
    </w:p>
    <w:p>
      <w:pPr>
        <w:ind w:left="1540" w:hanging="236"/>
        <w:spacing w:after="0"/>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research and develop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have made, use, offer for sale, sell and import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Licensed Products in the Territory in the Field of Use in accordance with Section 2.6 of this Agreement.</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For the sake of clarity, (a) any Affiliate of Genenta shall not (solely by virtue of being an Affiliate) be included in the definition of Sublicensee, but shall be so included in case such Affiliate is granted a sublicence under the Licensed Technology, and (b) if a Sublicensee grants any such sublicense to a third party, such third party shall be deemed a “Sublicensee”. In addition, Sublicensees shall not include (i) any distributor, reseller or similar channel partner that is not granted rights under the Licensed Technology, other than the right to market and/or sell the Licensed Products in the Territory in the Field of Use and (ii) any contract research organization, contract manufacturing organization and other service providers engaged in connection with the development and/or manufacturing of the Licensed Products in the Territory in the Field of Use.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shall mean worldwide.</w:t>
      </w:r>
    </w:p>
    <w:p>
      <w:pPr>
        <w:spacing w:after="0" w:line="22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shall mean any Person other than OSR, Genenta and their respective Affiliates and, for the purposes of the calculation of the Net Sales, shall exclude, for the avoidance of doubt, any Sublicensee of Genenta.</w:t>
      </w:r>
    </w:p>
    <w:p>
      <w:pPr>
        <w:spacing w:after="0" w:line="15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shall mean a claim of (a) an issued and unexpired patent included within the Licensed Patents,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pending patent application that has not been finally abandoned or finally rejected or expired and that has been pending for no more than eight (8) years from the date of filing of such application as a utility, non-provisional application, provided that if such patent application is subsequently granted, such claim(s) shall again be considered Valid Claim(s) once such patent application is granted.</w:t>
      </w:r>
    </w:p>
    <w:p>
      <w:pPr>
        <w:spacing w:after="0" w:line="183"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b w:val="1"/>
          <w:bCs w:val="1"/>
          <w:color w:val="auto"/>
        </w:rPr>
        <w:t>License grant</w:t>
      </w:r>
      <w:r>
        <w:rPr>
          <w:rFonts w:ascii="Times New Roman" w:cs="Times New Roman" w:eastAsia="Times New Roman" w:hAnsi="Times New Roman"/>
          <w:sz w:val="18"/>
          <w:szCs w:val="18"/>
          <w:color w:val="auto"/>
        </w:rPr>
        <w:t>. Subject to the terms and conditions of this Agreement, OSR hereby grants to Genenta an exclusive (even as to OSR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subject to Section 2.9), royalty-bearing, non-transferrable (except in connection with a permitted assignment of the Agreement in accordance with Section 15.2), sublicensable (through multiple tiers) in accordance with Section 2.5 hereof, license under the Licensed Technology, to conduct research and to develop, make, have made, use, offer for sale, sell and import the Licensed Products in the Territory in the Field of Use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1" w:name="page212"/>
    <w:bookmarkEnd w:id="211"/>
    <w:p>
      <w:pPr>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Subject to the terms and conditions of this Agreement, OSR hereby grants to Genenta the following exclusive options,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exercised by Genenta upon written notice to OSR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1480" w:hanging="648"/>
        <w:spacing w:after="0" w:line="253" w:lineRule="auto"/>
        <w:tabs>
          <w:tab w:leader="none" w:pos="1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OPI Option Period, Genenta shall have an exclusive option (exercisable more than once) to include any specific OSR Product Improvements as part of the Licensed Technology licensed to Genenta under Section 2.1 above, at no additional cost (“</w:t>
      </w:r>
      <w:r>
        <w:rPr>
          <w:rFonts w:ascii="Times New Roman" w:cs="Times New Roman" w:eastAsia="Times New Roman" w:hAnsi="Times New Roman"/>
          <w:sz w:val="18"/>
          <w:szCs w:val="18"/>
          <w:b w:val="1"/>
          <w:bCs w:val="1"/>
          <w:color w:val="auto"/>
        </w:rPr>
        <w:t>OPI Option</w:t>
      </w:r>
      <w:r>
        <w:rPr>
          <w:rFonts w:ascii="Times New Roman" w:cs="Times New Roman" w:eastAsia="Times New Roman" w:hAnsi="Times New Roman"/>
          <w:sz w:val="18"/>
          <w:szCs w:val="18"/>
          <w:color w:val="auto"/>
        </w:rPr>
        <w:t>”). The Parties agree that, during the OPI Option Period, upon Genenta’s reasonable written request (which shall not be issued more frequently than on a semi-annual basis) OSR shall provide to Genenta a report identifying and describing (with sufficient technical detail to enable Genenta to evaluate the relevant technology and/or information) any and all OSR Product Improvements that were generated during the applicable reporting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 the first such report, the period beginning on the ARLA Effective Date and ending upon the date of such report; and for each subsequent report, the period beginning on the date of the then-most recent previous report and ending upon the date of such subsequent report). For the sake of clarity, OSR shall not be deemed liable to Genenta if, in the absence of any such written request from Genenta, OSR fails to provide reports on any OSR Product Improvements that were generated during the OPI Option Period.</w:t>
      </w:r>
    </w:p>
    <w:p>
      <w:pPr>
        <w:spacing w:after="0" w:line="191" w:lineRule="exact"/>
        <w:rPr>
          <w:rFonts w:ascii="Times New Roman" w:cs="Times New Roman" w:eastAsia="Times New Roman" w:hAnsi="Times New Roman"/>
          <w:sz w:val="18"/>
          <w:szCs w:val="18"/>
          <w:color w:val="auto"/>
        </w:rPr>
      </w:pPr>
    </w:p>
    <w:p>
      <w:pPr>
        <w:jc w:val="both"/>
        <w:ind w:left="1480" w:hanging="648"/>
        <w:spacing w:after="0" w:line="252" w:lineRule="auto"/>
        <w:tabs>
          <w:tab w:leader="none" w:pos="1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LHI Option Period (which may be extended in accordance with the last sentence of this Section 2.2(b)), Genenta shall have the exclusive option (exercisable more than once) to include any Lympho-Hematopoietic Indication(s) as part of the Field of Use, on an indication-by-indication basis, (“</w:t>
      </w:r>
      <w:r>
        <w:rPr>
          <w:rFonts w:ascii="Times New Roman" w:cs="Times New Roman" w:eastAsia="Times New Roman" w:hAnsi="Times New Roman"/>
          <w:sz w:val="18"/>
          <w:szCs w:val="18"/>
          <w:b w:val="1"/>
          <w:bCs w:val="1"/>
          <w:color w:val="auto"/>
        </w:rPr>
        <w:t>LHI Option</w:t>
      </w:r>
      <w:r>
        <w:rPr>
          <w:rFonts w:ascii="Times New Roman" w:cs="Times New Roman" w:eastAsia="Times New Roman" w:hAnsi="Times New Roman"/>
          <w:sz w:val="18"/>
          <w:szCs w:val="18"/>
          <w:color w:val="auto"/>
        </w:rPr>
        <w:t>”) subject to the payment of (i) the Option Fee (as defined below) and (ii) the milestones payments for each Lympho-Hematopoietic Indication as identified in the column Milestone Payments A under Section 4.7 of this Agreement and (iii) the other payments as set forth in Sections 4.2 through 4.5, and Section 4.6. The Notice shall identify the specific Lympho-Hematopoietic Indication in relation to which the LHI Option is exercised and the exercise of the LHI Option shall be effective upon such Notice. Genenta shall have the right to extend the LHI Option Period twice for additional twelve (12) month periods by sending written notice (“</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no later than thirty (30) days prior to the third anniversary of the ARLA Effective Date (as for the first extension) and no later than thirty (30) days prior to the fourth anniversary of the ARLA Effective Date (as for the second extension); provided that the applicable Extension Fee shall be paid no later than thirty (30) days from the date of the Extension Notice. “</w:t>
      </w:r>
      <w:r>
        <w:rPr>
          <w:rFonts w:ascii="Times New Roman" w:cs="Times New Roman" w:eastAsia="Times New Roman" w:hAnsi="Times New Roman"/>
          <w:sz w:val="18"/>
          <w:szCs w:val="18"/>
          <w:b w:val="1"/>
          <w:bCs w:val="1"/>
          <w:color w:val="auto"/>
        </w:rPr>
        <w:t>Extension Fee</w:t>
      </w:r>
      <w:r>
        <w:rPr>
          <w:rFonts w:ascii="Times New Roman" w:cs="Times New Roman" w:eastAsia="Times New Roman" w:hAnsi="Times New Roman"/>
          <w:sz w:val="18"/>
          <w:szCs w:val="18"/>
          <w:color w:val="auto"/>
        </w:rPr>
        <w:t xml:space="preserve">” shall be an amount equal to </w:t>
      </w:r>
      <w:r>
        <w:rPr>
          <w:rFonts w:ascii="Times New Roman" w:cs="Times New Roman" w:eastAsia="Times New Roman" w:hAnsi="Times New Roman"/>
          <w:sz w:val="18"/>
          <w:szCs w:val="18"/>
          <w:color w:val="auto"/>
          <w:highlight w:val="black"/>
        </w:rPr>
        <w:t>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black"/>
        </w:rPr>
        <w:t xml:space="preserve">hundred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(€300.000,00) </w:t>
      </w:r>
      <w:r>
        <w:rPr>
          <w:rFonts w:ascii="Times New Roman" w:cs="Times New Roman" w:eastAsia="Times New Roman" w:hAnsi="Times New Roman"/>
          <w:sz w:val="18"/>
          <w:szCs w:val="18"/>
          <w:color w:val="auto"/>
        </w:rPr>
        <w:t>for the first twelve (12) month extension of the LHI Option Period and</w:t>
      </w:r>
      <w:r>
        <w:rPr>
          <w:rFonts w:ascii="Times New Roman" w:cs="Times New Roman" w:eastAsia="Times New Roman" w:hAnsi="Times New Roman"/>
          <w:sz w:val="18"/>
          <w:szCs w:val="18"/>
          <w:color w:val="auto"/>
          <w:highlight w:val="black"/>
        </w:rPr>
        <w:t xml:space="preserve"> six hundred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(€600.000,00) </w:t>
      </w:r>
      <w:r>
        <w:rPr>
          <w:rFonts w:ascii="Times New Roman" w:cs="Times New Roman" w:eastAsia="Times New Roman" w:hAnsi="Times New Roman"/>
          <w:sz w:val="18"/>
          <w:szCs w:val="18"/>
          <w:color w:val="auto"/>
        </w:rPr>
        <w:t>for the second twelve (12) month extension of the LHI Option Period.</w:t>
      </w:r>
    </w:p>
    <w:p>
      <w:pPr>
        <w:spacing w:after="0" w:line="19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12" w:name="page213"/>
    <w:bookmarkEnd w:id="212"/>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Option Fee and Additional Milestones</w:t>
      </w:r>
      <w:r>
        <w:rPr>
          <w:rFonts w:ascii="Times New Roman" w:cs="Times New Roman" w:eastAsia="Times New Roman" w:hAnsi="Times New Roman"/>
          <w:sz w:val="18"/>
          <w:szCs w:val="18"/>
          <w:color w:val="auto"/>
        </w:rPr>
        <w:t>. Upon the exercise of the LHI Option set forth in Section 2.2(b) above the Field of Use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shall automatically be extended to include the relevant Lympho-Hematopoietic Indication(s) identified in the applicable Notice. Genenta shall pay to OSR the following amounts within thirty (30) Business Days after the date of OSR’s receipt of the applicable Notice (each such amount is hereinafter referred to as an “</w:t>
      </w:r>
      <w:r>
        <w:rPr>
          <w:rFonts w:ascii="Times New Roman" w:cs="Times New Roman" w:eastAsia="Times New Roman" w:hAnsi="Times New Roman"/>
          <w:sz w:val="18"/>
          <w:szCs w:val="18"/>
          <w:b w:val="1"/>
          <w:bCs w:val="1"/>
          <w:color w:val="auto"/>
        </w:rPr>
        <w:t>Option Fee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color w:val="auto"/>
          <w:highlight w:val="black"/>
        </w:rPr>
        <w:t>one million</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(€1,000,000.00)</w:t>
      </w:r>
      <w:r>
        <w:rPr>
          <w:rFonts w:ascii="Times New Roman" w:cs="Times New Roman" w:eastAsia="Times New Roman" w:hAnsi="Times New Roman"/>
          <w:sz w:val="18"/>
          <w:szCs w:val="18"/>
          <w:color w:val="auto"/>
        </w:rPr>
        <w:t xml:space="preserve"> for the first Lympho-Hematopoietic Indication; (b) </w:t>
      </w:r>
      <w:r>
        <w:rPr>
          <w:rFonts w:ascii="Times New Roman" w:cs="Times New Roman" w:eastAsia="Times New Roman" w:hAnsi="Times New Roman"/>
          <w:sz w:val="18"/>
          <w:szCs w:val="18"/>
          <w:color w:val="auto"/>
          <w:highlight w:val="black"/>
        </w:rPr>
        <w:t>five hundred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(€500,000.00)</w:t>
      </w:r>
      <w:r>
        <w:rPr>
          <w:rFonts w:ascii="Times New Roman" w:cs="Times New Roman" w:eastAsia="Times New Roman" w:hAnsi="Times New Roman"/>
          <w:sz w:val="18"/>
          <w:szCs w:val="18"/>
          <w:color w:val="auto"/>
        </w:rPr>
        <w:t xml:space="preserve"> for the second Lympho-Hematopoietic Indication; and (c) </w:t>
      </w:r>
      <w:r>
        <w:rPr>
          <w:rFonts w:ascii="Times New Roman" w:cs="Times New Roman" w:eastAsia="Times New Roman" w:hAnsi="Times New Roman"/>
          <w:sz w:val="18"/>
          <w:szCs w:val="18"/>
          <w:color w:val="auto"/>
          <w:highlight w:val="black"/>
        </w:rPr>
        <w:t>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black"/>
        </w:rPr>
        <w:t xml:space="preserve">hundred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(€300,000.00) </w:t>
      </w:r>
      <w:r>
        <w:rPr>
          <w:rFonts w:ascii="Times New Roman" w:cs="Times New Roman" w:eastAsia="Times New Roman" w:hAnsi="Times New Roman"/>
          <w:sz w:val="18"/>
          <w:szCs w:val="18"/>
          <w:color w:val="auto"/>
        </w:rPr>
        <w:t>for the third Lympho-Hematopoietic Indication. The foregoing amounts shall become due and</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payable upon (and OSR may issue the relevant invoice following) OSR’s receipt of the applicable Notice. No Option Fee shall be due for</w:t>
      </w:r>
    </w:p>
    <w:p>
      <w:pPr>
        <w:spacing w:after="0" w:line="1" w:lineRule="exact"/>
        <w:rPr>
          <w:sz w:val="20"/>
          <w:szCs w:val="20"/>
          <w:color w:val="auto"/>
        </w:rPr>
      </w:pPr>
    </w:p>
    <w:p>
      <w:pPr>
        <w:jc w:val="both"/>
        <w:ind w:left="180"/>
        <w:spacing w:after="0" w:line="239" w:lineRule="auto"/>
        <w:rPr>
          <w:sz w:val="20"/>
          <w:szCs w:val="20"/>
          <w:color w:val="auto"/>
        </w:rPr>
      </w:pPr>
      <w:r>
        <w:rPr>
          <w:rFonts w:ascii="Times New Roman" w:cs="Times New Roman" w:eastAsia="Times New Roman" w:hAnsi="Times New Roman"/>
          <w:sz w:val="18"/>
          <w:szCs w:val="18"/>
          <w:color w:val="auto"/>
        </w:rPr>
        <w:t>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(fourth) Lympho-Hematopoietic Indication and any subsequent Lympho-Hematopoietic Indications. For clarity, (i) if an applicable Notice identifies more than one Lympho-Hematopoietic Indication for which the LHI Option is exercised, then the Option Fee shall be calculated accordingly (e.g. in the event that the first Notice relates to two Lympho-Hematopoietic Indications, the Option Fee shall be </w:t>
      </w:r>
      <w:r>
        <w:rPr>
          <w:rFonts w:ascii="Times New Roman" w:cs="Times New Roman" w:eastAsia="Times New Roman" w:hAnsi="Times New Roman"/>
          <w:sz w:val="18"/>
          <w:szCs w:val="18"/>
          <w:color w:val="auto"/>
          <w:highlight w:val="black"/>
        </w:rPr>
        <w:t>equal to €1,500,000.00)</w:t>
      </w:r>
      <w:r>
        <w:rPr>
          <w:rFonts w:ascii="Times New Roman" w:cs="Times New Roman" w:eastAsia="Times New Roman" w:hAnsi="Times New Roman"/>
          <w:sz w:val="18"/>
          <w:szCs w:val="18"/>
          <w:color w:val="auto"/>
        </w:rPr>
        <w:t>; (ii) if any Lympho-Hematopoietic Indications are included in the License pursuant to the exercise of the LHI</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 xml:space="preserve">Option under Section 2.2(b), then the Milestones Payment A shall become effective and will accrue upon the occurrence of the relevant Milestone Event with respect to each applicable Licensed Product for each such Lympho-Hematopoietic Indication, as set forth in Section 4.7 hereof, and the other financial terms and conditions set forth in Section 4.2 through Section 4.5 and Section 4.6 of this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OSR acknowledges and agrees that the Option Fees due in accordance with the Last Amended License Agreement prior to the ARLA Effective Date have been paid by Genenta.</w:t>
      </w:r>
    </w:p>
    <w:p>
      <w:pPr>
        <w:spacing w:after="0" w:line="197"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Exclusivity of the LHI Option</w:t>
      </w:r>
      <w:r>
        <w:rPr>
          <w:rFonts w:ascii="Times New Roman" w:cs="Times New Roman" w:eastAsia="Times New Roman" w:hAnsi="Times New Roman"/>
          <w:sz w:val="18"/>
          <w:szCs w:val="18"/>
          <w:color w:val="auto"/>
        </w:rPr>
        <w:t>. During the LHI Option Period (as may be extended in accordance with Section 2.2(b) hereof), OSR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and shall not, grant, license, or transfer to any Third Party any rights that are covered by or subject to the LHI Option pursuant to Section 2.2(b).</w:t>
      </w:r>
    </w:p>
    <w:p>
      <w:pPr>
        <w:spacing w:after="0" w:line="171"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Sublicense</w:t>
      </w:r>
      <w:r>
        <w:rPr>
          <w:rFonts w:ascii="Times New Roman" w:cs="Times New Roman" w:eastAsia="Times New Roman" w:hAnsi="Times New Roman"/>
          <w:sz w:val="18"/>
          <w:szCs w:val="18"/>
          <w:color w:val="auto"/>
        </w:rPr>
        <w:t>. Subject to the terms and condition of this Agreement (including the limitations set forth in Section 1 of Exhibit C), OSR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grants Genenta, under the Licensed Technology, the right to sublicense, through multiple tiers, the following: (a) without prejudice to Section 7.8 below, the right to research, develop, make, have made, use; and (b) the right to offer for sale, sell and import, in each case (a) and (b), the Licensed Products in the Territory in the Field of Use, consistent with the License granted to Genenta under Section 2.1 hereof, to any Sublicensee, provided that:</w:t>
      </w:r>
    </w:p>
    <w:p>
      <w:pPr>
        <w:spacing w:after="0" w:line="183" w:lineRule="exact"/>
        <w:rPr>
          <w:sz w:val="20"/>
          <w:szCs w:val="20"/>
          <w:color w:val="auto"/>
        </w:rPr>
      </w:pPr>
    </w:p>
    <w:p>
      <w:pPr>
        <w:ind w:left="840" w:hanging="656"/>
        <w:spacing w:after="0" w:line="282" w:lineRule="auto"/>
        <w:tabs>
          <w:tab w:leader="none" w:pos="8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Genenta’s execution of any sublicense agreement Genenta shall notify OSR of the corporate name and details of the relevant Sublicensee and the scope of the prospective sublicense agreement;</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13" w:name="page214"/>
    <w:bookmarkEnd w:id="213"/>
    <w:p>
      <w:pPr>
        <w:jc w:val="both"/>
        <w:ind w:left="840" w:hanging="656"/>
        <w:spacing w:after="0" w:line="266" w:lineRule="auto"/>
        <w:tabs>
          <w:tab w:leader="none" w:pos="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shall ensure that the applicable sublicense agreement entered into with each Sublicensee be consistent with (and not exceeding) the scope of the licenses granted under this Agreement, and Genenta shall require the same of any downstream sub-sublicense agreements entered into by such Sublicensee;</w:t>
      </w:r>
    </w:p>
    <w:p>
      <w:pPr>
        <w:spacing w:after="0" w:line="175"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shall remain fully responsible and liable to OSR for the actions or omissions of each Sublicensee (including their sub-sublicensees, through multiple tiers) which result in a breach of the terms and conditions of this Agreement.</w:t>
      </w:r>
    </w:p>
    <w:p>
      <w:pPr>
        <w:spacing w:after="0" w:line="158"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color w:val="auto"/>
        </w:rPr>
        <w:t>Distributors and Third Parties’ suppliers</w:t>
      </w:r>
      <w:r>
        <w:rPr>
          <w:rFonts w:ascii="Times New Roman" w:cs="Times New Roman" w:eastAsia="Times New Roman" w:hAnsi="Times New Roman"/>
          <w:sz w:val="18"/>
          <w:szCs w:val="18"/>
          <w:color w:val="auto"/>
        </w:rPr>
        <w:t>. Subject to the terms and conditions of this Agreement, Genenta shall be fully responsible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OSR for any act and/or omission of any distributors and suppliers of the Licensed Products engaged by Genenta or any of its Affiliates in connection with the activities contemplated under this Agreement, to the extent that such act or omission results in a breach of the terms and conditions of this Agreement.</w:t>
      </w:r>
    </w:p>
    <w:p>
      <w:pPr>
        <w:spacing w:after="0" w:line="176"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color w:val="auto"/>
        </w:rPr>
        <w:t>No other right</w:t>
      </w:r>
      <w:r>
        <w:rPr>
          <w:rFonts w:ascii="Times New Roman" w:cs="Times New Roman" w:eastAsia="Times New Roman" w:hAnsi="Times New Roman"/>
          <w:sz w:val="18"/>
          <w:szCs w:val="18"/>
          <w:color w:val="auto"/>
        </w:rPr>
        <w:t>. Genenta hereby expressly agrees and acknowledges that the rights granted under the Licensed Technology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concern only the Licensed Products in the Field of Use, and that no rights or licenses are hereby granted to Genenta and/or its Affiliates and/or its Sublicensees by OSR under this Agreement with respect to any active pharmaceutical ingredient or therapeutic agent or field of use other than those expressly stated in this Agreement. Neither Party grants to the other Party any rights, licenses or covenants in or to any intellectual property, whether by implication, estoppel, or otherwise, other than the licenses and rights that are expressly granted under this Agreement.</w:t>
      </w:r>
    </w:p>
    <w:p>
      <w:pPr>
        <w:spacing w:after="0" w:line="182" w:lineRule="exact"/>
        <w:rPr>
          <w:sz w:val="20"/>
          <w:szCs w:val="20"/>
          <w:color w:val="auto"/>
        </w:rPr>
      </w:pPr>
    </w:p>
    <w:p>
      <w:pPr>
        <w:jc w:val="both"/>
        <w:ind w:left="180" w:hanging="647"/>
        <w:spacing w:after="0" w:line="255" w:lineRule="auto"/>
        <w:tabs>
          <w:tab w:leader="none" w:pos="16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b w:val="1"/>
          <w:bCs w:val="1"/>
          <w:color w:val="auto"/>
        </w:rPr>
        <w:t>OSR license to the Genenta Product Improvements</w:t>
      </w:r>
      <w:r>
        <w:rPr>
          <w:rFonts w:ascii="Times New Roman" w:cs="Times New Roman" w:eastAsia="Times New Roman" w:hAnsi="Times New Roman"/>
          <w:sz w:val="18"/>
          <w:szCs w:val="18"/>
          <w:color w:val="auto"/>
        </w:rPr>
        <w:t>. Subject to the terms and conditions of this Agreement, Genenta hereby grants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OSR during the Term a perpetual, worldwide, fully-paid up, royalty-free, non-exclusive, non-sublicensable (except as expressly set forth in clause (b) below) license under the Genenta Product Improvements as follows: (a) subject to Section 3 below, to carry out internal research in the Field of Use directly or in or with the collaboration of any non-profit Third Party; and (b) for any use outside the Field of Use, in which case the license shall be sublicensable (through multiple tiers) subject to the requirements set forth under Section 2.5(i)-(iii)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provided however that OSR shall ensure that each such sublicensee is subject to enforceable written non-disclosure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with respect to the Genenta Product Improvements comparable to, and at least as protective as, those set forth in Section 8 below.</w:t>
      </w:r>
    </w:p>
    <w:p>
      <w:pPr>
        <w:spacing w:after="0" w:line="1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14" w:name="page215"/>
    <w:bookmarkEnd w:id="214"/>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b w:val="1"/>
          <w:bCs w:val="1"/>
          <w:color w:val="auto"/>
        </w:rPr>
        <w:t>OSR’s retained rights</w:t>
      </w:r>
      <w:r>
        <w:rPr>
          <w:rFonts w:ascii="Times New Roman" w:cs="Times New Roman" w:eastAsia="Times New Roman" w:hAnsi="Times New Roman"/>
          <w:sz w:val="18"/>
          <w:szCs w:val="18"/>
          <w:color w:val="auto"/>
        </w:rPr>
        <w:t>. OSR and the relevant Affiliates shall retain the right to use the Licensed Technology as follows: (a)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Licensed Products in the Field of Use, subject to Section 3 below, for internal research use only (regardless of whether such internal research is funded by OSR and/or its Affiliates or by any Third Party, including through the TIGET Institute) as long as Genenta is granted an exclusive right under the applicable indication and/or Licensed Product hereunder; (b) subject to Section 3 below, for any use or exploitation in the Field of Use other than in relation to the Licensed Products; and (c) for any use or exploitation outside the Field of Use, in each (b) and (c) without any limitation of right, and including the right to grant licenses (through multiple tiers), provided that, for clarity, OSR may not, and shall not, during the Term grant, license or transfer any rights to, or deliver, allow access, or otherwise provide, to any person or entity any Licensed Technology (including, upon the exercise of the option set forth in Section 2.2(a), any OSR Product Improvement) for use in the Field of Use with respect to (i) the Licensed Products (unless the exclusive rights granted to Genenta hereunder with respect to such Licensed Products are terminated), and (ii) the Candidate Products (unless the Parties have not executed the CP Sponsored Research Agreement within the CPSRA Negotiation Term, as set forth in Section 2.11 or, having executed the CP Sponsored Research Agreement within the CPSRA Negotiation Term, Genenta has failed to exercise its option for a license to the Candidate Products pursuant to the CP Sponsored Research Agreement or, having exercised such option, the Parties have failed to executed a license agreement within the term set forth in the CP Sponsored Research Agreement).</w:t>
      </w:r>
    </w:p>
    <w:p>
      <w:pPr>
        <w:spacing w:after="0" w:line="185"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b w:val="1"/>
          <w:bCs w:val="1"/>
          <w:color w:val="auto"/>
        </w:rPr>
        <w:t>Technology Transfer and Availability of Existing Know-how</w:t>
      </w:r>
      <w:r>
        <w:rPr>
          <w:rFonts w:ascii="Times New Roman" w:cs="Times New Roman" w:eastAsia="Times New Roman" w:hAnsi="Times New Roman"/>
          <w:sz w:val="18"/>
          <w:szCs w:val="18"/>
          <w:color w:val="auto"/>
        </w:rPr>
        <w:t>. During the Term, following exercise of the OPI Option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2.2(a), OSR shall promptly deliver to Genenta, in a mutually agreeable form, copies of all written, graphic or electronic embodiments of the applicable OSR Product Improvements in relation to which the OPI Option was exercised (including, in the event of a patentable OSR Product Improvement in relation to which a patent application was filed by OSR, all patent filings therefor). In addition to providing copies of the OSR Product Improvements in accordance with this Section 2.10, OSR will make its scientists and/or other personnel working at the </w:t>
      </w:r>
      <w:r>
        <w:rPr>
          <w:rFonts w:ascii="Times New Roman" w:cs="Times New Roman" w:eastAsia="Times New Roman" w:hAnsi="Times New Roman"/>
          <w:sz w:val="18"/>
          <w:szCs w:val="18"/>
          <w:color w:val="auto"/>
          <w:highlight w:val="black"/>
        </w:rPr>
        <w:t>Professor Naldini Research Unit</w:t>
      </w:r>
      <w:r>
        <w:rPr>
          <w:rFonts w:ascii="Times New Roman" w:cs="Times New Roman" w:eastAsia="Times New Roman" w:hAnsi="Times New Roman"/>
          <w:sz w:val="18"/>
          <w:szCs w:val="18"/>
          <w:color w:val="auto"/>
        </w:rPr>
        <w:t xml:space="preserve"> at TIGET Institute available to Genenta, upon reasonable advance notice (which shall be sent in writing or via e-mail to businessdevelopment@hsr.it) to enable, and provide support in, practicing the OSR Product Improvements with respect to the Licensed Products during the twelve (12) months from the first Notice of exercise of the OPI Option, being understood that OSR’s support to Genenta in respect of this Section 2.10 shall not exceed thirty (30) hours of work in aggregate among all personnel working at the </w:t>
      </w:r>
      <w:r>
        <w:rPr>
          <w:rFonts w:ascii="Times New Roman" w:cs="Times New Roman" w:eastAsia="Times New Roman" w:hAnsi="Times New Roman"/>
          <w:sz w:val="18"/>
          <w:szCs w:val="18"/>
          <w:color w:val="auto"/>
          <w:highlight w:val="black"/>
        </w:rPr>
        <w:t>Professor Naldini Research Unit</w:t>
      </w:r>
      <w:r>
        <w:rPr>
          <w:rFonts w:ascii="Times New Roman" w:cs="Times New Roman" w:eastAsia="Times New Roman" w:hAnsi="Times New Roman"/>
          <w:sz w:val="18"/>
          <w:szCs w:val="18"/>
          <w:color w:val="auto"/>
        </w:rPr>
        <w:t xml:space="preserve"> at TIGET Institute, in providing such support during such period, at no cost to Genenta. Genenta acknowledges that prior to the ARLA Execution Date, OSR has provided Genenta with a copy of all information available to OSR incorporating the Existing Know-How, relating to the Field of Use, including without limitation, the listings and tables of results from the pre-clinical studies referenced in Section 2.11 of the Last Amended License Agreement.</w:t>
      </w:r>
    </w:p>
    <w:p>
      <w:pPr>
        <w:spacing w:after="0" w:line="1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15" w:name="page216"/>
    <w:bookmarkEnd w:id="215"/>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color w:val="auto"/>
        </w:rPr>
        <w:t>Candidate Products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hanging="656"/>
        <w:spacing w:after="0" w:line="259"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 days starting from the ARLA Effective Date (such period, the “</w:t>
      </w:r>
      <w:r>
        <w:rPr>
          <w:rFonts w:ascii="Times New Roman" w:cs="Times New Roman" w:eastAsia="Times New Roman" w:hAnsi="Times New Roman"/>
          <w:sz w:val="18"/>
          <w:szCs w:val="18"/>
          <w:b w:val="1"/>
          <w:bCs w:val="1"/>
          <w:color w:val="auto"/>
        </w:rPr>
        <w:t>CPSRA Negotiation Term</w:t>
      </w:r>
      <w:r>
        <w:rPr>
          <w:rFonts w:ascii="Times New Roman" w:cs="Times New Roman" w:eastAsia="Times New Roman" w:hAnsi="Times New Roman"/>
          <w:sz w:val="18"/>
          <w:szCs w:val="18"/>
          <w:color w:val="auto"/>
        </w:rPr>
        <w:t xml:space="preserve">”), the Parties shall negotiate a sponsored research agreement for the performance by OSR of certain feasibility studies (to be determined and agreed upon by the Parties during such CPSRA Negotiation Term) related to each of Candidate Products 1 and Candidate Products 2, to be funded by Genenta, provided that the Parties agree that such funding shall be at least equal to </w:t>
      </w:r>
      <w:r>
        <w:rPr>
          <w:rFonts w:ascii="Times New Roman" w:cs="Times New Roman" w:eastAsia="Times New Roman" w:hAnsi="Times New Roman"/>
          <w:sz w:val="18"/>
          <w:szCs w:val="18"/>
          <w:color w:val="auto"/>
          <w:highlight w:val="black"/>
        </w:rPr>
        <w:t>five hundred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 xml:space="preserve">(€500,000.00) </w:t>
      </w:r>
      <w:r>
        <w:rPr>
          <w:rFonts w:ascii="Times New Roman" w:cs="Times New Roman" w:eastAsia="Times New Roman" w:hAnsi="Times New Roman"/>
          <w:sz w:val="18"/>
          <w:szCs w:val="18"/>
          <w:color w:val="auto"/>
        </w:rPr>
        <w:t>(such sponsored research agreement, the “</w:t>
      </w:r>
      <w:r>
        <w:rPr>
          <w:rFonts w:ascii="Times New Roman" w:cs="Times New Roman" w:eastAsia="Times New Roman" w:hAnsi="Times New Roman"/>
          <w:sz w:val="18"/>
          <w:szCs w:val="18"/>
          <w:b w:val="1"/>
          <w:bCs w:val="1"/>
          <w:color w:val="auto"/>
        </w:rPr>
        <w:t>CPSRA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all results generated in the performance of such studies and all intellectual property rights related thereto (including ownership and the rights to exploit such results and intellectual property rights) shall vest in OSR, which shall have the right and title to file and prosecute patent applications in relation thereto; provided that Fondazione Telethon ETS shall be the co-owner of such results and of the intellectual property rights related thereto on the basis of the OSR-Telethon Cooperation Agreement;</w:t>
      </w:r>
    </w:p>
    <w:p>
      <w:pPr>
        <w:spacing w:after="0" w:line="179" w:lineRule="exact"/>
        <w:rPr>
          <w:rFonts w:ascii="Times New Roman" w:cs="Times New Roman" w:eastAsia="Times New Roman" w:hAnsi="Times New Roman"/>
          <w:sz w:val="18"/>
          <w:szCs w:val="18"/>
          <w:color w:val="auto"/>
        </w:rPr>
      </w:pPr>
    </w:p>
    <w:p>
      <w:pPr>
        <w:jc w:val="both"/>
        <w:ind w:left="1300" w:hanging="656"/>
        <w:spacing w:after="0" w:line="268"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shall have the exclusive option, to be exercised sending written notice (“</w:t>
      </w: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color w:val="auto"/>
        </w:rPr>
        <w:t>”) to OSR starting from the date of execution of the CPSRA and until the expiry of 6 (six) months from the date of the last report delivered to Genenta under the CPSRA (“</w:t>
      </w:r>
      <w:r>
        <w:rPr>
          <w:rFonts w:ascii="Times New Roman" w:cs="Times New Roman" w:eastAsia="Times New Roman" w:hAnsi="Times New Roman"/>
          <w:sz w:val="18"/>
          <w:szCs w:val="18"/>
          <w:b w:val="1"/>
          <w:bCs w:val="1"/>
          <w:color w:val="auto"/>
        </w:rPr>
        <w:t>CP Option Period</w:t>
      </w:r>
      <w:r>
        <w:rPr>
          <w:rFonts w:ascii="Times New Roman" w:cs="Times New Roman" w:eastAsia="Times New Roman" w:hAnsi="Times New Roman"/>
          <w:sz w:val="18"/>
          <w:szCs w:val="18"/>
          <w:color w:val="auto"/>
        </w:rPr>
        <w:t>”), to include</w:t>
      </w:r>
    </w:p>
    <w:p>
      <w:pPr>
        <w:spacing w:after="0" w:line="174" w:lineRule="exact"/>
        <w:rPr>
          <w:rFonts w:ascii="Times New Roman" w:cs="Times New Roman" w:eastAsia="Times New Roman" w:hAnsi="Times New Roman"/>
          <w:sz w:val="18"/>
          <w:szCs w:val="18"/>
          <w:color w:val="auto"/>
        </w:rPr>
      </w:pPr>
    </w:p>
    <w:p>
      <w:pPr>
        <w:jc w:val="both"/>
        <w:ind w:left="1940" w:hanging="648"/>
        <w:spacing w:after="0" w:line="266" w:lineRule="auto"/>
        <w:tabs>
          <w:tab w:leader="none" w:pos="19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Optioned IP 1 as part of the Licensed Patents and the Candidate Products 1 as part of the Licensed Products under this Agreement; provided that Genenta shall pay to OSR an option exercise fee equal to </w:t>
      </w:r>
      <w:r>
        <w:rPr>
          <w:rFonts w:ascii="Times New Roman" w:cs="Times New Roman" w:eastAsia="Times New Roman" w:hAnsi="Times New Roman"/>
          <w:sz w:val="18"/>
          <w:szCs w:val="18"/>
          <w:color w:val="auto"/>
          <w:highlight w:val="black"/>
        </w:rPr>
        <w:t>€125,000.00</w:t>
      </w:r>
      <w:r>
        <w:rPr>
          <w:rFonts w:ascii="Times New Roman" w:cs="Times New Roman" w:eastAsia="Times New Roman" w:hAnsi="Times New Roman"/>
          <w:sz w:val="18"/>
          <w:szCs w:val="18"/>
          <w:color w:val="auto"/>
        </w:rPr>
        <w:t xml:space="preserve"> within 30 days from the date of the Option Exercise Notice (</w:t>
      </w:r>
      <w:r>
        <w:rPr>
          <w:rFonts w:ascii="Times New Roman" w:cs="Times New Roman" w:eastAsia="Times New Roman" w:hAnsi="Times New Roman"/>
          <w:sz w:val="18"/>
          <w:szCs w:val="18"/>
          <w:b w:val="1"/>
          <w:bCs w:val="1"/>
          <w:color w:val="auto"/>
        </w:rPr>
        <w:t>“Option 1</w:t>
      </w:r>
      <w:r>
        <w:rPr>
          <w:rFonts w:ascii="Times New Roman" w:cs="Times New Roman" w:eastAsia="Times New Roman" w:hAnsi="Times New Roman"/>
          <w:sz w:val="18"/>
          <w:szCs w:val="18"/>
          <w:color w:val="auto"/>
        </w:rPr>
        <w:t>”); and/or</w:t>
      </w:r>
    </w:p>
    <w:p>
      <w:pPr>
        <w:spacing w:after="0" w:line="175" w:lineRule="exact"/>
        <w:rPr>
          <w:rFonts w:ascii="Times New Roman" w:cs="Times New Roman" w:eastAsia="Times New Roman" w:hAnsi="Times New Roman"/>
          <w:sz w:val="18"/>
          <w:szCs w:val="18"/>
          <w:color w:val="auto"/>
        </w:rPr>
      </w:pPr>
    </w:p>
    <w:p>
      <w:pPr>
        <w:jc w:val="both"/>
        <w:ind w:left="1940" w:hanging="648"/>
        <w:spacing w:after="0" w:line="255" w:lineRule="auto"/>
        <w:tabs>
          <w:tab w:leader="none" w:pos="19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Optioned IP 2 as part of the Licensed Patents and the Candidate Products 2 as part of the Licensed Products under this Agreement; provided that in such event the definition of Field of Use related to the Candidate Products 2 shall be as follows: “the use of gene therapy with respect to (a) any and all Solid Cancer Indications (including, for the avoidance of doubt, glioblastoma and solid liver cancer) and/or (b) solely subject to (and starting from) Genenta having exercised the option set forth in Section 2.2(b) below, such Lympho-Hematopoietic Indication(s) in relation to which such option is exercised”; further provided that Genenta shall pay to OSR an option exercise fee equal to </w:t>
      </w:r>
      <w:r>
        <w:rPr>
          <w:rFonts w:ascii="Times New Roman" w:cs="Times New Roman" w:eastAsia="Times New Roman" w:hAnsi="Times New Roman"/>
          <w:sz w:val="18"/>
          <w:szCs w:val="18"/>
          <w:color w:val="auto"/>
          <w:highlight w:val="black"/>
        </w:rPr>
        <w:t>€250,000.00</w:t>
      </w:r>
      <w:r>
        <w:rPr>
          <w:rFonts w:ascii="Times New Roman" w:cs="Times New Roman" w:eastAsia="Times New Roman" w:hAnsi="Times New Roman"/>
          <w:sz w:val="18"/>
          <w:szCs w:val="18"/>
          <w:color w:val="auto"/>
        </w:rPr>
        <w:t xml:space="preserve"> within 30 days from the date of the Option Exercise Notice (“</w:t>
      </w:r>
      <w:r>
        <w:rPr>
          <w:rFonts w:ascii="Times New Roman" w:cs="Times New Roman" w:eastAsia="Times New Roman" w:hAnsi="Times New Roman"/>
          <w:sz w:val="18"/>
          <w:szCs w:val="18"/>
          <w:b w:val="1"/>
          <w:bCs w:val="1"/>
          <w:color w:val="auto"/>
        </w:rPr>
        <w:t>Option 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16" w:name="page217"/>
    <w:bookmarkEnd w:id="216"/>
    <w:p>
      <w:pPr>
        <w:jc w:val="both"/>
        <w:ind w:left="840" w:hanging="656"/>
        <w:spacing w:after="0" w:line="255"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shall have the right to extend the CP Option Period for the Option 1 and/or the Option 2 twice for additional 24 month periods by sending written notice (each such notice, a “</w:t>
      </w:r>
      <w:r>
        <w:rPr>
          <w:rFonts w:ascii="Times New Roman" w:cs="Times New Roman" w:eastAsia="Times New Roman" w:hAnsi="Times New Roman"/>
          <w:sz w:val="18"/>
          <w:szCs w:val="18"/>
          <w:b w:val="1"/>
          <w:bCs w:val="1"/>
          <w:color w:val="auto"/>
        </w:rPr>
        <w:t>CP Extension Notice</w:t>
      </w:r>
      <w:r>
        <w:rPr>
          <w:rFonts w:ascii="Times New Roman" w:cs="Times New Roman" w:eastAsia="Times New Roman" w:hAnsi="Times New Roman"/>
          <w:sz w:val="18"/>
          <w:szCs w:val="18"/>
          <w:color w:val="auto"/>
        </w:rPr>
        <w:t xml:space="preserve">”) at least three months prior to the expiry of the CP Option Period (as for the first extension) and at least three months prior to the expiry of the first 24-month extension period (as for the second extension); provided that such extension shall be granted subject to the payment of an extension fee equal to Euro </w:t>
      </w:r>
      <w:r>
        <w:rPr>
          <w:rFonts w:ascii="Times New Roman" w:cs="Times New Roman" w:eastAsia="Times New Roman" w:hAnsi="Times New Roman"/>
          <w:sz w:val="18"/>
          <w:szCs w:val="18"/>
          <w:color w:val="auto"/>
          <w:highlight w:val="black"/>
        </w:rPr>
        <w:t>500,000.00</w:t>
      </w:r>
      <w:r>
        <w:rPr>
          <w:rFonts w:ascii="Times New Roman" w:cs="Times New Roman" w:eastAsia="Times New Roman" w:hAnsi="Times New Roman"/>
          <w:sz w:val="18"/>
          <w:szCs w:val="18"/>
          <w:color w:val="auto"/>
        </w:rPr>
        <w:t xml:space="preserve"> per each 24-months extension and each of Option 1 and Option 2 no later than 30 days from the date of the CP Extension Notice (for clarity, in the event that Genenta intends to extend the CP Option Period with respect to the Option 1 and to the Option 2 for 24 months, Genenta shall pay to OSR an amount equal to Euro </w:t>
      </w:r>
      <w:r>
        <w:rPr>
          <w:rFonts w:ascii="Times New Roman" w:cs="Times New Roman" w:eastAsia="Times New Roman" w:hAnsi="Times New Roman"/>
          <w:sz w:val="18"/>
          <w:szCs w:val="18"/>
          <w:color w:val="auto"/>
          <w:highlight w:val="black"/>
        </w:rPr>
        <w:t>1 million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Genenta fails to send the Option Exercise Notice during the CP Option Period or in the event that the Option Exercise Notice relates solely to either Option 1 or Option 2, without prejudice to</w:t>
      </w:r>
    </w:p>
    <w:p>
      <w:pPr>
        <w:spacing w:after="0" w:line="161" w:lineRule="exact"/>
        <w:rPr>
          <w:rFonts w:ascii="Times New Roman" w:cs="Times New Roman" w:eastAsia="Times New Roman" w:hAnsi="Times New Roman"/>
          <w:sz w:val="18"/>
          <w:szCs w:val="18"/>
          <w:color w:val="auto"/>
        </w:rPr>
      </w:pPr>
    </w:p>
    <w:p>
      <w:pPr>
        <w:ind w:left="940" w:hanging="108"/>
        <w:spacing w:after="0"/>
        <w:tabs>
          <w:tab w:leader="none" w:pos="9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rights granted to Genenta in Section 2.1,</w:t>
      </w:r>
    </w:p>
    <w:p>
      <w:pPr>
        <w:spacing w:after="0" w:line="27" w:lineRule="exact"/>
        <w:rPr>
          <w:rFonts w:ascii="Times New Roman" w:cs="Times New Roman" w:eastAsia="Times New Roman" w:hAnsi="Times New Roman"/>
          <w:sz w:val="18"/>
          <w:szCs w:val="18"/>
          <w:color w:val="auto"/>
        </w:rPr>
      </w:pPr>
    </w:p>
    <w:p>
      <w:pPr>
        <w:ind w:left="940" w:hanging="108"/>
        <w:spacing w:after="0"/>
        <w:tabs>
          <w:tab w:leader="none" w:pos="9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to Genenta in Section 2.2(a),</w:t>
      </w:r>
    </w:p>
    <w:p>
      <w:pPr>
        <w:spacing w:after="0" w:line="9" w:lineRule="exact"/>
        <w:rPr>
          <w:rFonts w:ascii="Times New Roman" w:cs="Times New Roman" w:eastAsia="Times New Roman" w:hAnsi="Times New Roman"/>
          <w:sz w:val="18"/>
          <w:szCs w:val="18"/>
          <w:color w:val="auto"/>
        </w:rPr>
      </w:pPr>
    </w:p>
    <w:p>
      <w:pPr>
        <w:ind w:left="940" w:hanging="108"/>
        <w:spacing w:after="0"/>
        <w:tabs>
          <w:tab w:leader="none" w:pos="9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and</w:t>
      </w:r>
    </w:p>
    <w:p>
      <w:pPr>
        <w:spacing w:after="0" w:line="9" w:lineRule="exact"/>
        <w:rPr>
          <w:rFonts w:ascii="Times New Roman" w:cs="Times New Roman" w:eastAsia="Times New Roman" w:hAnsi="Times New Roman"/>
          <w:sz w:val="18"/>
          <w:szCs w:val="18"/>
          <w:color w:val="auto"/>
        </w:rPr>
      </w:pPr>
    </w:p>
    <w:p>
      <w:pPr>
        <w:ind w:left="940" w:hanging="108"/>
        <w:spacing w:after="0"/>
        <w:tabs>
          <w:tab w:leader="none" w:pos="9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2.11(vii),</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OSR shall be entitled to grant any right to any third party under (a) the Optioned IP 1 and/or (b) the Optioned IP 2 in each case</w:t>
      </w:r>
    </w:p>
    <w:p>
      <w:pPr>
        <w:spacing w:after="0" w:line="27" w:lineRule="exact"/>
        <w:rPr>
          <w:sz w:val="20"/>
          <w:szCs w:val="20"/>
          <w:color w:val="auto"/>
        </w:rPr>
      </w:pPr>
    </w:p>
    <w:p>
      <w:pPr>
        <w:ind w:left="840"/>
        <w:spacing w:after="0" w:line="260" w:lineRule="auto"/>
        <w:rPr>
          <w:sz w:val="20"/>
          <w:szCs w:val="20"/>
          <w:color w:val="auto"/>
        </w:rPr>
      </w:pPr>
      <w:r>
        <w:rPr>
          <w:rFonts w:ascii="Times New Roman" w:cs="Times New Roman" w:eastAsia="Times New Roman" w:hAnsi="Times New Roman"/>
          <w:sz w:val="18"/>
          <w:szCs w:val="18"/>
          <w:color w:val="auto"/>
        </w:rPr>
        <w:t>(a) or (b), solely to the extent that the Option Exercise Notice does not relate to such Option 1 or Option 2 (as applicable) either within the Field of Use and/or outside the Field of Use;</w:t>
      </w:r>
    </w:p>
    <w:p>
      <w:pPr>
        <w:spacing w:after="0" w:line="181" w:lineRule="exact"/>
        <w:rPr>
          <w:sz w:val="20"/>
          <w:szCs w:val="20"/>
          <w:color w:val="auto"/>
        </w:rPr>
      </w:pPr>
    </w:p>
    <w:p>
      <w:pPr>
        <w:jc w:val="both"/>
        <w:ind w:left="840" w:hanging="656"/>
        <w:spacing w:after="0" w:line="252" w:lineRule="auto"/>
        <w:tabs>
          <w:tab w:leader="none" w:pos="8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 set forth in Section 2.11(v) and without prejudice to the exclusive rights granted to Genenta in Sections 2.1, to the rights granted to Genenta in Section 2.2(a) and to Section 3, in the event that during the 6 months from the expiry of the CP Option Period (as possibly extended) OSR intends to grant a license under the Optioned IP 1 and/or the Optioned IP 2 to conduct research and to develop, make, have made, use, offer for sale, sell and/or import, respectively, the Candidate Products 1 and/or the Candidate Products 2 in the Territory (or any part thereof) in the Field of Use (or any part thereof), OSR shall first offer such license in writing to Genenta and the relevant written offer shall include the terms and conditions for the grant of such license. Should Genenta be interested in pursuing good faith negotiations with respect to the grant of such license, Genenta shall provide written notice of interest to OSR no later than 10 days from receipt of OSR’s written offer and the Parties shall have a 45 day period to execute a license agreement in relation thereto. In the event that no notice of interest is received by OSR from Genenta during the above mentioned 10 day period or, having provided such notice of interest during such 10 day period, no agreement is executed by the Parties during the above mentioned 45 day period, OSR shall be entitled to grant such rights to any third party under such Optioned IP 1 and/or Optioned IP 2, as applicable, to conduct research and to develop, make, have made, use, offer for sale, sell and/or import, as applicable, such Candidate Products 1 and/or the Candidate Products 2, as applicable, in the Territory or such part thereof, as applicable, in the Field of Use or such part thereof, as applicable (without prejudice to Section 3).</w:t>
      </w:r>
    </w:p>
    <w:p>
      <w:pPr>
        <w:spacing w:after="0" w:line="1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17" w:name="page218"/>
    <w:bookmarkEnd w:id="217"/>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Optioned IP 1</w:t>
      </w:r>
      <w:r>
        <w:rPr>
          <w:rFonts w:ascii="Times New Roman" w:cs="Times New Roman" w:eastAsia="Times New Roman" w:hAnsi="Times New Roman"/>
          <w:sz w:val="18"/>
          <w:szCs w:val="18"/>
          <w:color w:val="auto"/>
        </w:rPr>
        <w:t>” shall mean (a) the patents and patent applications identified in Exhibit 2.11A to this Agreement; (b) inventions or discoveries (whether patentable or not) generated in the performance of the CPSRA with respect to Candidate Products 1; (c) all divisions, continuations, continuations-in-part, that claim priority to, or common priority with, any of the patent applications described in clauses (a) and (b); and (d) patents that have issued or in the future issue from any of the foregoing patent applications, provided that clauses (a) through (d) above shall always include any reissues, renewals, extensions, supplemental protection certificates, and additions to any thereof;</w:t>
      </w:r>
    </w:p>
    <w:p>
      <w:pPr>
        <w:spacing w:after="0" w:line="182"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Optioned IP 2</w:t>
      </w:r>
      <w:r>
        <w:rPr>
          <w:rFonts w:ascii="Times New Roman" w:cs="Times New Roman" w:eastAsia="Times New Roman" w:hAnsi="Times New Roman"/>
          <w:sz w:val="18"/>
          <w:szCs w:val="18"/>
          <w:color w:val="auto"/>
        </w:rPr>
        <w:t>” shall mean (a) the patents and patent applications identified in Exhibit 2.11B to this Agreement; (b) inventions or discoveries (whether patentable or not) generated in the performance of the CPSRA with respect to Candidate Products 2; (c) divisions, continuations, continuations-in-part, that claim priority to, or common priority with, any of the patent applications described in clauses (a) and (b); and (d) patents that have issued or in the future issue from any of the foregoing patent applications, provided that clauses (a) through (d) above shall always include any reissues, renewals, extensions, supplemental protection certificates, and additions to any thereof.</w:t>
      </w:r>
    </w:p>
    <w:p>
      <w:pPr>
        <w:spacing w:after="0" w:line="186" w:lineRule="exact"/>
        <w:rPr>
          <w:sz w:val="20"/>
          <w:szCs w:val="20"/>
          <w:color w:val="auto"/>
        </w:rPr>
      </w:pPr>
    </w:p>
    <w:p>
      <w:pPr>
        <w:jc w:val="both"/>
        <w:ind w:left="840" w:hanging="656"/>
        <w:spacing w:after="0" w:line="253" w:lineRule="auto"/>
        <w:tabs>
          <w:tab w:leader="none" w:pos="8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any exercise of Option 1 and/or Option 2, as set forth above in this Section 2.11, OSR shall promptly deliver to Genenta, in a mutually agreeable form, copies of all written, graphic or electronic embodiments of the applicable Optioned IP 1 and/or Optioned IP 2, as applicable, in relation to which Option 1 and/or Option 2 was exercised (including, in the event of any patentable Optioned IP 1 and/or Optioned IP 2, as applicable, in relation to which a patent application was filed by OSR, all patent filings therefor). In addition to providing copies of the Optioned IP 1 and/or Optioned IP 2, as applicable, in accordance with this Section 2.11(vii), and without prejudice to Section 2.10, OSR will make its scientists and/or other personnel working at the </w:t>
      </w:r>
      <w:r>
        <w:rPr>
          <w:rFonts w:ascii="Times New Roman" w:cs="Times New Roman" w:eastAsia="Times New Roman" w:hAnsi="Times New Roman"/>
          <w:sz w:val="18"/>
          <w:szCs w:val="18"/>
          <w:color w:val="auto"/>
          <w:highlight w:val="black"/>
        </w:rPr>
        <w:t>Professor Naldini Research Unit</w:t>
      </w:r>
      <w:r>
        <w:rPr>
          <w:rFonts w:ascii="Times New Roman" w:cs="Times New Roman" w:eastAsia="Times New Roman" w:hAnsi="Times New Roman"/>
          <w:sz w:val="18"/>
          <w:szCs w:val="18"/>
          <w:color w:val="auto"/>
        </w:rPr>
        <w:t xml:space="preserve"> at TIGET Institute available to Genenta, upon reasonable advance notice (which shall be sent in writing or via e-mail to the e-mail address specified in Section 2.10) to enable, and provide support in, practicing the Optioned IP 1 and/or Optioned IP 2, as applicable, with respect to the Candidate Products, as applicable, during the twelve (12) months from the first Notice of exercise of Option 1 and/or Option 2, as applicable, being understood that OSR’s support to Genenta in respect of this Section 2.11(vii) shall not exceed thirty (30) hours of work in aggregate among all personnel working at the </w:t>
      </w:r>
      <w:r>
        <w:rPr>
          <w:rFonts w:ascii="Times New Roman" w:cs="Times New Roman" w:eastAsia="Times New Roman" w:hAnsi="Times New Roman"/>
          <w:sz w:val="18"/>
          <w:szCs w:val="18"/>
          <w:color w:val="auto"/>
          <w:highlight w:val="black"/>
        </w:rPr>
        <w:t>Professor Naldini Research Unit</w:t>
      </w:r>
      <w:r>
        <w:rPr>
          <w:rFonts w:ascii="Times New Roman" w:cs="Times New Roman" w:eastAsia="Times New Roman" w:hAnsi="Times New Roman"/>
          <w:sz w:val="18"/>
          <w:szCs w:val="18"/>
          <w:color w:val="auto"/>
        </w:rPr>
        <w:t xml:space="preserve"> at TIGET Institute, in providing such support during such period, at no cost to Genenta.</w:t>
      </w:r>
    </w:p>
    <w:p>
      <w:pPr>
        <w:spacing w:after="0" w:line="1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18" w:name="page219"/>
    <w:bookmarkEnd w:id="218"/>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NON-COMPETE</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b w:val="1"/>
          <w:bCs w:val="1"/>
          <w:color w:val="auto"/>
        </w:rPr>
        <w:t>Non-compete</w:t>
      </w:r>
      <w:r>
        <w:rPr>
          <w:rFonts w:ascii="Times New Roman" w:cs="Times New Roman" w:eastAsia="Times New Roman" w:hAnsi="Times New Roman"/>
          <w:sz w:val="18"/>
          <w:szCs w:val="18"/>
          <w:color w:val="auto"/>
        </w:rPr>
        <w:t>. Notwithstanding anything to the contrary in this Agreement, OSR may not, and shall not, grant any license to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under the Licensed Technology to clinically develop and/or commercialize any Other Product in the Field of Use until the expiration of the Non-compete Period (as defined below). Notwithstanding the foregoing, OSR shall be free to exploit the Licensed Technology to internally research and pre-clinically develop (but not clinically develop), on its own or in collaboration with any non-profit third parties (but, for clarity, not in collaboration with any for-profit third parties), any Other Product at any time during the Term as well as to grant any other right upon the expiry of the Non-compete Period. “</w:t>
      </w:r>
      <w:r>
        <w:rPr>
          <w:rFonts w:ascii="Times New Roman" w:cs="Times New Roman" w:eastAsia="Times New Roman" w:hAnsi="Times New Roman"/>
          <w:sz w:val="18"/>
          <w:szCs w:val="18"/>
          <w:b w:val="1"/>
          <w:bCs w:val="1"/>
          <w:color w:val="auto"/>
        </w:rPr>
        <w:t>Other Product</w:t>
      </w:r>
      <w:r>
        <w:rPr>
          <w:rFonts w:ascii="Times New Roman" w:cs="Times New Roman" w:eastAsia="Times New Roman" w:hAnsi="Times New Roman"/>
          <w:sz w:val="18"/>
          <w:szCs w:val="18"/>
          <w:color w:val="auto"/>
        </w:rPr>
        <w:t xml:space="preserve">” shall mean the Candidate Products and any gene therapy product developed during the Non-compete Period by the </w:t>
      </w:r>
      <w:r>
        <w:rPr>
          <w:rFonts w:ascii="Times New Roman" w:cs="Times New Roman" w:eastAsia="Times New Roman" w:hAnsi="Times New Roman"/>
          <w:sz w:val="18"/>
          <w:szCs w:val="18"/>
          <w:color w:val="auto"/>
          <w:highlight w:val="black"/>
        </w:rPr>
        <w:t>Research Unit led by Prof. Naldini</w:t>
      </w:r>
      <w:r>
        <w:rPr>
          <w:rFonts w:ascii="Times New Roman" w:cs="Times New Roman" w:eastAsia="Times New Roman" w:hAnsi="Times New Roman"/>
          <w:sz w:val="18"/>
          <w:szCs w:val="18"/>
          <w:color w:val="auto"/>
        </w:rPr>
        <w:t xml:space="preserve"> at TIGET Institute in stem progenitor hematopoietic cells for targeted delivery of cytokines by tumor infiltrating monocytes. “</w:t>
      </w:r>
      <w:r>
        <w:rPr>
          <w:rFonts w:ascii="Times New Roman" w:cs="Times New Roman" w:eastAsia="Times New Roman" w:hAnsi="Times New Roman"/>
          <w:sz w:val="18"/>
          <w:szCs w:val="18"/>
          <w:b w:val="1"/>
          <w:bCs w:val="1"/>
          <w:color w:val="auto"/>
        </w:rPr>
        <w:t>Non-compete Period</w:t>
      </w:r>
      <w:r>
        <w:rPr>
          <w:rFonts w:ascii="Times New Roman" w:cs="Times New Roman" w:eastAsia="Times New Roman" w:hAnsi="Times New Roman"/>
          <w:sz w:val="18"/>
          <w:szCs w:val="18"/>
          <w:color w:val="auto"/>
        </w:rPr>
        <w:t>” shall mean a period of 3 (three) years following the ARLA Effective Date (or, solely in relation to the Candidate Products, if longer, the term of the CPSRA).</w:t>
      </w:r>
    </w:p>
    <w:p>
      <w:pPr>
        <w:spacing w:after="0" w:line="18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CONSIDERATIONS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b w:val="1"/>
          <w:bCs w:val="1"/>
          <w:color w:val="auto"/>
        </w:rPr>
        <w:t>One-time License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59"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Upfront Fee</w:t>
      </w:r>
      <w:r>
        <w:rPr>
          <w:rFonts w:ascii="Times New Roman" w:cs="Times New Roman" w:eastAsia="Times New Roman" w:hAnsi="Times New Roman"/>
          <w:sz w:val="18"/>
          <w:szCs w:val="18"/>
          <w:color w:val="auto"/>
        </w:rPr>
        <w:t>. OSR acknowledges that prior to the ARLA Effective Date Genenta paid to OSR an amount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black"/>
        </w:rPr>
        <w:t>two hundred fifty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black"/>
        </w:rPr>
        <w:t xml:space="preserve">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(€250,000.00) </w:t>
      </w:r>
      <w:r>
        <w:rPr>
          <w:rFonts w:ascii="Times New Roman" w:cs="Times New Roman" w:eastAsia="Times New Roman" w:hAnsi="Times New Roman"/>
          <w:sz w:val="18"/>
          <w:szCs w:val="18"/>
          <w:color w:val="auto"/>
        </w:rPr>
        <w:t>upon the achievement by Genenta of the Investment Threshold (in accordance with Section 4.1 of the Last</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Amended License Agreement) (the “</w:t>
      </w:r>
      <w:r>
        <w:rPr>
          <w:rFonts w:ascii="Times New Roman" w:cs="Times New Roman" w:eastAsia="Times New Roman" w:hAnsi="Times New Roman"/>
          <w:sz w:val="18"/>
          <w:szCs w:val="18"/>
          <w:b w:val="1"/>
          <w:bCs w:val="1"/>
          <w:color w:val="auto"/>
        </w:rPr>
        <w:t>Upfront Fee</w:t>
      </w:r>
      <w:r>
        <w:rPr>
          <w:rFonts w:ascii="Times New Roman" w:cs="Times New Roman" w:eastAsia="Times New Roman" w:hAnsi="Times New Roman"/>
          <w:sz w:val="18"/>
          <w:szCs w:val="18"/>
          <w:color w:val="auto"/>
        </w:rPr>
        <w:t>”).</w:t>
      </w:r>
    </w:p>
    <w:p>
      <w:pPr>
        <w:jc w:val="both"/>
        <w:ind w:left="1300" w:hanging="644"/>
        <w:spacing w:after="0" w:line="255" w:lineRule="auto"/>
        <w:tabs>
          <w:tab w:leader="none" w:pos="13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License Fees</w:t>
      </w:r>
      <w:r>
        <w:rPr>
          <w:rFonts w:ascii="Times New Roman" w:cs="Times New Roman" w:eastAsia="Times New Roman" w:hAnsi="Times New Roman"/>
          <w:sz w:val="18"/>
          <w:szCs w:val="18"/>
          <w:color w:val="auto"/>
        </w:rPr>
        <w:t>. As partial consideration for the License and other rights granted hereunder, Genenta shall pay to OSR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additional license fees (each, payable only once), equal to up to </w:t>
      </w:r>
      <w:r>
        <w:rPr>
          <w:rFonts w:ascii="Times New Roman" w:cs="Times New Roman" w:eastAsia="Times New Roman" w:hAnsi="Times New Roman"/>
          <w:sz w:val="18"/>
          <w:szCs w:val="18"/>
          <w:color w:val="auto"/>
          <w:highlight w:val="black"/>
        </w:rPr>
        <w:t>eight hundred seventy five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(€875,000.00</w:t>
      </w:r>
      <w:r>
        <w:rPr>
          <w:rFonts w:ascii="Times New Roman" w:cs="Times New Roman" w:eastAsia="Times New Roman" w:hAnsi="Times New Roman"/>
          <w:sz w:val="18"/>
          <w:szCs w:val="18"/>
          <w:color w:val="auto"/>
        </w:rPr>
        <w:t xml:space="preserve"> in total) (collectively, the “</w:t>
      </w:r>
      <w:r>
        <w:rPr>
          <w:rFonts w:ascii="Times New Roman" w:cs="Times New Roman" w:eastAsia="Times New Roman" w:hAnsi="Times New Roman"/>
          <w:sz w:val="18"/>
          <w:szCs w:val="18"/>
          <w:b w:val="1"/>
          <w:bCs w:val="1"/>
          <w:color w:val="auto"/>
        </w:rPr>
        <w:t>ARLA One-time Fees</w:t>
      </w:r>
      <w:r>
        <w:rPr>
          <w:rFonts w:ascii="Times New Roman" w:cs="Times New Roman" w:eastAsia="Times New Roman" w:hAnsi="Times New Roman"/>
          <w:sz w:val="18"/>
          <w:szCs w:val="18"/>
          <w:color w:val="auto"/>
        </w:rPr>
        <w:t>”) as follows:</w:t>
      </w:r>
    </w:p>
    <w:p>
      <w:pPr>
        <w:spacing w:after="0" w:line="18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black"/>
        </w:rPr>
        <w:t xml:space="preserve">two hundred twenty five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(€225,000.00) </w:t>
      </w:r>
      <w:r>
        <w:rPr>
          <w:rFonts w:ascii="Times New Roman" w:cs="Times New Roman" w:eastAsia="Times New Roman" w:hAnsi="Times New Roman"/>
          <w:sz w:val="18"/>
          <w:szCs w:val="18"/>
          <w:color w:val="auto"/>
        </w:rPr>
        <w:t>shall be due upon the ARLA Effective Date;</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black"/>
        </w:rPr>
        <w:t xml:space="preserve">one hundred fifty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(€150,000.00) </w:t>
      </w:r>
      <w:r>
        <w:rPr>
          <w:rFonts w:ascii="Times New Roman" w:cs="Times New Roman" w:eastAsia="Times New Roman" w:hAnsi="Times New Roman"/>
          <w:sz w:val="18"/>
          <w:szCs w:val="18"/>
          <w:color w:val="auto"/>
        </w:rPr>
        <w:t>shall be due upon December 31 , 2023;</w:t>
      </w:r>
    </w:p>
    <w:p>
      <w:pPr>
        <w:spacing w:after="0" w:line="9"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571"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black"/>
        </w:rPr>
        <w:t xml:space="preserve">five hundred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(€500,000.00) </w:t>
      </w:r>
      <w:r>
        <w:rPr>
          <w:rFonts w:ascii="Times New Roman" w:cs="Times New Roman" w:eastAsia="Times New Roman" w:hAnsi="Times New Roman"/>
          <w:sz w:val="18"/>
          <w:szCs w:val="18"/>
          <w:color w:val="auto"/>
        </w:rPr>
        <w:t>shall be due subject to Genenta’s or any of its Affiliate’s execution of a sublicense</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agreement with a Sublicensee other than any Affiliate of Genenta (without prejudice to the last sentence of this Section 4.1(b)(z)) with respect to the rights granted under the License in Section 2.1 hereof (or a portion thereof) during the time period between September 30,</w:t>
      </w:r>
    </w:p>
    <w:p>
      <w:pPr>
        <w:spacing w:after="0" w:line="1"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18"/>
          <w:szCs w:val="18"/>
          <w:color w:val="auto"/>
        </w:rPr>
        <w:t>2022 and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ARLA Effective Date, under which sublicense agreement Genenta is entitled to receive, from such Sublicensee (that is not an Affiliate of Genenta, without prejudice to the last sentence of this Section 4.1(b)(z)) an upfront payment (in the form of cash and/or the fair market value of any equity interest acquired by Genenta, in each case, in one or more installments) equal to at </w:t>
      </w:r>
      <w:r>
        <w:rPr>
          <w:rFonts w:ascii="Times New Roman" w:cs="Times New Roman" w:eastAsia="Times New Roman" w:hAnsi="Times New Roman"/>
          <w:sz w:val="18"/>
          <w:szCs w:val="18"/>
          <w:color w:val="auto"/>
          <w:highlight w:val="black"/>
        </w:rPr>
        <w:t>least ten million</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(€10,000,000.00)</w:t>
      </w:r>
      <w:r>
        <w:rPr>
          <w:rFonts w:ascii="Times New Roman" w:cs="Times New Roman" w:eastAsia="Times New Roman" w:hAnsi="Times New Roman"/>
          <w:sz w:val="18"/>
          <w:szCs w:val="18"/>
          <w:color w:val="auto"/>
        </w:rPr>
        <w:t xml:space="preserve">; provided that the amount due by Genenta under this Section 4.1(b)(z) shall not be required to be paid to OSR until after the receipt by Genenta of such upfront payment or any portion thereof </w:t>
      </w:r>
      <w:r>
        <w:rPr>
          <w:rFonts w:ascii="Times New Roman" w:cs="Times New Roman" w:eastAsia="Times New Roman" w:hAnsi="Times New Roman"/>
          <w:sz w:val="18"/>
          <w:szCs w:val="18"/>
          <w:color w:val="auto"/>
          <w:highlight w:val="black"/>
        </w:rPr>
        <w:t>equal to five million</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 xml:space="preserve">(€5,000,000.00) </w:t>
      </w:r>
      <w:r>
        <w:rPr>
          <w:rFonts w:ascii="Times New Roman" w:cs="Times New Roman" w:eastAsia="Times New Roman" w:hAnsi="Times New Roman"/>
          <w:sz w:val="18"/>
          <w:szCs w:val="18"/>
          <w:color w:val="auto"/>
        </w:rPr>
        <w:t>(such receipt to be promptly notified to OSR by Genenta). Notwithstanding any of the foregoing, Genenta’s execution of</w:t>
      </w:r>
    </w:p>
    <w:p>
      <w:pPr>
        <w:spacing w:after="0" w:line="2" w:lineRule="exact"/>
        <w:rPr>
          <w:sz w:val="20"/>
          <w:szCs w:val="20"/>
          <w:color w:val="auto"/>
        </w:rPr>
      </w:pPr>
    </w:p>
    <w:p>
      <w:pPr>
        <w:jc w:val="both"/>
        <w:ind w:left="1300"/>
        <w:spacing w:after="0" w:line="231" w:lineRule="auto"/>
        <w:rPr>
          <w:sz w:val="20"/>
          <w:szCs w:val="20"/>
          <w:color w:val="auto"/>
        </w:rPr>
      </w:pPr>
      <w:r>
        <w:rPr>
          <w:rFonts w:ascii="Times New Roman" w:cs="Times New Roman" w:eastAsia="Times New Roman" w:hAnsi="Times New Roman"/>
          <w:sz w:val="18"/>
          <w:szCs w:val="18"/>
          <w:color w:val="auto"/>
        </w:rPr>
        <w:t>a sublicense agreement with any of its Affiliates during the time period between September 30, 2022 and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ARLA Effective Date shall not trigger the payment required under this Section 4.1(b)(z); provided however that, in the event that such applicable Sublicensee ceases to be a Genenta Affiliate on or before the expiry of 24 (twenty-four) months from the execution of the sublicense agreement (“</w:t>
      </w:r>
      <w:r>
        <w:rPr>
          <w:rFonts w:ascii="Times New Roman" w:cs="Times New Roman" w:eastAsia="Times New Roman" w:hAnsi="Times New Roman"/>
          <w:sz w:val="18"/>
          <w:szCs w:val="18"/>
          <w:b w:val="1"/>
          <w:bCs w:val="1"/>
          <w:color w:val="auto"/>
        </w:rPr>
        <w:t>Affiliate Occurrence</w:t>
      </w:r>
      <w:r>
        <w:rPr>
          <w:rFonts w:ascii="Times New Roman" w:cs="Times New Roman" w:eastAsia="Times New Roman" w:hAnsi="Times New Roman"/>
          <w:sz w:val="18"/>
          <w:szCs w:val="18"/>
          <w:color w:val="auto"/>
        </w:rPr>
        <w:t xml:space="preserve">”), Genenta shall pay to OSR the amount set forth in this Section 4.1(b)(z) (i.e. </w:t>
      </w:r>
      <w:r>
        <w:rPr>
          <w:rFonts w:ascii="Times New Roman" w:cs="Times New Roman" w:eastAsia="Times New Roman" w:hAnsi="Times New Roman"/>
          <w:sz w:val="18"/>
          <w:szCs w:val="18"/>
          <w:color w:val="auto"/>
          <w:highlight w:val="black"/>
        </w:rPr>
        <w:t>five hundred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black"/>
        </w:rPr>
        <w:t xml:space="preserve">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(€500,000.00)</w:t>
      </w:r>
      <w:r>
        <w:rPr>
          <w:rFonts w:ascii="Times New Roman" w:cs="Times New Roman" w:eastAsia="Times New Roman" w:hAnsi="Times New Roman"/>
          <w:sz w:val="18"/>
          <w:szCs w:val="18"/>
          <w:color w:val="auto"/>
        </w:rPr>
        <w:t>) within 30 days from the date of such Affiliate Occurrence.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9" w:name="page220"/>
    <w:bookmarkEnd w:id="219"/>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Subject to Sections 4.3 and 4.4, Genenta shall pay to OSR royalties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black"/>
        </w:rPr>
        <w:t>four percent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Net Sales of each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(the “</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on a Licensed Product-by-Licensed Product, country-by-country basis during the applicable Royalty Term for such Licensed Product in such country. It is understood and agreed that the amount of the Royalties shall be due and payable with respect to each Licensed Product regardless of how many Valid Claims cover such Licensed Product.</w:t>
      </w:r>
    </w:p>
    <w:p>
      <w:pPr>
        <w:spacing w:after="0" w:line="176"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Subject to Section 4.5 below, upon commencement of Generic Competition with respect to a Licensed Product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included in the Territory, and thereafter for so long as such Generic Competition persists, the Royalties payable thereafter under Section 4.2 above with respect to such Licensed Product sold in such country shall be reduced by:</w:t>
      </w:r>
    </w:p>
    <w:p>
      <w:pPr>
        <w:spacing w:after="0" w:line="175" w:lineRule="exact"/>
        <w:rPr>
          <w:sz w:val="20"/>
          <w:szCs w:val="20"/>
          <w:color w:val="auto"/>
        </w:rPr>
      </w:pPr>
    </w:p>
    <w:p>
      <w:pPr>
        <w:jc w:val="both"/>
        <w:ind w:left="840" w:hanging="656"/>
        <w:spacing w:after="0" w:line="258" w:lineRule="auto"/>
        <w:tabs>
          <w:tab w:leader="none" w:pos="8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black"/>
        </w:rPr>
        <w:t xml:space="preserve">thirty-five </w:t>
      </w:r>
      <w:r>
        <w:rPr>
          <w:rFonts w:ascii="Times New Roman" w:cs="Times New Roman" w:eastAsia="Times New Roman" w:hAnsi="Times New Roman"/>
          <w:sz w:val="18"/>
          <w:szCs w:val="18"/>
          <w:color w:val="auto"/>
        </w:rPr>
        <w:t>percent</w:t>
      </w:r>
      <w:r>
        <w:rPr>
          <w:rFonts w:ascii="Times New Roman" w:cs="Times New Roman" w:eastAsia="Times New Roman" w:hAnsi="Times New Roman"/>
          <w:sz w:val="18"/>
          <w:szCs w:val="18"/>
          <w:color w:val="auto"/>
          <w:highlight w:val="black"/>
        </w:rPr>
        <w:t xml:space="preserve"> (35%)</w:t>
      </w:r>
      <w:r>
        <w:rPr>
          <w:rFonts w:ascii="Times New Roman" w:cs="Times New Roman" w:eastAsia="Times New Roman" w:hAnsi="Times New Roman"/>
          <w:sz w:val="18"/>
          <w:szCs w:val="18"/>
          <w:color w:val="auto"/>
        </w:rPr>
        <w:t>, if such Biosimilar Product(s) represent(s) a total quantity sold of at least</w:t>
      </w:r>
      <w:r>
        <w:rPr>
          <w:rFonts w:ascii="Times New Roman" w:cs="Times New Roman" w:eastAsia="Times New Roman" w:hAnsi="Times New Roman"/>
          <w:sz w:val="18"/>
          <w:szCs w:val="18"/>
          <w:color w:val="auto"/>
          <w:highlight w:val="black"/>
        </w:rPr>
        <w:t xml:space="preserve"> twenty-five </w:t>
      </w:r>
      <w:r>
        <w:rPr>
          <w:rFonts w:ascii="Times New Roman" w:cs="Times New Roman" w:eastAsia="Times New Roman" w:hAnsi="Times New Roman"/>
          <w:sz w:val="18"/>
          <w:szCs w:val="18"/>
          <w:color w:val="auto"/>
        </w:rPr>
        <w:t>percent</w:t>
      </w:r>
      <w:r>
        <w:rPr>
          <w:rFonts w:ascii="Times New Roman" w:cs="Times New Roman" w:eastAsia="Times New Roman" w:hAnsi="Times New Roman"/>
          <w:sz w:val="18"/>
          <w:szCs w:val="18"/>
          <w:color w:val="auto"/>
          <w:highlight w:val="black"/>
        </w:rPr>
        <w:t xml:space="preserve"> (25%)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the total quantity sold of such Licensed Product and such Biosimilar Product(s), in the aggregate, in such country in such Calendar Year, as determined by the number of unit equivalents for such Licensed Product and such Biosimilar Product(s), in the aggregate, during such Calendar Year (as measured by an IMS audit or other mechanism selected by Genenta and accepted by OSR);</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or, as the case may be,</w:t>
      </w:r>
    </w:p>
    <w:p>
      <w:pPr>
        <w:spacing w:after="0" w:line="225" w:lineRule="exact"/>
        <w:rPr>
          <w:sz w:val="20"/>
          <w:szCs w:val="20"/>
          <w:color w:val="auto"/>
        </w:rPr>
      </w:pPr>
    </w:p>
    <w:p>
      <w:pPr>
        <w:jc w:val="both"/>
        <w:ind w:left="840" w:hanging="656"/>
        <w:spacing w:after="0" w:line="261" w:lineRule="auto"/>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black"/>
        </w:rPr>
        <w:t xml:space="preserve">fifty </w:t>
      </w:r>
      <w:r>
        <w:rPr>
          <w:rFonts w:ascii="Times New Roman" w:cs="Times New Roman" w:eastAsia="Times New Roman" w:hAnsi="Times New Roman"/>
          <w:sz w:val="18"/>
          <w:szCs w:val="18"/>
          <w:color w:val="auto"/>
        </w:rPr>
        <w:t>percent</w:t>
      </w:r>
      <w:r>
        <w:rPr>
          <w:rFonts w:ascii="Times New Roman" w:cs="Times New Roman" w:eastAsia="Times New Roman" w:hAnsi="Times New Roman"/>
          <w:sz w:val="18"/>
          <w:szCs w:val="18"/>
          <w:color w:val="auto"/>
          <w:highlight w:val="black"/>
        </w:rPr>
        <w:t xml:space="preserve"> (50%)</w:t>
      </w:r>
      <w:r>
        <w:rPr>
          <w:rFonts w:ascii="Times New Roman" w:cs="Times New Roman" w:eastAsia="Times New Roman" w:hAnsi="Times New Roman"/>
          <w:sz w:val="18"/>
          <w:szCs w:val="18"/>
          <w:color w:val="auto"/>
        </w:rPr>
        <w:t>, if such Biosimilar Product(s) represent(s) a total quantity sold of at least</w:t>
      </w:r>
      <w:r>
        <w:rPr>
          <w:rFonts w:ascii="Times New Roman" w:cs="Times New Roman" w:eastAsia="Times New Roman" w:hAnsi="Times New Roman"/>
          <w:sz w:val="18"/>
          <w:szCs w:val="18"/>
          <w:color w:val="auto"/>
          <w:highlight w:val="black"/>
        </w:rPr>
        <w:t xml:space="preserve"> forty </w:t>
      </w:r>
      <w:r>
        <w:rPr>
          <w:rFonts w:ascii="Times New Roman" w:cs="Times New Roman" w:eastAsia="Times New Roman" w:hAnsi="Times New Roman"/>
          <w:sz w:val="18"/>
          <w:szCs w:val="18"/>
          <w:color w:val="auto"/>
        </w:rPr>
        <w:t>percent</w:t>
      </w:r>
      <w:r>
        <w:rPr>
          <w:rFonts w:ascii="Times New Roman" w:cs="Times New Roman" w:eastAsia="Times New Roman" w:hAnsi="Times New Roman"/>
          <w:sz w:val="18"/>
          <w:szCs w:val="18"/>
          <w:color w:val="auto"/>
          <w:highlight w:val="black"/>
        </w:rPr>
        <w:t xml:space="preserve"> (40%) </w:t>
      </w:r>
      <w:r>
        <w:rPr>
          <w:rFonts w:ascii="Times New Roman" w:cs="Times New Roman" w:eastAsia="Times New Roman" w:hAnsi="Times New Roman"/>
          <w:sz w:val="18"/>
          <w:szCs w:val="18"/>
          <w:color w:val="auto"/>
        </w:rPr>
        <w:t>of the total</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quantity sold of such Licensed Product and such Biosimilar Product(s), in the aggregate, in such country in such Calendar Year, as determined by the number of unit equivalents for such Licensed Product and such Biosimilar Product(s), in the aggregate, during such Calendar Year (measured as described in clause (a) above).</w:t>
      </w:r>
    </w:p>
    <w:p>
      <w:pPr>
        <w:spacing w:after="0" w:line="176"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means, with respect to a particular Licensed Product in a particular country in the Territory, that one or more Biosimilar Products with respect to such Licensed Product is first commercialized in the market in such country after MAA approval and pricing approval (as applicable) have been granted by the applicable Regulatory Authority for such Licensed Product.</w:t>
      </w:r>
    </w:p>
    <w:p>
      <w:pPr>
        <w:spacing w:after="0" w:line="171"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Step-Down for No Valid Claims</w:t>
      </w:r>
      <w:r>
        <w:rPr>
          <w:rFonts w:ascii="Times New Roman" w:cs="Times New Roman" w:eastAsia="Times New Roman" w:hAnsi="Times New Roman"/>
          <w:sz w:val="18"/>
          <w:szCs w:val="18"/>
          <w:color w:val="auto"/>
        </w:rPr>
        <w:t>. On a Licensed Product-by-Licensed Product and country-by-country basis, beginning on the first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which a particular Licensed Product sold by Genenta or any of its Sublicensees (through multiple tiers) in a particular country is not covered by at least one Valid Claim of any of the Licensed Patents in such country, the Royalties payable thereafter under Section 4.2 above with respect to such Licensed Product sold in such country shall be reduced by </w:t>
      </w:r>
      <w:r>
        <w:rPr>
          <w:rFonts w:ascii="Times New Roman" w:cs="Times New Roman" w:eastAsia="Times New Roman" w:hAnsi="Times New Roman"/>
          <w:sz w:val="18"/>
          <w:szCs w:val="18"/>
          <w:color w:val="auto"/>
          <w:highlight w:val="black"/>
        </w:rPr>
        <w:t>fifty</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(50%).</w:t>
      </w:r>
    </w:p>
    <w:p>
      <w:pPr>
        <w:spacing w:after="0" w:line="176"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Royalty floor</w:t>
      </w:r>
      <w:r>
        <w:rPr>
          <w:rFonts w:ascii="Times New Roman" w:cs="Times New Roman" w:eastAsia="Times New Roman" w:hAnsi="Times New Roman"/>
          <w:sz w:val="18"/>
          <w:szCs w:val="18"/>
          <w:color w:val="auto"/>
        </w:rPr>
        <w:t>. In no event shall the amount of the Royalties due and payable by Genenta to OSR in accordance with Section 4.2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reduced by reason of (a) Generic Competition as set forth in Sections 4.3(a) and 4.3(b) above, (b) No Valid Claims as set forth in Section 4.4, or (c) any Third Party patents or know-how as set forth in Section 4.8 below, whether alone or in combination, to less than </w:t>
      </w:r>
      <w:r>
        <w:rPr>
          <w:rFonts w:ascii="Times New Roman" w:cs="Times New Roman" w:eastAsia="Times New Roman" w:hAnsi="Times New Roman"/>
          <w:sz w:val="18"/>
          <w:szCs w:val="18"/>
          <w:color w:val="auto"/>
          <w:highlight w:val="black"/>
        </w:rPr>
        <w:t>fifty</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(50%)</w:t>
      </w:r>
      <w:r>
        <w:rPr>
          <w:rFonts w:ascii="Times New Roman" w:cs="Times New Roman" w:eastAsia="Times New Roman" w:hAnsi="Times New Roman"/>
          <w:sz w:val="18"/>
          <w:szCs w:val="18"/>
          <w:color w:val="auto"/>
        </w:rPr>
        <w:t xml:space="preserve"> of the Royalties that would otherwise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without applying the mentioned reductions) be due under Section 4.2 above for each Calendar Quarter.</w:t>
      </w:r>
    </w:p>
    <w:p>
      <w:pPr>
        <w:spacing w:after="0" w:line="1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20" w:name="page221"/>
    <w:bookmarkEnd w:id="220"/>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auto"/>
        </w:rPr>
        <w:t>Net Sublicensing Income Sharing</w:t>
      </w:r>
      <w:r>
        <w:rPr>
          <w:rFonts w:ascii="Times New Roman" w:cs="Times New Roman" w:eastAsia="Times New Roman" w:hAnsi="Times New Roman"/>
          <w:sz w:val="18"/>
          <w:szCs w:val="18"/>
          <w:color w:val="auto"/>
        </w:rPr>
        <w:t>. In addition to the upfront payment, additional license fees, the Royalties set forth in Section 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above and to the Milestone Payments set forth in Section 4.7 below, Genenta shall pay to OSR an amount equal to </w:t>
      </w:r>
      <w:r>
        <w:rPr>
          <w:rFonts w:ascii="Times New Roman" w:cs="Times New Roman" w:eastAsia="Times New Roman" w:hAnsi="Times New Roman"/>
          <w:sz w:val="18"/>
          <w:szCs w:val="18"/>
          <w:color w:val="auto"/>
          <w:highlight w:val="black"/>
        </w:rPr>
        <w:t>fifteen</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(15%)</w:t>
      </w:r>
      <w:r>
        <w:rPr>
          <w:rFonts w:ascii="Times New Roman" w:cs="Times New Roman" w:eastAsia="Times New Roman" w:hAnsi="Times New Roman"/>
          <w:sz w:val="18"/>
          <w:szCs w:val="18"/>
          <w:color w:val="auto"/>
        </w:rPr>
        <w:t xml:space="preserve"> of any Net Sublicensing Income (the “</w:t>
      </w:r>
      <w:r>
        <w:rPr>
          <w:rFonts w:ascii="Times New Roman" w:cs="Times New Roman" w:eastAsia="Times New Roman" w:hAnsi="Times New Roman"/>
          <w:sz w:val="18"/>
          <w:szCs w:val="18"/>
          <w:b w:val="1"/>
          <w:bCs w:val="1"/>
          <w:color w:val="auto"/>
        </w:rPr>
        <w:t>OSR Sublicensing Income</w:t>
      </w:r>
      <w:r>
        <w:rPr>
          <w:rFonts w:ascii="Times New Roman" w:cs="Times New Roman" w:eastAsia="Times New Roman" w:hAnsi="Times New Roman"/>
          <w:sz w:val="18"/>
          <w:szCs w:val="18"/>
          <w:color w:val="auto"/>
        </w:rPr>
        <w:t>”). In the event that Net Sublicensing Income includes milestone payments in relation to a Milestone Event set forth in Section 4.7, Genenta shall pay to OSR the greater of: (i) the Milestone Payment set out in Section 4.7, or (ii) the payment which would be due to OSR from Genenta pursuant to this Section 4.6 in relation to such applicable Milestone Event, but not both.</w:t>
      </w:r>
    </w:p>
    <w:p>
      <w:pPr>
        <w:spacing w:after="0" w:line="182"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18"/>
          <w:szCs w:val="18"/>
          <w:color w:val="auto"/>
        </w:rPr>
        <w:t>. In addition to the upfront payment, additional license fees, the Royalties set forth in Section 4.2 above and to the OSR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Sublicensing Income set forth in Section 4.6 above, Genenta shall pay to OSR:</w:t>
      </w:r>
    </w:p>
    <w:p>
      <w:pPr>
        <w:spacing w:after="0" w:line="159" w:lineRule="exact"/>
        <w:rPr>
          <w:sz w:val="20"/>
          <w:szCs w:val="20"/>
          <w:color w:val="auto"/>
        </w:rPr>
      </w:pPr>
    </w:p>
    <w:p>
      <w:pPr>
        <w:jc w:val="both"/>
        <w:ind w:left="840" w:hanging="656"/>
        <w:spacing w:after="0" w:line="237"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Licensed Product in each Solid Cancer Indication, on a Licensed Product-by-Licensed Product basis and on an indication-by-indication basis, and within thirty (30) Business Days following the occurrence of the applicable milestone event indicated in the table below (each a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the amount indicated in the said table under the column Milestone Payment B with respect to such Milestone Event (each “</w:t>
      </w:r>
      <w:r>
        <w:rPr>
          <w:rFonts w:ascii="Times New Roman" w:cs="Times New Roman" w:eastAsia="Times New Roman" w:hAnsi="Times New Roman"/>
          <w:sz w:val="18"/>
          <w:szCs w:val="18"/>
          <w:b w:val="1"/>
          <w:bCs w:val="1"/>
          <w:color w:val="auto"/>
        </w:rPr>
        <w:t>Milestone Payment B</w:t>
      </w:r>
      <w:r>
        <w:rPr>
          <w:rFonts w:ascii="Times New Roman" w:cs="Times New Roman" w:eastAsia="Times New Roman" w:hAnsi="Times New Roman"/>
          <w:sz w:val="18"/>
          <w:szCs w:val="18"/>
          <w:color w:val="auto"/>
        </w:rPr>
        <w:t>”), it being understood that with respect to the Licensed Products starting from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Solid Cancer Indication (included) onwards, the amount of first two (2) Milestone Payments B shall be reduced by </w:t>
      </w:r>
      <w:r>
        <w:rPr>
          <w:rFonts w:ascii="Times New Roman" w:cs="Times New Roman" w:eastAsia="Times New Roman" w:hAnsi="Times New Roman"/>
          <w:sz w:val="18"/>
          <w:szCs w:val="18"/>
          <w:color w:val="auto"/>
          <w:highlight w:val="black"/>
        </w:rPr>
        <w:t>fifty</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(50%);</w:t>
      </w:r>
    </w:p>
    <w:p>
      <w:pPr>
        <w:spacing w:after="0" w:line="20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exercise of the LHI Option under Section 2.2(b) hereof, for each Licensed Product in each Lympho Hematopoietic Indication for which Genenta has exercised the LHI Option during the LHI Option Period, on a Licensed Product-by-Licensed Product basis and on an indication-by-indication basis, and within thirty (30) Business Days following the occurrence of a Milestone Event, the amount indicated in the table below under the column Milestone Payment A with respect to such Milestone Event (each “</w:t>
      </w:r>
      <w:r>
        <w:rPr>
          <w:rFonts w:ascii="Times New Roman" w:cs="Times New Roman" w:eastAsia="Times New Roman" w:hAnsi="Times New Roman"/>
          <w:sz w:val="18"/>
          <w:szCs w:val="18"/>
          <w:b w:val="1"/>
          <w:bCs w:val="1"/>
          <w:color w:val="auto"/>
        </w:rPr>
        <w:t>Milestone Payment A</w:t>
      </w:r>
      <w:r>
        <w:rPr>
          <w:rFonts w:ascii="Times New Roman" w:cs="Times New Roman" w:eastAsia="Times New Roman" w:hAnsi="Times New Roman"/>
          <w:sz w:val="18"/>
          <w:szCs w:val="18"/>
          <w:color w:val="auto"/>
        </w:rPr>
        <w:t>” and, together with the Milestone Payments B, the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In addition, if clinical proof of concept (</w:t>
      </w:r>
      <w:r>
        <w:rPr>
          <w:rFonts w:ascii="Times New Roman" w:cs="Times New Roman" w:eastAsia="Times New Roman" w:hAnsi="Times New Roman"/>
          <w:sz w:val="18"/>
          <w:szCs w:val="18"/>
          <w:i w:val="1"/>
          <w:iCs w:val="1"/>
          <w:color w:val="auto"/>
        </w:rPr>
        <w:t>PoC</w:t>
      </w:r>
      <w:r>
        <w:rPr>
          <w:rFonts w:ascii="Times New Roman" w:cs="Times New Roman" w:eastAsia="Times New Roman" w:hAnsi="Times New Roman"/>
          <w:sz w:val="18"/>
          <w:szCs w:val="18"/>
          <w:color w:val="auto"/>
        </w:rPr>
        <w:t xml:space="preserve">) is not achieved in the first Lympho Hematopoietic Indication in relation to which the LHI Option is exercised, and Genenta exercises the option set forth in Section 2.2(b) with respect to a second Lympho Hematopoietic Indication, then the first two (2) Milestone Payments A will be reduced by </w:t>
      </w:r>
      <w:r>
        <w:rPr>
          <w:rFonts w:ascii="Times New Roman" w:cs="Times New Roman" w:eastAsia="Times New Roman" w:hAnsi="Times New Roman"/>
          <w:sz w:val="18"/>
          <w:szCs w:val="18"/>
          <w:color w:val="auto"/>
          <w:highlight w:val="black"/>
        </w:rPr>
        <w:t>fifty</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(50%)</w:t>
      </w:r>
      <w:r>
        <w:rPr>
          <w:rFonts w:ascii="Times New Roman" w:cs="Times New Roman" w:eastAsia="Times New Roman" w:hAnsi="Times New Roman"/>
          <w:sz w:val="18"/>
          <w:szCs w:val="18"/>
          <w:color w:val="auto"/>
        </w:rPr>
        <w:t xml:space="preserve"> for such second Lympho Hematopoietic Indication.</w:t>
      </w:r>
    </w:p>
    <w:p>
      <w:pPr>
        <w:spacing w:after="0" w:line="182"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For clarity, for the purposes of determining milestone payments under this Section 4.7, a given Licensed Product includes all dosage strengths and formulations of such Licensed Product.</w:t>
      </w:r>
    </w:p>
    <w:p>
      <w:pPr>
        <w:spacing w:after="0" w:line="1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For clarity, each Milestone Event may be achieved by Genenta or any Sublicensees, and in either case, the corresponding Milestone Payment shall become due by Genenta upon such achievement. Genenta shall send written notice to OSR promptly upon (and in no event later than 15 Business Days) the occurrence of the applicable Milestone Event.</w:t>
      </w:r>
    </w:p>
    <w:p>
      <w:pPr>
        <w:spacing w:after="0" w:line="1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21" w:name="page222"/>
    <w:bookmarkEnd w:id="221"/>
    <w:tbl>
      <w:tblPr>
        <w:tblLayout w:type="fixed"/>
        <w:tblInd w:w="190" w:type="dxa"/>
        <w:tblCellMar>
          <w:top w:w="0" w:type="dxa"/>
          <w:left w:w="0" w:type="dxa"/>
          <w:bottom w:w="0" w:type="dxa"/>
          <w:right w:w="0" w:type="dxa"/>
        </w:tblCellMar>
      </w:tblPr>
      <w:tr>
        <w:trPr>
          <w:trHeight w:val="229"/>
        </w:trPr>
        <w:tc>
          <w:tcPr>
            <w:tcW w:w="4660" w:type="dxa"/>
            <w:vAlign w:val="bottom"/>
            <w:tcBorders>
              <w:left w:val="single" w:sz="8" w:color="D9D9D9"/>
              <w:bottom w:val="single" w:sz="8" w:color="D9D9D9"/>
              <w:right w:val="single" w:sz="8" w:color="D9D9D9"/>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Milestone Event (“ME”)</w:t>
            </w:r>
          </w:p>
        </w:tc>
        <w:tc>
          <w:tcPr>
            <w:tcW w:w="180" w:type="dxa"/>
            <w:vAlign w:val="bottom"/>
            <w:shd w:val="clear" w:color="auto" w:fill="BFBFBF"/>
          </w:tcPr>
          <w:p>
            <w:pPr>
              <w:spacing w:after="0"/>
              <w:rPr>
                <w:sz w:val="19"/>
                <w:szCs w:val="19"/>
                <w:color w:val="auto"/>
              </w:rPr>
            </w:pPr>
          </w:p>
        </w:tc>
        <w:tc>
          <w:tcPr>
            <w:tcW w:w="2420" w:type="dxa"/>
            <w:vAlign w:val="bottom"/>
            <w:tcBorders>
              <w:bottom w:val="single" w:sz="8" w:color="D9D9D9"/>
              <w:right w:val="single" w:sz="8" w:color="D9D9D9"/>
            </w:tcBorders>
            <w:gridSpan w:val="5"/>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Milestone Payment A</w:t>
            </w:r>
          </w:p>
        </w:tc>
        <w:tc>
          <w:tcPr>
            <w:tcW w:w="160" w:type="dxa"/>
            <w:vAlign w:val="bottom"/>
            <w:shd w:val="clear" w:color="auto" w:fill="BFBFBF"/>
          </w:tcPr>
          <w:p>
            <w:pPr>
              <w:spacing w:after="0"/>
              <w:rPr>
                <w:sz w:val="19"/>
                <w:szCs w:val="19"/>
                <w:color w:val="auto"/>
              </w:rPr>
            </w:pPr>
          </w:p>
        </w:tc>
        <w:tc>
          <w:tcPr>
            <w:tcW w:w="2240" w:type="dxa"/>
            <w:vAlign w:val="bottom"/>
            <w:tcBorders>
              <w:bottom w:val="single" w:sz="8" w:color="D9D9D9"/>
              <w:right w:val="single" w:sz="8" w:color="D9D9D9"/>
            </w:tcBorders>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rPr>
              <w:t>Milestone Payment B</w:t>
            </w:r>
          </w:p>
        </w:tc>
      </w:tr>
      <w:tr>
        <w:trPr>
          <w:trHeight w:val="196"/>
        </w:trPr>
        <w:tc>
          <w:tcPr>
            <w:tcW w:w="4660" w:type="dxa"/>
            <w:vAlign w:val="bottom"/>
            <w:tcBorders>
              <w:left w:val="single" w:sz="8" w:color="D9D9D9"/>
              <w:right w:val="single" w:sz="8" w:color="D9D9D9"/>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First patient dosed with a Licensed Product in Phase I/II</w:t>
            </w:r>
          </w:p>
        </w:tc>
        <w:tc>
          <w:tcPr>
            <w:tcW w:w="180" w:type="dxa"/>
            <w:vAlign w:val="bottom"/>
          </w:tcPr>
          <w:p>
            <w:pPr>
              <w:spacing w:after="0"/>
              <w:rPr>
                <w:sz w:val="17"/>
                <w:szCs w:val="17"/>
                <w:color w:val="auto"/>
              </w:rPr>
            </w:pPr>
          </w:p>
        </w:tc>
        <w:tc>
          <w:tcPr>
            <w:tcW w:w="380" w:type="dxa"/>
            <w:vAlign w:val="bottom"/>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2"/>
              </w:rPr>
              <w:t>None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7"/>
              </w:rPr>
              <w:t>1 Million</w:t>
            </w:r>
          </w:p>
        </w:tc>
        <w:tc>
          <w:tcPr>
            <w:tcW w:w="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r>
      <w:tr>
        <w:trPr>
          <w:trHeight w:val="230"/>
        </w:trPr>
        <w:tc>
          <w:tcPr>
            <w:tcW w:w="4660" w:type="dxa"/>
            <w:vAlign w:val="bottom"/>
            <w:tcBorders>
              <w:left w:val="single" w:sz="8" w:color="D9D9D9"/>
              <w:bottom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w:t>
            </w:r>
            <w:r>
              <w:rPr>
                <w:rFonts w:ascii="Times New Roman" w:cs="Times New Roman" w:eastAsia="Times New Roman" w:hAnsi="Times New Roman"/>
                <w:sz w:val="18"/>
                <w:szCs w:val="18"/>
                <w:b w:val="1"/>
                <w:bCs w:val="1"/>
                <w:color w:val="auto"/>
              </w:rPr>
              <w:t>ME1</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58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68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r>
      <w:tr>
        <w:trPr>
          <w:trHeight w:val="196"/>
        </w:trPr>
        <w:tc>
          <w:tcPr>
            <w:tcW w:w="4660" w:type="dxa"/>
            <w:vAlign w:val="bottom"/>
            <w:tcBorders>
              <w:left w:val="single" w:sz="8" w:color="D9D9D9"/>
              <w:right w:val="single" w:sz="8" w:color="D9D9D9"/>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First patient dosed with such  Licensed Product in a Phase III</w:t>
            </w:r>
          </w:p>
        </w:tc>
        <w:tc>
          <w:tcPr>
            <w:tcW w:w="18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gridSpan w:val="2"/>
            <w:shd w:val="clear" w:color="auto" w:fill="000000"/>
          </w:tcPr>
          <w:p>
            <w:pPr>
              <w:ind w:left="20"/>
              <w:spacing w:after="0" w:line="196" w:lineRule="exact"/>
              <w:rPr>
                <w:sz w:val="20"/>
                <w:szCs w:val="20"/>
                <w:color w:val="auto"/>
              </w:rPr>
            </w:pPr>
            <w:r>
              <w:rPr>
                <w:rFonts w:ascii="Times New Roman" w:cs="Times New Roman" w:eastAsia="Times New Roman" w:hAnsi="Times New Roman"/>
                <w:sz w:val="18"/>
                <w:szCs w:val="18"/>
                <w:color w:val="auto"/>
                <w:highlight w:val="black"/>
                <w:w w:val="94"/>
              </w:rPr>
              <w:t>1 Million</w:t>
            </w:r>
          </w:p>
        </w:tc>
        <w:tc>
          <w:tcPr>
            <w:tcW w:w="2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7"/>
              </w:rPr>
              <w:t>6 Million</w:t>
            </w:r>
          </w:p>
        </w:tc>
        <w:tc>
          <w:tcPr>
            <w:tcW w:w="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r>
      <w:tr>
        <w:trPr>
          <w:trHeight w:val="229"/>
        </w:trPr>
        <w:tc>
          <w:tcPr>
            <w:tcW w:w="4660" w:type="dxa"/>
            <w:vAlign w:val="bottom"/>
            <w:tcBorders>
              <w:left w:val="single" w:sz="8" w:color="D9D9D9"/>
              <w:bottom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w:t>
            </w:r>
            <w:r>
              <w:rPr>
                <w:rFonts w:ascii="Times New Roman" w:cs="Times New Roman" w:eastAsia="Times New Roman" w:hAnsi="Times New Roman"/>
                <w:sz w:val="18"/>
                <w:szCs w:val="18"/>
                <w:b w:val="1"/>
                <w:bCs w:val="1"/>
                <w:color w:val="auto"/>
              </w:rPr>
              <w:t>ME2</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58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68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r>
      <w:tr>
        <w:trPr>
          <w:trHeight w:val="196"/>
        </w:trPr>
        <w:tc>
          <w:tcPr>
            <w:tcW w:w="4660" w:type="dxa"/>
            <w:vAlign w:val="bottom"/>
            <w:tcBorders>
              <w:left w:val="single" w:sz="8" w:color="D9D9D9"/>
              <w:right w:val="single" w:sz="8" w:color="D9D9D9"/>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MAA Approval for such  Licensed Product in the first Major</w:t>
            </w:r>
          </w:p>
        </w:tc>
        <w:tc>
          <w:tcPr>
            <w:tcW w:w="180" w:type="dxa"/>
            <w:vAlign w:val="bottom"/>
          </w:tcPr>
          <w:p>
            <w:pPr>
              <w:spacing w:after="0"/>
              <w:rPr>
                <w:sz w:val="17"/>
                <w:szCs w:val="17"/>
                <w:color w:val="auto"/>
              </w:rPr>
            </w:pPr>
          </w:p>
        </w:tc>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860" w:type="dxa"/>
            <w:vAlign w:val="bottom"/>
            <w:gridSpan w:val="2"/>
            <w:shd w:val="clear" w:color="auto" w:fill="000000"/>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1.000.000,00</w:t>
            </w:r>
          </w:p>
        </w:tc>
        <w:tc>
          <w:tcPr>
            <w:tcW w:w="1080" w:type="dxa"/>
            <w:vAlign w:val="bottom"/>
            <w:tcBorders>
              <w:right w:val="single" w:sz="8" w:color="D9D9D9"/>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7"/>
              </w:rPr>
              <w:t>6 Million</w:t>
            </w:r>
          </w:p>
        </w:tc>
        <w:tc>
          <w:tcPr>
            <w:tcW w:w="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r>
      <w:tr>
        <w:trPr>
          <w:trHeight w:val="207"/>
        </w:trPr>
        <w:tc>
          <w:tcPr>
            <w:tcW w:w="4660" w:type="dxa"/>
            <w:vAlign w:val="bottom"/>
            <w:tcBorders>
              <w:left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Market Country  (including for the sake of clarity the MAA</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D9D9D9"/>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right w:val="single" w:sz="8" w:color="D9D9D9"/>
            </w:tcBorders>
          </w:tcPr>
          <w:p>
            <w:pPr>
              <w:spacing w:after="0"/>
              <w:rPr>
                <w:sz w:val="18"/>
                <w:szCs w:val="18"/>
                <w:color w:val="auto"/>
              </w:rPr>
            </w:pPr>
          </w:p>
        </w:tc>
      </w:tr>
      <w:tr>
        <w:trPr>
          <w:trHeight w:val="238"/>
        </w:trPr>
        <w:tc>
          <w:tcPr>
            <w:tcW w:w="4660" w:type="dxa"/>
            <w:vAlign w:val="bottom"/>
            <w:tcBorders>
              <w:left w:val="single" w:sz="8" w:color="D9D9D9"/>
              <w:bottom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Approval granted by EMA at central level) (“</w:t>
            </w:r>
            <w:r>
              <w:rPr>
                <w:rFonts w:ascii="Times New Roman" w:cs="Times New Roman" w:eastAsia="Times New Roman" w:hAnsi="Times New Roman"/>
                <w:sz w:val="18"/>
                <w:szCs w:val="18"/>
                <w:b w:val="1"/>
                <w:bCs w:val="1"/>
                <w:color w:val="auto"/>
              </w:rPr>
              <w:t>ME3</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Borders>
              <w:bottom w:val="single" w:sz="8" w:color="D9D9D9"/>
            </w:tcBorders>
          </w:tcPr>
          <w:p>
            <w:pPr>
              <w:spacing w:after="0"/>
              <w:rPr>
                <w:sz w:val="20"/>
                <w:szCs w:val="20"/>
                <w:color w:val="auto"/>
              </w:rPr>
            </w:pPr>
          </w:p>
        </w:tc>
        <w:tc>
          <w:tcPr>
            <w:tcW w:w="100" w:type="dxa"/>
            <w:vAlign w:val="bottom"/>
            <w:tcBorders>
              <w:bottom w:val="single" w:sz="8" w:color="D9D9D9"/>
            </w:tcBorders>
          </w:tcPr>
          <w:p>
            <w:pPr>
              <w:spacing w:after="0"/>
              <w:rPr>
                <w:sz w:val="20"/>
                <w:szCs w:val="20"/>
                <w:color w:val="auto"/>
              </w:rPr>
            </w:pPr>
          </w:p>
        </w:tc>
        <w:tc>
          <w:tcPr>
            <w:tcW w:w="580" w:type="dxa"/>
            <w:vAlign w:val="bottom"/>
            <w:tcBorders>
              <w:bottom w:val="single" w:sz="8" w:color="D9D9D9"/>
            </w:tcBorders>
          </w:tcPr>
          <w:p>
            <w:pPr>
              <w:spacing w:after="0"/>
              <w:rPr>
                <w:sz w:val="20"/>
                <w:szCs w:val="20"/>
                <w:color w:val="auto"/>
              </w:rPr>
            </w:pPr>
          </w:p>
        </w:tc>
        <w:tc>
          <w:tcPr>
            <w:tcW w:w="280" w:type="dxa"/>
            <w:vAlign w:val="bottom"/>
            <w:tcBorders>
              <w:bottom w:val="single" w:sz="8" w:color="D9D9D9"/>
            </w:tcBorders>
          </w:tcPr>
          <w:p>
            <w:pPr>
              <w:spacing w:after="0"/>
              <w:rPr>
                <w:sz w:val="20"/>
                <w:szCs w:val="20"/>
                <w:color w:val="auto"/>
              </w:rPr>
            </w:pPr>
          </w:p>
        </w:tc>
        <w:tc>
          <w:tcPr>
            <w:tcW w:w="1080" w:type="dxa"/>
            <w:vAlign w:val="bottom"/>
            <w:tcBorders>
              <w:bottom w:val="single" w:sz="8" w:color="D9D9D9"/>
              <w:right w:val="single" w:sz="8" w:color="D9D9D9"/>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D9D9D9"/>
            </w:tcBorders>
          </w:tcPr>
          <w:p>
            <w:pPr>
              <w:spacing w:after="0"/>
              <w:rPr>
                <w:sz w:val="20"/>
                <w:szCs w:val="20"/>
                <w:color w:val="auto"/>
              </w:rPr>
            </w:pPr>
          </w:p>
        </w:tc>
        <w:tc>
          <w:tcPr>
            <w:tcW w:w="680" w:type="dxa"/>
            <w:vAlign w:val="bottom"/>
            <w:tcBorders>
              <w:bottom w:val="single" w:sz="8" w:color="D9D9D9"/>
            </w:tcBorders>
          </w:tcPr>
          <w:p>
            <w:pPr>
              <w:spacing w:after="0"/>
              <w:rPr>
                <w:sz w:val="20"/>
                <w:szCs w:val="20"/>
                <w:color w:val="auto"/>
              </w:rPr>
            </w:pPr>
          </w:p>
        </w:tc>
        <w:tc>
          <w:tcPr>
            <w:tcW w:w="80" w:type="dxa"/>
            <w:vAlign w:val="bottom"/>
            <w:tcBorders>
              <w:bottom w:val="single" w:sz="8" w:color="D9D9D9"/>
            </w:tcBorders>
          </w:tcPr>
          <w:p>
            <w:pPr>
              <w:spacing w:after="0"/>
              <w:rPr>
                <w:sz w:val="20"/>
                <w:szCs w:val="20"/>
                <w:color w:val="auto"/>
              </w:rPr>
            </w:pPr>
          </w:p>
        </w:tc>
        <w:tc>
          <w:tcPr>
            <w:tcW w:w="1080" w:type="dxa"/>
            <w:vAlign w:val="bottom"/>
            <w:tcBorders>
              <w:bottom w:val="single" w:sz="8" w:color="D9D9D9"/>
              <w:right w:val="single" w:sz="8" w:color="D9D9D9"/>
            </w:tcBorders>
          </w:tcPr>
          <w:p>
            <w:pPr>
              <w:spacing w:after="0"/>
              <w:rPr>
                <w:sz w:val="20"/>
                <w:szCs w:val="20"/>
                <w:color w:val="auto"/>
              </w:rPr>
            </w:pPr>
          </w:p>
        </w:tc>
      </w:tr>
      <w:tr>
        <w:trPr>
          <w:trHeight w:val="196"/>
        </w:trPr>
        <w:tc>
          <w:tcPr>
            <w:tcW w:w="4660" w:type="dxa"/>
            <w:vAlign w:val="bottom"/>
            <w:tcBorders>
              <w:left w:val="single" w:sz="8" w:color="D9D9D9"/>
              <w:right w:val="single" w:sz="8" w:color="D9D9D9"/>
            </w:tcBorders>
            <w:gridSpan w:val="3"/>
          </w:tcPr>
          <w:p>
            <w:pPr>
              <w:ind w:left="100"/>
              <w:spacing w:after="0" w:line="196" w:lineRule="exact"/>
              <w:rPr>
                <w:sz w:val="20"/>
                <w:szCs w:val="20"/>
                <w:color w:val="auto"/>
              </w:rPr>
            </w:pPr>
            <w:r>
              <w:rPr>
                <w:rFonts w:ascii="Times New Roman" w:cs="Times New Roman" w:eastAsia="Times New Roman" w:hAnsi="Times New Roman"/>
                <w:sz w:val="18"/>
                <w:szCs w:val="18"/>
                <w:color w:val="auto"/>
              </w:rPr>
              <w:t>MAA Approval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NDA acceptance) for such Licensed</w:t>
            </w:r>
          </w:p>
        </w:tc>
        <w:tc>
          <w:tcPr>
            <w:tcW w:w="18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gridSpan w:val="2"/>
            <w:shd w:val="clear" w:color="auto" w:fill="000000"/>
          </w:tcPr>
          <w:p>
            <w:pPr>
              <w:ind w:left="20"/>
              <w:spacing w:after="0" w:line="196" w:lineRule="exact"/>
              <w:rPr>
                <w:sz w:val="20"/>
                <w:szCs w:val="20"/>
                <w:color w:val="auto"/>
              </w:rPr>
            </w:pPr>
            <w:r>
              <w:rPr>
                <w:rFonts w:ascii="Times New Roman" w:cs="Times New Roman" w:eastAsia="Times New Roman" w:hAnsi="Times New Roman"/>
                <w:sz w:val="18"/>
                <w:szCs w:val="18"/>
                <w:color w:val="auto"/>
                <w:highlight w:val="black"/>
                <w:w w:val="94"/>
              </w:rPr>
              <w:t>2 Million</w:t>
            </w:r>
          </w:p>
        </w:tc>
        <w:tc>
          <w:tcPr>
            <w:tcW w:w="1360" w:type="dxa"/>
            <w:vAlign w:val="bottom"/>
            <w:tcBorders>
              <w:right w:val="single" w:sz="8" w:color="D9D9D9"/>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760" w:type="dxa"/>
            <w:vAlign w:val="bottom"/>
            <w:gridSpan w:val="2"/>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6"/>
              </w:rPr>
              <w:t>10 Million</w:t>
            </w:r>
          </w:p>
        </w:tc>
        <w:tc>
          <w:tcPr>
            <w:tcW w:w="1080" w:type="dxa"/>
            <w:vAlign w:val="bottom"/>
            <w:tcBorders>
              <w:right w:val="single" w:sz="8" w:color="D9D9D9"/>
            </w:tcBorders>
          </w:tcPr>
          <w:p>
            <w:pPr>
              <w:spacing w:after="0"/>
              <w:rPr>
                <w:sz w:val="17"/>
                <w:szCs w:val="17"/>
                <w:color w:val="auto"/>
              </w:rPr>
            </w:pPr>
          </w:p>
        </w:tc>
      </w:tr>
      <w:tr>
        <w:trPr>
          <w:trHeight w:val="229"/>
        </w:trPr>
        <w:tc>
          <w:tcPr>
            <w:tcW w:w="4660" w:type="dxa"/>
            <w:vAlign w:val="bottom"/>
            <w:tcBorders>
              <w:left w:val="single" w:sz="8" w:color="D9D9D9"/>
              <w:bottom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Product in the United States of America (“</w:t>
            </w:r>
            <w:r>
              <w:rPr>
                <w:rFonts w:ascii="Times New Roman" w:cs="Times New Roman" w:eastAsia="Times New Roman" w:hAnsi="Times New Roman"/>
                <w:sz w:val="18"/>
                <w:szCs w:val="18"/>
                <w:b w:val="1"/>
                <w:bCs w:val="1"/>
                <w:color w:val="auto"/>
              </w:rPr>
              <w:t>ME4</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58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68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r>
      <w:tr>
        <w:trPr>
          <w:trHeight w:val="196"/>
        </w:trPr>
        <w:tc>
          <w:tcPr>
            <w:tcW w:w="4660" w:type="dxa"/>
            <w:vAlign w:val="bottom"/>
            <w:tcBorders>
              <w:left w:val="single" w:sz="8" w:color="D9D9D9"/>
              <w:right w:val="single" w:sz="8" w:color="D9D9D9"/>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First Commercial Sale of such Licensed Product in the United</w:t>
            </w:r>
          </w:p>
        </w:tc>
        <w:tc>
          <w:tcPr>
            <w:tcW w:w="18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gridSpan w:val="2"/>
            <w:shd w:val="clear" w:color="auto" w:fill="000000"/>
          </w:tcPr>
          <w:p>
            <w:pPr>
              <w:ind w:left="20"/>
              <w:spacing w:after="0" w:line="196" w:lineRule="exact"/>
              <w:rPr>
                <w:sz w:val="20"/>
                <w:szCs w:val="20"/>
                <w:color w:val="auto"/>
              </w:rPr>
            </w:pPr>
            <w:r>
              <w:rPr>
                <w:rFonts w:ascii="Times New Roman" w:cs="Times New Roman" w:eastAsia="Times New Roman" w:hAnsi="Times New Roman"/>
                <w:sz w:val="18"/>
                <w:szCs w:val="18"/>
                <w:color w:val="auto"/>
                <w:highlight w:val="black"/>
                <w:w w:val="94"/>
              </w:rPr>
              <w:t>3 Million</w:t>
            </w:r>
          </w:p>
        </w:tc>
        <w:tc>
          <w:tcPr>
            <w:tcW w:w="1360" w:type="dxa"/>
            <w:vAlign w:val="bottom"/>
            <w:tcBorders>
              <w:right w:val="single" w:sz="8" w:color="D9D9D9"/>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760" w:type="dxa"/>
            <w:vAlign w:val="bottom"/>
            <w:gridSpan w:val="2"/>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6"/>
              </w:rPr>
              <w:t>15 Million</w:t>
            </w:r>
          </w:p>
        </w:tc>
        <w:tc>
          <w:tcPr>
            <w:tcW w:w="1080" w:type="dxa"/>
            <w:vAlign w:val="bottom"/>
            <w:tcBorders>
              <w:right w:val="single" w:sz="8" w:color="D9D9D9"/>
            </w:tcBorders>
          </w:tcPr>
          <w:p>
            <w:pPr>
              <w:spacing w:after="0"/>
              <w:rPr>
                <w:sz w:val="17"/>
                <w:szCs w:val="17"/>
                <w:color w:val="auto"/>
              </w:rPr>
            </w:pPr>
          </w:p>
        </w:tc>
      </w:tr>
      <w:tr>
        <w:trPr>
          <w:trHeight w:val="229"/>
        </w:trPr>
        <w:tc>
          <w:tcPr>
            <w:tcW w:w="4660" w:type="dxa"/>
            <w:vAlign w:val="bottom"/>
            <w:tcBorders>
              <w:left w:val="single" w:sz="8" w:color="D9D9D9"/>
              <w:bottom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States of America (“</w:t>
            </w:r>
            <w:r>
              <w:rPr>
                <w:rFonts w:ascii="Times New Roman" w:cs="Times New Roman" w:eastAsia="Times New Roman" w:hAnsi="Times New Roman"/>
                <w:sz w:val="18"/>
                <w:szCs w:val="18"/>
                <w:b w:val="1"/>
                <w:bCs w:val="1"/>
                <w:color w:val="auto"/>
              </w:rPr>
              <w:t>ME5</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58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68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r>
      <w:tr>
        <w:trPr>
          <w:trHeight w:val="196"/>
        </w:trPr>
        <w:tc>
          <w:tcPr>
            <w:tcW w:w="4660" w:type="dxa"/>
            <w:vAlign w:val="bottom"/>
            <w:tcBorders>
              <w:left w:val="single" w:sz="8" w:color="D9D9D9"/>
              <w:right w:val="single" w:sz="8" w:color="D9D9D9"/>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First Commercial Sale of such Licensed Product in three (3) out</w:t>
            </w:r>
          </w:p>
        </w:tc>
        <w:tc>
          <w:tcPr>
            <w:tcW w:w="18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gridSpan w:val="2"/>
            <w:shd w:val="clear" w:color="auto" w:fill="000000"/>
          </w:tcPr>
          <w:p>
            <w:pPr>
              <w:ind w:left="20"/>
              <w:spacing w:after="0" w:line="196" w:lineRule="exact"/>
              <w:rPr>
                <w:sz w:val="20"/>
                <w:szCs w:val="20"/>
                <w:color w:val="auto"/>
              </w:rPr>
            </w:pPr>
            <w:r>
              <w:rPr>
                <w:rFonts w:ascii="Times New Roman" w:cs="Times New Roman" w:eastAsia="Times New Roman" w:hAnsi="Times New Roman"/>
                <w:sz w:val="18"/>
                <w:szCs w:val="18"/>
                <w:color w:val="auto"/>
                <w:highlight w:val="black"/>
                <w:w w:val="94"/>
              </w:rPr>
              <w:t>2 Million</w:t>
            </w:r>
          </w:p>
        </w:tc>
        <w:tc>
          <w:tcPr>
            <w:tcW w:w="1360" w:type="dxa"/>
            <w:vAlign w:val="bottom"/>
            <w:tcBorders>
              <w:right w:val="single" w:sz="8" w:color="D9D9D9"/>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Euro</w:t>
            </w:r>
          </w:p>
        </w:tc>
        <w:tc>
          <w:tcPr>
            <w:tcW w:w="760" w:type="dxa"/>
            <w:vAlign w:val="bottom"/>
            <w:gridSpan w:val="2"/>
            <w:shd w:val="clear" w:color="auto" w:fill="000000"/>
          </w:tcPr>
          <w:p>
            <w:pPr>
              <w:spacing w:after="0" w:line="196" w:lineRule="exact"/>
              <w:rPr>
                <w:sz w:val="20"/>
                <w:szCs w:val="20"/>
                <w:color w:val="auto"/>
              </w:rPr>
            </w:pPr>
            <w:r>
              <w:rPr>
                <w:rFonts w:ascii="Times New Roman" w:cs="Times New Roman" w:eastAsia="Times New Roman" w:hAnsi="Times New Roman"/>
                <w:sz w:val="18"/>
                <w:szCs w:val="18"/>
                <w:color w:val="auto"/>
                <w:highlight w:val="black"/>
                <w:w w:val="96"/>
              </w:rPr>
              <w:t>10 Million</w:t>
            </w:r>
          </w:p>
        </w:tc>
        <w:tc>
          <w:tcPr>
            <w:tcW w:w="1080" w:type="dxa"/>
            <w:vAlign w:val="bottom"/>
            <w:tcBorders>
              <w:right w:val="single" w:sz="8" w:color="D9D9D9"/>
            </w:tcBorders>
          </w:tcPr>
          <w:p>
            <w:pPr>
              <w:spacing w:after="0"/>
              <w:rPr>
                <w:sz w:val="17"/>
                <w:szCs w:val="17"/>
                <w:color w:val="auto"/>
              </w:rPr>
            </w:pPr>
          </w:p>
        </w:tc>
      </w:tr>
      <w:tr>
        <w:trPr>
          <w:trHeight w:val="230"/>
        </w:trPr>
        <w:tc>
          <w:tcPr>
            <w:tcW w:w="4660" w:type="dxa"/>
            <w:vAlign w:val="bottom"/>
            <w:tcBorders>
              <w:left w:val="single" w:sz="8" w:color="D9D9D9"/>
              <w:bottom w:val="single" w:sz="8" w:color="D9D9D9"/>
              <w:right w:val="single" w:sz="8" w:color="D9D9D9"/>
            </w:tcBorders>
            <w:gridSpan w:val="3"/>
          </w:tcPr>
          <w:p>
            <w:pPr>
              <w:ind w:left="20"/>
              <w:spacing w:after="0"/>
              <w:rPr>
                <w:sz w:val="20"/>
                <w:szCs w:val="20"/>
                <w:color w:val="auto"/>
              </w:rPr>
            </w:pPr>
            <w:r>
              <w:rPr>
                <w:rFonts w:ascii="Times New Roman" w:cs="Times New Roman" w:eastAsia="Times New Roman" w:hAnsi="Times New Roman"/>
                <w:sz w:val="18"/>
                <w:szCs w:val="18"/>
                <w:color w:val="auto"/>
              </w:rPr>
              <w:t>of 5 Major Market Countries (“</w:t>
            </w:r>
            <w:r>
              <w:rPr>
                <w:rFonts w:ascii="Times New Roman" w:cs="Times New Roman" w:eastAsia="Times New Roman" w:hAnsi="Times New Roman"/>
                <w:sz w:val="18"/>
                <w:szCs w:val="18"/>
                <w:b w:val="1"/>
                <w:bCs w:val="1"/>
                <w:color w:val="auto"/>
              </w:rPr>
              <w:t>ME6”</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58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68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80" w:type="dxa"/>
            <w:vAlign w:val="bottom"/>
            <w:tcBorders>
              <w:bottom w:val="single" w:sz="8" w:color="D9D9D9"/>
              <w:right w:val="single" w:sz="8" w:color="D9D9D9"/>
            </w:tcBorders>
          </w:tcPr>
          <w:p>
            <w:pPr>
              <w:spacing w:after="0"/>
              <w:rPr>
                <w:sz w:val="19"/>
                <w:szCs w:val="19"/>
                <w:color w:val="auto"/>
              </w:rPr>
            </w:pPr>
          </w:p>
        </w:tc>
      </w:tr>
      <w:tr>
        <w:trPr>
          <w:trHeight w:val="209"/>
        </w:trPr>
        <w:tc>
          <w:tcPr>
            <w:tcW w:w="4660" w:type="dxa"/>
            <w:vAlign w:val="bottom"/>
            <w:tcBorders>
              <w:left w:val="single" w:sz="8" w:color="D9D9D9"/>
              <w:right w:val="single" w:sz="8" w:color="D9D9D9"/>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Aggregated Net Sales in the Territory during a single Calendar</w:t>
            </w:r>
          </w:p>
        </w:tc>
        <w:tc>
          <w:tcPr>
            <w:tcW w:w="180" w:type="dxa"/>
            <w:vAlign w:val="bottom"/>
          </w:tcPr>
          <w:p>
            <w:pPr>
              <w:spacing w:after="0"/>
              <w:rPr>
                <w:sz w:val="18"/>
                <w:szCs w:val="18"/>
                <w:color w:val="auto"/>
              </w:rPr>
            </w:pPr>
          </w:p>
        </w:tc>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gridSpan w:val="2"/>
            <w:shd w:val="clear" w:color="auto" w:fill="000000"/>
          </w:tcPr>
          <w:p>
            <w:pPr>
              <w:ind w:left="20"/>
              <w:spacing w:after="0" w:line="202" w:lineRule="exact"/>
              <w:rPr>
                <w:sz w:val="20"/>
                <w:szCs w:val="20"/>
                <w:color w:val="auto"/>
              </w:rPr>
            </w:pPr>
            <w:r>
              <w:rPr>
                <w:rFonts w:ascii="Times New Roman" w:cs="Times New Roman" w:eastAsia="Times New Roman" w:hAnsi="Times New Roman"/>
                <w:sz w:val="18"/>
                <w:szCs w:val="18"/>
                <w:color w:val="auto"/>
                <w:highlight w:val="black"/>
                <w:w w:val="94"/>
              </w:rPr>
              <w:t>1 Million</w:t>
            </w:r>
          </w:p>
        </w:tc>
        <w:tc>
          <w:tcPr>
            <w:tcW w:w="1360" w:type="dxa"/>
            <w:vAlign w:val="bottom"/>
            <w:tcBorders>
              <w:right w:val="single" w:sz="8" w:color="D9D9D9"/>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Euro</w:t>
            </w:r>
          </w:p>
        </w:tc>
        <w:tc>
          <w:tcPr>
            <w:tcW w:w="680" w:type="dxa"/>
            <w:vAlign w:val="bottom"/>
            <w:shd w:val="clear" w:color="auto" w:fill="000000"/>
          </w:tcPr>
          <w:p>
            <w:pPr>
              <w:spacing w:after="0" w:line="202" w:lineRule="exact"/>
              <w:rPr>
                <w:sz w:val="20"/>
                <w:szCs w:val="20"/>
                <w:color w:val="auto"/>
              </w:rPr>
            </w:pPr>
            <w:r>
              <w:rPr>
                <w:rFonts w:ascii="Times New Roman" w:cs="Times New Roman" w:eastAsia="Times New Roman" w:hAnsi="Times New Roman"/>
                <w:sz w:val="18"/>
                <w:szCs w:val="18"/>
                <w:color w:val="auto"/>
                <w:highlight w:val="black"/>
                <w:w w:val="97"/>
              </w:rPr>
              <w:t>5 Million</w:t>
            </w:r>
          </w:p>
        </w:tc>
        <w:tc>
          <w:tcPr>
            <w:tcW w:w="1160" w:type="dxa"/>
            <w:vAlign w:val="bottom"/>
            <w:tcBorders>
              <w:right w:val="single" w:sz="8" w:color="D9D9D9"/>
            </w:tcBorders>
            <w:gridSpan w:val="2"/>
          </w:tcPr>
          <w:p>
            <w:pPr>
              <w:spacing w:after="0"/>
              <w:rPr>
                <w:sz w:val="18"/>
                <w:szCs w:val="18"/>
                <w:color w:val="auto"/>
              </w:rPr>
            </w:pPr>
          </w:p>
        </w:tc>
      </w:tr>
      <w:tr>
        <w:trPr>
          <w:trHeight w:val="203"/>
        </w:trPr>
        <w:tc>
          <w:tcPr>
            <w:tcW w:w="2040" w:type="dxa"/>
            <w:vAlign w:val="bottom"/>
            <w:tcBorders>
              <w:left w:val="single" w:sz="8" w:color="D9D9D9"/>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Year firstly exceeding Euro</w:t>
            </w:r>
          </w:p>
        </w:tc>
        <w:tc>
          <w:tcPr>
            <w:tcW w:w="940" w:type="dxa"/>
            <w:vAlign w:val="bottom"/>
            <w:shd w:val="clear" w:color="auto" w:fill="000000"/>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black"/>
                <w:w w:val="97"/>
              </w:rPr>
              <w:t>500,000,000</w:t>
            </w:r>
          </w:p>
        </w:tc>
        <w:tc>
          <w:tcPr>
            <w:tcW w:w="1680" w:type="dxa"/>
            <w:vAlign w:val="bottom"/>
            <w:tcBorders>
              <w:right w:val="single" w:sz="8" w:color="D9D9D9"/>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ME7</w:t>
            </w: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D9D9D9"/>
            </w:tcBorders>
          </w:tcPr>
          <w:p>
            <w:pPr>
              <w:spacing w:after="0"/>
              <w:rPr>
                <w:sz w:val="17"/>
                <w:szCs w:val="17"/>
                <w:color w:val="auto"/>
              </w:rPr>
            </w:pPr>
          </w:p>
        </w:tc>
      </w:tr>
      <w:tr>
        <w:trPr>
          <w:trHeight w:val="20"/>
        </w:trPr>
        <w:tc>
          <w:tcPr>
            <w:tcW w:w="2040" w:type="dxa"/>
            <w:vAlign w:val="bottom"/>
            <w:tcBorders>
              <w:left w:val="single" w:sz="8" w:color="D9D9D9"/>
              <w:bottom w:val="single" w:sz="8" w:color="D9D9D9"/>
            </w:tcBorders>
          </w:tcPr>
          <w:p>
            <w:pPr>
              <w:spacing w:after="0" w:line="20" w:lineRule="exact"/>
              <w:rPr>
                <w:sz w:val="1"/>
                <w:szCs w:val="1"/>
                <w:color w:val="auto"/>
              </w:rPr>
            </w:pPr>
          </w:p>
        </w:tc>
        <w:tc>
          <w:tcPr>
            <w:tcW w:w="940" w:type="dxa"/>
            <w:vAlign w:val="bottom"/>
            <w:tcBorders>
              <w:bottom w:val="single" w:sz="8" w:color="D9D9D9"/>
            </w:tcBorders>
          </w:tcPr>
          <w:p>
            <w:pPr>
              <w:spacing w:after="0" w:line="20" w:lineRule="exact"/>
              <w:rPr>
                <w:sz w:val="1"/>
                <w:szCs w:val="1"/>
                <w:color w:val="auto"/>
              </w:rPr>
            </w:pPr>
          </w:p>
        </w:tc>
        <w:tc>
          <w:tcPr>
            <w:tcW w:w="1680" w:type="dxa"/>
            <w:vAlign w:val="bottom"/>
            <w:tcBorders>
              <w:bottom w:val="single" w:sz="8" w:color="D9D9D9"/>
              <w:right w:val="single" w:sz="8" w:color="D9D9D9"/>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D9D9D9"/>
            </w:tcBorders>
          </w:tcPr>
          <w:p>
            <w:pPr>
              <w:spacing w:after="0" w:line="20" w:lineRule="exact"/>
              <w:rPr>
                <w:sz w:val="1"/>
                <w:szCs w:val="1"/>
                <w:color w:val="auto"/>
              </w:rPr>
            </w:pPr>
          </w:p>
        </w:tc>
        <w:tc>
          <w:tcPr>
            <w:tcW w:w="100" w:type="dxa"/>
            <w:vAlign w:val="bottom"/>
            <w:tcBorders>
              <w:bottom w:val="single" w:sz="8" w:color="D9D9D9"/>
            </w:tcBorders>
          </w:tcPr>
          <w:p>
            <w:pPr>
              <w:spacing w:after="0" w:line="20" w:lineRule="exact"/>
              <w:rPr>
                <w:sz w:val="1"/>
                <w:szCs w:val="1"/>
                <w:color w:val="auto"/>
              </w:rPr>
            </w:pPr>
          </w:p>
        </w:tc>
        <w:tc>
          <w:tcPr>
            <w:tcW w:w="580" w:type="dxa"/>
            <w:vAlign w:val="bottom"/>
            <w:tcBorders>
              <w:bottom w:val="single" w:sz="8" w:color="D9D9D9"/>
            </w:tcBorders>
          </w:tcPr>
          <w:p>
            <w:pPr>
              <w:spacing w:after="0" w:line="20" w:lineRule="exact"/>
              <w:rPr>
                <w:sz w:val="1"/>
                <w:szCs w:val="1"/>
                <w:color w:val="auto"/>
              </w:rPr>
            </w:pPr>
          </w:p>
        </w:tc>
        <w:tc>
          <w:tcPr>
            <w:tcW w:w="280" w:type="dxa"/>
            <w:vAlign w:val="bottom"/>
            <w:tcBorders>
              <w:bottom w:val="single" w:sz="8" w:color="D9D9D9"/>
            </w:tcBorders>
          </w:tcPr>
          <w:p>
            <w:pPr>
              <w:spacing w:after="0" w:line="20" w:lineRule="exact"/>
              <w:rPr>
                <w:sz w:val="1"/>
                <w:szCs w:val="1"/>
                <w:color w:val="auto"/>
              </w:rPr>
            </w:pPr>
          </w:p>
        </w:tc>
        <w:tc>
          <w:tcPr>
            <w:tcW w:w="1080" w:type="dxa"/>
            <w:vAlign w:val="bottom"/>
            <w:tcBorders>
              <w:bottom w:val="single" w:sz="8" w:color="D9D9D9"/>
              <w:right w:val="single" w:sz="8" w:color="D9D9D9"/>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D9D9D9"/>
            </w:tcBorders>
          </w:tcPr>
          <w:p>
            <w:pPr>
              <w:spacing w:after="0" w:line="20" w:lineRule="exact"/>
              <w:rPr>
                <w:sz w:val="1"/>
                <w:szCs w:val="1"/>
                <w:color w:val="auto"/>
              </w:rPr>
            </w:pPr>
          </w:p>
        </w:tc>
        <w:tc>
          <w:tcPr>
            <w:tcW w:w="680" w:type="dxa"/>
            <w:vAlign w:val="bottom"/>
            <w:tcBorders>
              <w:bottom w:val="single" w:sz="8" w:color="D9D9D9"/>
            </w:tcBorders>
          </w:tcPr>
          <w:p>
            <w:pPr>
              <w:spacing w:after="0" w:line="20" w:lineRule="exact"/>
              <w:rPr>
                <w:sz w:val="1"/>
                <w:szCs w:val="1"/>
                <w:color w:val="auto"/>
              </w:rPr>
            </w:pPr>
          </w:p>
        </w:tc>
        <w:tc>
          <w:tcPr>
            <w:tcW w:w="80" w:type="dxa"/>
            <w:vAlign w:val="bottom"/>
            <w:tcBorders>
              <w:bottom w:val="single" w:sz="8" w:color="D9D9D9"/>
            </w:tcBorders>
          </w:tcPr>
          <w:p>
            <w:pPr>
              <w:spacing w:after="0" w:line="20" w:lineRule="exact"/>
              <w:rPr>
                <w:sz w:val="1"/>
                <w:szCs w:val="1"/>
                <w:color w:val="auto"/>
              </w:rPr>
            </w:pPr>
          </w:p>
        </w:tc>
        <w:tc>
          <w:tcPr>
            <w:tcW w:w="1080" w:type="dxa"/>
            <w:vAlign w:val="bottom"/>
            <w:tcBorders>
              <w:bottom w:val="single" w:sz="8" w:color="D9D9D9"/>
              <w:right w:val="single" w:sz="8" w:color="D9D9D9"/>
            </w:tcBorders>
          </w:tcPr>
          <w:p>
            <w:pPr>
              <w:spacing w:after="0" w:line="20" w:lineRule="exact"/>
              <w:rPr>
                <w:sz w:val="1"/>
                <w:szCs w:val="1"/>
                <w:color w:val="auto"/>
              </w:rPr>
            </w:pPr>
          </w:p>
        </w:tc>
      </w:tr>
      <w:tr>
        <w:trPr>
          <w:trHeight w:val="419"/>
        </w:trPr>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Parties acknowledge that: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8" w:lineRule="exact"/>
        <w:rPr>
          <w:sz w:val="20"/>
          <w:szCs w:val="20"/>
          <w:color w:val="auto"/>
        </w:rPr>
      </w:pPr>
    </w:p>
    <w:p>
      <w:pPr>
        <w:jc w:val="both"/>
        <w:ind w:left="840" w:hanging="656"/>
        <w:spacing w:after="0" w:line="256" w:lineRule="auto"/>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Section 4.7(a), the occurrence of ME1 with respect to a Licensed Product for GBM indication was achieved by Genenta prior to the ARLA Effective Date, and the corresponding Milestone Payment B (in the amount of </w:t>
      </w:r>
      <w:r>
        <w:rPr>
          <w:rFonts w:ascii="Times New Roman" w:cs="Times New Roman" w:eastAsia="Times New Roman" w:hAnsi="Times New Roman"/>
          <w:sz w:val="18"/>
          <w:szCs w:val="18"/>
          <w:color w:val="auto"/>
          <w:highlight w:val="black"/>
        </w:rPr>
        <w:t>one million</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€1.000.000,00)</w:t>
      </w:r>
      <w:r>
        <w:rPr>
          <w:rFonts w:ascii="Times New Roman" w:cs="Times New Roman" w:eastAsia="Times New Roman" w:hAnsi="Times New Roman"/>
          <w:sz w:val="18"/>
          <w:szCs w:val="18"/>
          <w:color w:val="auto"/>
        </w:rPr>
        <w:t xml:space="preserve"> shall be paid upon the occurrence of the ME2 for such Licensed Product for the GBM indication. Upon the occurrence of ME2, Genenta shall pay to OSR a total amount equal to </w:t>
      </w:r>
      <w:r>
        <w:rPr>
          <w:rFonts w:ascii="Times New Roman" w:cs="Times New Roman" w:eastAsia="Times New Roman" w:hAnsi="Times New Roman"/>
          <w:sz w:val="18"/>
          <w:szCs w:val="18"/>
          <w:color w:val="auto"/>
          <w:highlight w:val="black"/>
        </w:rPr>
        <w:t>seven million</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(€7.000.000,00)</w:t>
      </w:r>
      <w:r>
        <w:rPr>
          <w:rFonts w:ascii="Times New Roman" w:cs="Times New Roman" w:eastAsia="Times New Roman" w:hAnsi="Times New Roman"/>
          <w:sz w:val="18"/>
          <w:szCs w:val="18"/>
          <w:color w:val="auto"/>
        </w:rPr>
        <w:t>, meaning the Milestone Payment B for both ME1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black"/>
        </w:rPr>
        <w:t xml:space="preserve"> €1.000.000,00) </w:t>
      </w:r>
      <w:r>
        <w:rPr>
          <w:rFonts w:ascii="Times New Roman" w:cs="Times New Roman" w:eastAsia="Times New Roman" w:hAnsi="Times New Roman"/>
          <w:sz w:val="18"/>
          <w:szCs w:val="18"/>
          <w:color w:val="auto"/>
        </w:rPr>
        <w:t>and ME2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black"/>
        </w:rPr>
        <w:t xml:space="preserve"> €6.000.000,00) </w:t>
      </w:r>
      <w:r>
        <w:rPr>
          <w:rFonts w:ascii="Times New Roman" w:cs="Times New Roman" w:eastAsia="Times New Roman" w:hAnsi="Times New Roman"/>
          <w:sz w:val="18"/>
          <w:szCs w:val="18"/>
          <w:color w:val="auto"/>
        </w:rPr>
        <w:t>(without</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prejudice to (ii) below);</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Milestone Payment B related to the first Licensed Product entering the Phase I/II Clinical Trial for a Solid Cancer Indication after the ARLA Effective Date shall be reduced to </w:t>
      </w:r>
      <w:r>
        <w:rPr>
          <w:rFonts w:ascii="Times New Roman" w:cs="Times New Roman" w:eastAsia="Times New Roman" w:hAnsi="Times New Roman"/>
          <w:sz w:val="18"/>
          <w:szCs w:val="18"/>
          <w:color w:val="auto"/>
          <w:highlight w:val="black"/>
        </w:rPr>
        <w:t>five hundred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(€500,000.00</w:t>
      </w:r>
      <w:r>
        <w:rPr>
          <w:rFonts w:ascii="Times New Roman" w:cs="Times New Roman" w:eastAsia="Times New Roman" w:hAnsi="Times New Roman"/>
          <w:sz w:val="18"/>
          <w:szCs w:val="18"/>
          <w:color w:val="auto"/>
        </w:rPr>
        <w:t xml:space="preserve">) (in lieu of </w:t>
      </w:r>
      <w:r>
        <w:rPr>
          <w:rFonts w:ascii="Times New Roman" w:cs="Times New Roman" w:eastAsia="Times New Roman" w:hAnsi="Times New Roman"/>
          <w:sz w:val="18"/>
          <w:szCs w:val="18"/>
          <w:color w:val="auto"/>
          <w:highlight w:val="black"/>
        </w:rPr>
        <w:t>one million</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(€1.000.000,00</w:t>
      </w:r>
      <w:r>
        <w:rPr>
          <w:rFonts w:ascii="Times New Roman" w:cs="Times New Roman" w:eastAsia="Times New Roman" w:hAnsi="Times New Roman"/>
          <w:sz w:val="18"/>
          <w:szCs w:val="18"/>
          <w:color w:val="auto"/>
        </w:rPr>
        <w:t>) set forth in the table above) and payable upon the third patient being dosed in such Phase I/II Clinical Trial</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(provided that such reduction shall apply only to the first Licensed Product entering the Phase I/II Clinical Trial after the ARLA Effective Date);</w:t>
      </w:r>
    </w:p>
    <w:p>
      <w:pPr>
        <w:spacing w:after="0" w:line="1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07" w:right="339" w:bottom="1440" w:gutter="0" w:footer="0" w:header="0"/>
        </w:sectPr>
      </w:pPr>
    </w:p>
    <w:bookmarkStart w:id="222" w:name="page223"/>
    <w:bookmarkEnd w:id="222"/>
    <w:p>
      <w:pPr>
        <w:ind w:left="1300" w:hanging="656"/>
        <w:spacing w:after="0" w:line="282"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GBM, Genenta shall pay to OSR an additional amount equal to </w:t>
      </w:r>
      <w:r>
        <w:rPr>
          <w:rFonts w:ascii="Times New Roman" w:cs="Times New Roman" w:eastAsia="Times New Roman" w:hAnsi="Times New Roman"/>
          <w:sz w:val="18"/>
          <w:szCs w:val="18"/>
          <w:color w:val="auto"/>
          <w:highlight w:val="black"/>
        </w:rPr>
        <w:t>three hundred fifty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(€350.000,00)</w:t>
      </w:r>
      <w:r>
        <w:rPr>
          <w:rFonts w:ascii="Times New Roman" w:cs="Times New Roman" w:eastAsia="Times New Roman" w:hAnsi="Times New Roman"/>
          <w:sz w:val="18"/>
          <w:szCs w:val="18"/>
          <w:color w:val="auto"/>
        </w:rPr>
        <w:t xml:space="preserve"> upon the first patient being dosed in a Phase III Clinical Trial in US with respect to any Licensed Product for GBM; and</w:t>
      </w:r>
    </w:p>
    <w:p>
      <w:pPr>
        <w:spacing w:after="0" w:line="161" w:lineRule="exact"/>
        <w:rPr>
          <w:rFonts w:ascii="Times New Roman" w:cs="Times New Roman" w:eastAsia="Times New Roman" w:hAnsi="Times New Roman"/>
          <w:sz w:val="18"/>
          <w:szCs w:val="18"/>
          <w:color w:val="auto"/>
        </w:rPr>
      </w:pPr>
    </w:p>
    <w:p>
      <w:pPr>
        <w:jc w:val="both"/>
        <w:ind w:left="1300" w:hanging="656"/>
        <w:spacing w:after="0" w:line="254"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conditional MAA Approval is granted with respect to an applicable Licensed Product, Genenta shall pay to OSR </w:t>
      </w:r>
      <w:r>
        <w:rPr>
          <w:rFonts w:ascii="Times New Roman" w:cs="Times New Roman" w:eastAsia="Times New Roman" w:hAnsi="Times New Roman"/>
          <w:sz w:val="18"/>
          <w:szCs w:val="18"/>
          <w:color w:val="auto"/>
          <w:highlight w:val="black"/>
        </w:rPr>
        <w:t>half</w:t>
      </w:r>
      <w:r>
        <w:rPr>
          <w:rFonts w:ascii="Times New Roman" w:cs="Times New Roman" w:eastAsia="Times New Roman" w:hAnsi="Times New Roman"/>
          <w:sz w:val="18"/>
          <w:szCs w:val="18"/>
          <w:color w:val="auto"/>
        </w:rPr>
        <w:t xml:space="preserve"> of the ME3 Milestone Payment or ME4 Milestone Payment (as applicable) upon the grant of such conditional MAA Approval and the </w:t>
      </w:r>
      <w:r>
        <w:rPr>
          <w:rFonts w:ascii="Times New Roman" w:cs="Times New Roman" w:eastAsia="Times New Roman" w:hAnsi="Times New Roman"/>
          <w:sz w:val="18"/>
          <w:szCs w:val="18"/>
          <w:color w:val="auto"/>
          <w:highlight w:val="black"/>
        </w:rPr>
        <w:t>remaining half</w:t>
      </w:r>
      <w:r>
        <w:rPr>
          <w:rFonts w:ascii="Times New Roman" w:cs="Times New Roman" w:eastAsia="Times New Roman" w:hAnsi="Times New Roman"/>
          <w:sz w:val="18"/>
          <w:szCs w:val="18"/>
          <w:color w:val="auto"/>
        </w:rPr>
        <w:t xml:space="preserve"> of the ME3 Milestone Payment or ME4 Milestone Payment (as applicable) upon the definitive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non-conditional) MAA Approval for such Licensed Product being granted. In the event that the definitive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non-conditional) MAA Approval for such Licensed Product is not obtained within the timeline set forth under Applicable Regulations, then Genenta shall be entitled to </w:t>
      </w:r>
      <w:r>
        <w:rPr>
          <w:rFonts w:ascii="Times New Roman" w:cs="Times New Roman" w:eastAsia="Times New Roman" w:hAnsi="Times New Roman"/>
          <w:sz w:val="18"/>
          <w:szCs w:val="18"/>
          <w:color w:val="auto"/>
          <w:highlight w:val="black"/>
        </w:rPr>
        <w:t>offset the entire amount paid</w:t>
      </w:r>
      <w:r>
        <w:rPr>
          <w:rFonts w:ascii="Times New Roman" w:cs="Times New Roman" w:eastAsia="Times New Roman" w:hAnsi="Times New Roman"/>
          <w:sz w:val="18"/>
          <w:szCs w:val="18"/>
          <w:color w:val="auto"/>
        </w:rPr>
        <w:t xml:space="preserve"> with respect to the achievement of such conditional MAA Approval (i.e. </w:t>
      </w:r>
      <w:r>
        <w:rPr>
          <w:rFonts w:ascii="Times New Roman" w:cs="Times New Roman" w:eastAsia="Times New Roman" w:hAnsi="Times New Roman"/>
          <w:sz w:val="18"/>
          <w:szCs w:val="18"/>
          <w:color w:val="auto"/>
          <w:highlight w:val="black"/>
        </w:rPr>
        <w:t>50%</w:t>
      </w:r>
      <w:r>
        <w:rPr>
          <w:rFonts w:ascii="Times New Roman" w:cs="Times New Roman" w:eastAsia="Times New Roman" w:hAnsi="Times New Roman"/>
          <w:sz w:val="18"/>
          <w:szCs w:val="18"/>
          <w:color w:val="auto"/>
        </w:rPr>
        <w:t xml:space="preserve"> of the Milestone Payment due in relation to ME3 or ME4, as applicable) against any other payment due to OSR hereunder.</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b w:val="1"/>
          <w:bCs w:val="1"/>
          <w:color w:val="auto"/>
        </w:rPr>
        <w:t>Anti-stacking</w:t>
      </w:r>
      <w:r>
        <w:rPr>
          <w:rFonts w:ascii="Times New Roman" w:cs="Times New Roman" w:eastAsia="Times New Roman" w:hAnsi="Times New Roman"/>
          <w:sz w:val="17"/>
          <w:szCs w:val="17"/>
          <w:color w:val="auto"/>
        </w:rPr>
        <w:t>. If:</w:t>
      </w:r>
    </w:p>
    <w:p>
      <w:pPr>
        <w:spacing w:after="0" w:line="229" w:lineRule="exact"/>
        <w:rPr>
          <w:sz w:val="20"/>
          <w:szCs w:val="20"/>
          <w:color w:val="auto"/>
        </w:rPr>
      </w:pPr>
    </w:p>
    <w:p>
      <w:pPr>
        <w:jc w:val="both"/>
        <w:ind w:left="1300" w:hanging="656"/>
        <w:spacing w:after="0" w:line="258"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Genenta or any of its Sublicensees (through multiple tiers) determines that a license from a Third Party under a Third Party’s patent(s) and/or know-how is reasonably necessary for Genenta or its Sublicensees (through multiple tiers) to avoid that the development, manufacturing, commercialization, or other exploitation of any Licensed Product in a particular country in the Territory constitutes infringement, misappropriation, or other violation of a Third Party’s patent and/or know-how; or</w:t>
      </w:r>
    </w:p>
    <w:p>
      <w:pPr>
        <w:spacing w:after="0" w:line="183" w:lineRule="exact"/>
        <w:rPr>
          <w:rFonts w:ascii="Times New Roman" w:cs="Times New Roman" w:eastAsia="Times New Roman" w:hAnsi="Times New Roman"/>
          <w:sz w:val="18"/>
          <w:szCs w:val="18"/>
          <w:color w:val="auto"/>
        </w:rPr>
      </w:pPr>
    </w:p>
    <w:p>
      <w:pPr>
        <w:jc w:val="both"/>
        <w:ind w:left="1300" w:hanging="656"/>
        <w:spacing w:after="0" w:line="261"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or any of its Sublicensees (through multiple tiers) shall be subject to any enforceable order or ruling of any court of competent jurisdiction, requiring the payment of a royalty or other similar payment or compensation or indemnification to a Third Party patent or know-how holder with respect to the development, marketing, manufacture or commercialization of a Licensed Product.</w:t>
      </w:r>
    </w:p>
    <w:p>
      <w:pPr>
        <w:spacing w:after="0" w:line="180"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 xml:space="preserve">Then, in the case of each of clauses (a) and (b) above, Genenta shall have the right to deduct </w:t>
      </w:r>
      <w:r>
        <w:rPr>
          <w:rFonts w:ascii="Times New Roman" w:cs="Times New Roman" w:eastAsia="Times New Roman" w:hAnsi="Times New Roman"/>
          <w:sz w:val="18"/>
          <w:szCs w:val="18"/>
          <w:color w:val="auto"/>
          <w:highlight w:val="black"/>
        </w:rPr>
        <w:t>fifty</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(50%)</w:t>
      </w:r>
      <w:r>
        <w:rPr>
          <w:rFonts w:ascii="Times New Roman" w:cs="Times New Roman" w:eastAsia="Times New Roman" w:hAnsi="Times New Roman"/>
          <w:sz w:val="18"/>
          <w:szCs w:val="18"/>
          <w:color w:val="auto"/>
        </w:rPr>
        <w:t xml:space="preserve"> of royalty or other payment or compensation or indemnification paid to such Third Party for a license under such Third Party patent(s) and/or know-how from the Milestone Payments and/or the Royalties owing to OSR for such Licensed Product under this Section 4; provided further that:</w:t>
      </w:r>
    </w:p>
    <w:p>
      <w:pPr>
        <w:spacing w:after="0" w:line="1" w:lineRule="exact"/>
        <w:rPr>
          <w:sz w:val="20"/>
          <w:szCs w:val="20"/>
          <w:color w:val="auto"/>
        </w:rPr>
      </w:pPr>
    </w:p>
    <w:p>
      <w:pPr>
        <w:jc w:val="both"/>
        <w:ind w:left="640" w:firstLine="4"/>
        <w:spacing w:after="0" w:line="253" w:lineRule="auto"/>
        <w:tabs>
          <w:tab w:leader="none" w:pos="89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Genenta is entitled to seek and actually obtains a stay of application of such order or ruling, Genenta shall not offset any such Milestone Payments and/or Royalties, as the case may be, while such stay is in effect; and (b) in the event that such order or ruling is reversed upon appeal and Genenta obtains reimbursement of the sums taken to offset Milestone Payments and/or the Royalties hereunder, such sums shall be promptly reimbursed to OSR by Genenta.</w:t>
      </w:r>
    </w:p>
    <w:p>
      <w:pPr>
        <w:spacing w:after="0" w:line="1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23" w:name="page224"/>
    <w:bookmarkEnd w:id="223"/>
    <w:p>
      <w:pPr>
        <w:jc w:val="both"/>
        <w:ind w:left="644" w:hanging="647"/>
        <w:spacing w:after="0" w:line="268" w:lineRule="auto"/>
        <w:tabs>
          <w:tab w:leader="none" w:pos="624"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Each of the payment due to OSR from Genenta under this Agreement are exclusive of applicable value added tax to be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Genenta under any Applicable Regulation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and, accordingly, all applicable VAT shall be added to the above payments and paid by Genenta to OSR.</w:t>
      </w:r>
    </w:p>
    <w:p>
      <w:pPr>
        <w:spacing w:after="0" w:line="171" w:lineRule="exact"/>
        <w:rPr>
          <w:sz w:val="20"/>
          <w:szCs w:val="20"/>
          <w:color w:val="auto"/>
        </w:rPr>
      </w:pPr>
    </w:p>
    <w:p>
      <w:pPr>
        <w:ind w:left="644" w:hanging="644"/>
        <w:spacing w:after="0"/>
        <w:tabs>
          <w:tab w:leader="none" w:pos="64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REPORTS AND ACCOUNTING</w:t>
      </w:r>
    </w:p>
    <w:p>
      <w:pPr>
        <w:spacing w:after="0" w:line="225" w:lineRule="exact"/>
        <w:rPr>
          <w:sz w:val="20"/>
          <w:szCs w:val="20"/>
          <w:color w:val="auto"/>
        </w:rPr>
      </w:pPr>
    </w:p>
    <w:p>
      <w:pPr>
        <w:jc w:val="both"/>
        <w:ind w:left="644" w:hanging="647"/>
        <w:spacing w:after="0" w:line="253" w:lineRule="auto"/>
        <w:tabs>
          <w:tab w:leader="none" w:pos="6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Royalty reports</w:t>
      </w:r>
      <w:r>
        <w:rPr>
          <w:rFonts w:ascii="Times New Roman" w:cs="Times New Roman" w:eastAsia="Times New Roman" w:hAnsi="Times New Roman"/>
          <w:sz w:val="18"/>
          <w:szCs w:val="18"/>
          <w:color w:val="auto"/>
        </w:rPr>
        <w:t>. Within forty-five (45) Business Days after the end of each Calendar Quarter during the Term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Genenta shall furnish to OSR a quarterly written report showing in reasonably specific details the following: (a) the calculation of Net Sales during such Calendar Quarter; (b) the calculation of Net Sublicensing Income for such Calendar Quarter; (c) the calculation of the royalties, if any, that shall have accrued based upon such Net Sales and Net Sublicensing Income; (d) the withholding taxes, if any, required by law to be deducted with respect to such sales; and (e) the exchange rates, if any, used in determining the amount of Euro. With respect to sales of Licensed Products invoiced in Euros, the gross sales, Net Sales and royalties payable shall be expressed in Euro. With respect to (i) the Net Sales invoiced in a currency other than Euro and (ii) any cash consideration paid by the Sublicensees in a currency other than Euro, all such amounts shall be expressed both in the currency in which the distribution is invoiced and in the Euro equivalent. The Euro equivalent shall be calculated using the average of the exchange rate (local currency per Euro 1) published in The Wall Street Journal, Western Edition, under the heading “</w:t>
      </w:r>
      <w:r>
        <w:rPr>
          <w:rFonts w:ascii="Times New Roman" w:cs="Times New Roman" w:eastAsia="Times New Roman" w:hAnsi="Times New Roman"/>
          <w:sz w:val="18"/>
          <w:szCs w:val="18"/>
          <w:i w:val="1"/>
          <w:iCs w:val="1"/>
          <w:color w:val="auto"/>
        </w:rPr>
        <w:t>Currency Trading</w:t>
      </w:r>
      <w:r>
        <w:rPr>
          <w:rFonts w:ascii="Times New Roman" w:cs="Times New Roman" w:eastAsia="Times New Roman" w:hAnsi="Times New Roman"/>
          <w:sz w:val="18"/>
          <w:szCs w:val="18"/>
          <w:color w:val="auto"/>
        </w:rPr>
        <w:t>” on the last Business Day of each month during the applicable Calendar Quarter. The Parties hereby acknowledge that no Net Sales have been generated on or before the ARLA Effective Date and that no sublicense was granted by Genenta to any Sublicensee on or before the ARLA Effective Date.</w:t>
      </w:r>
    </w:p>
    <w:p>
      <w:pPr>
        <w:spacing w:after="0" w:line="190" w:lineRule="exact"/>
        <w:rPr>
          <w:sz w:val="20"/>
          <w:szCs w:val="20"/>
          <w:color w:val="auto"/>
        </w:rPr>
      </w:pPr>
    </w:p>
    <w:p>
      <w:pPr>
        <w:jc w:val="both"/>
        <w:ind w:left="644" w:hanging="647"/>
        <w:spacing w:after="0" w:line="253" w:lineRule="auto"/>
        <w:tabs>
          <w:tab w:leader="none" w:pos="6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Audits</w:t>
      </w:r>
      <w:r>
        <w:rPr>
          <w:rFonts w:ascii="Times New Roman" w:cs="Times New Roman" w:eastAsia="Times New Roman" w:hAnsi="Times New Roman"/>
          <w:sz w:val="18"/>
          <w:szCs w:val="18"/>
          <w:color w:val="auto"/>
        </w:rPr>
        <w:t>. Upon written request of OSR and not more than twice in each Calendar Year (except for just cause), Genenta shall permit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independent certified public accounting firm of nationally recognized standing selected by OSR, at OSR’s expense, to have access during normal business hours to such of the financial records of Genenta as may be reasonably necessary to verify the accuracy of the payment reports hereunder for the twelve (12) Calendar Quarters immediately prior to the date of such request. If such accounting firm concludes that additional amounts were owed during the audited period, Genenta shall pay such additional amounts within twenty (20) Business Days after the date OSR delivers to Genenta such accounting firm’s written report so concluding. The fees charged by such accounting firm shall be paid by OSR; provided, however, if the audit discloses that the overall amounts actually paid by Genenta for such audited period are lower by more than </w:t>
      </w:r>
      <w:r>
        <w:rPr>
          <w:rFonts w:ascii="Times New Roman" w:cs="Times New Roman" w:eastAsia="Times New Roman" w:hAnsi="Times New Roman"/>
          <w:sz w:val="18"/>
          <w:szCs w:val="18"/>
          <w:color w:val="auto"/>
          <w:highlight w:val="black"/>
        </w:rPr>
        <w:t>five</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w:t>
      </w:r>
      <w:r>
        <w:rPr>
          <w:rFonts w:ascii="Times New Roman" w:cs="Times New Roman" w:eastAsia="Times New Roman" w:hAnsi="Times New Roman"/>
          <w:sz w:val="18"/>
          <w:szCs w:val="18"/>
          <w:color w:val="auto"/>
        </w:rPr>
        <w:t xml:space="preserve"> than the amount payable and due for such period as evidenced by the report of the accounting firm, then Genenta shall pay the reasonable fees and expenses charged by such accounting firm. OSR shall cause its accounting firm to retain all financial information subject to review under this Section 5.2 in strict confidence; provided, however, that Genenta shall have the right to require that such accounting firm, prior to conducting such audit, enters into an appropriate non-disclosure agreement with Genenta regarding such financial information. OSR shall treat all such financial information as Genenta’s Confidential Information.</w:t>
      </w:r>
    </w:p>
    <w:p>
      <w:pPr>
        <w:spacing w:after="0" w:line="19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224" w:name="page225"/>
    <w:bookmarkEnd w:id="224"/>
    <w:p>
      <w:pPr>
        <w:ind w:left="660" w:hanging="652"/>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b w:val="1"/>
          <w:bCs w:val="1"/>
          <w:color w:val="auto"/>
        </w:rPr>
        <w:t>Payment terms</w:t>
      </w:r>
      <w:r>
        <w:rPr>
          <w:rFonts w:ascii="Times New Roman" w:cs="Times New Roman" w:eastAsia="Times New Roman" w:hAnsi="Times New Roman"/>
          <w:sz w:val="18"/>
          <w:szCs w:val="18"/>
          <w:color w:val="auto"/>
        </w:rPr>
        <w:t>. (a) The ARLA One-time Fees shall be paid by Genenta to OSR within thirty (30) Business Days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due dates set forth in Section 4.1. (b), irrespective of Genenta having provided the relevant notice of occurrence with respect to the event under Section 4.1(b)(z). All Royalties and OSR Sublicensing Income due and payable in accordance with this Agreement shall be paid by Genenta to OSR within forty-five (45) Business Days following the end of each Calendar Quarter, irrespective of the receipt of the report provided by Genenta in accordance with Section 5.1 above. (c) All Milestone Payments due and payable in accordance with this Agreement shall be paid within thirty (30) Business Days following the date upon which the relevant Milestone Event occurs, irrespective of Genenta having provided the relevant notice of occurrence. (d) The Option Fees and the option fee set forth in Section 2.11(iii) due and payable in accordance with this Agreement shall be paid by Genenta within thirty (30) Business Days from the date of the applicable Notice as set forth in Section 2.2. (e). The extension fees due and payable according to Sections 2.2(b), 2.11 and/or 10.4 shall be paid by Genenta within thirty (30) days from the date of the Extension Notice as set forth in Section 2.2(b) or of the CP Extension Notice as set forth in Section 2.11 or the notice sent by Genenta according to Section 10.4, as applicable. All payments to be made by Genenta to OSR under this Agreement shall be paid in Euro.</w:t>
      </w:r>
    </w:p>
    <w:p>
      <w:pPr>
        <w:spacing w:after="0" w:line="19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color w:val="auto"/>
        </w:rPr>
        <w:t>Exchange control</w:t>
      </w:r>
      <w:r>
        <w:rPr>
          <w:rFonts w:ascii="Times New Roman" w:cs="Times New Roman" w:eastAsia="Times New Roman" w:hAnsi="Times New Roman"/>
          <w:sz w:val="18"/>
          <w:szCs w:val="18"/>
          <w:color w:val="auto"/>
        </w:rPr>
        <w:t>. If at any time legal restrictions prevent the prompt remittance of part or all Royalties with respect to any country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Territory where the Licensed Product is sold, Genenta shall have the right, in its sole discretion, to make such payments by depositing the amount thereof in local currency to OSR’s account in a bank or other depository institution in such country. If the royalty rate specified in this Agreement should exceed the permissible rate established in any country, the royalty rate for sales in such country shall be adjusted to the highest legally permissible or government-approved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5" w:name="page226"/>
    <w:bookmarkEnd w:id="225"/>
    <w:p>
      <w:pPr>
        <w:jc w:val="both"/>
        <w:ind w:left="644" w:hanging="647"/>
        <w:spacing w:after="0" w:line="256" w:lineRule="auto"/>
        <w:tabs>
          <w:tab w:leader="none" w:pos="6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Genenta shall have the right to deduct the amount of any withholding taxes, value-added taxes or other taxes, levies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charges with respect to such amounts, payable by Genenta or its Sublicensees, or any taxes required to be withheld by Genenta or its Sublicensees, to the extent Genenta or its Sublicensees pay to the appropriate governmental authority on behalf of OSR such taxes, levies or charges. Genenta shall use reasonable efforts to secure an exemption or a reduction in any withholding taxes and minimize any such taxes, levies or charges required to be withheld on behalf of OSR by Genenta or its Sublicensees. Genenta shall promptly deliver to OSR proof of payment of all such taxes, levies and other charges, together with copies of all communications from or with such governmental authority with respect thereto.</w:t>
      </w:r>
    </w:p>
    <w:p>
      <w:pPr>
        <w:spacing w:after="0" w:line="183" w:lineRule="exact"/>
        <w:rPr>
          <w:sz w:val="20"/>
          <w:szCs w:val="20"/>
          <w:color w:val="auto"/>
        </w:rPr>
      </w:pPr>
    </w:p>
    <w:p>
      <w:pPr>
        <w:jc w:val="both"/>
        <w:ind w:left="644" w:hanging="647"/>
        <w:spacing w:after="0" w:line="268" w:lineRule="auto"/>
        <w:tabs>
          <w:tab w:leader="none" w:pos="62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Late payment interest rate</w:t>
      </w:r>
      <w:r>
        <w:rPr>
          <w:rFonts w:ascii="Times New Roman" w:cs="Times New Roman" w:eastAsia="Times New Roman" w:hAnsi="Times New Roman"/>
          <w:sz w:val="18"/>
          <w:szCs w:val="18"/>
          <w:color w:val="auto"/>
        </w:rPr>
        <w:t>. Without prejudice to Section 6.5 below and to Section 10.3 below, any amount required to be paid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hereunder which is not paid on the date due shall bear interests at a rate equal to the thirty (30) day “</w:t>
      </w:r>
      <w:r>
        <w:rPr>
          <w:rFonts w:ascii="Times New Roman" w:cs="Times New Roman" w:eastAsia="Times New Roman" w:hAnsi="Times New Roman"/>
          <w:sz w:val="18"/>
          <w:szCs w:val="18"/>
          <w:i w:val="1"/>
          <w:iCs w:val="1"/>
          <w:color w:val="auto"/>
        </w:rPr>
        <w:t>euribor</w:t>
      </w:r>
      <w:r>
        <w:rPr>
          <w:rFonts w:ascii="Times New Roman" w:cs="Times New Roman" w:eastAsia="Times New Roman" w:hAnsi="Times New Roman"/>
          <w:sz w:val="18"/>
          <w:szCs w:val="18"/>
          <w:color w:val="auto"/>
        </w:rPr>
        <w:t>” rate, divisor 365, effective for the date that payment was due, as reported by “</w:t>
      </w:r>
      <w:r>
        <w:rPr>
          <w:rFonts w:ascii="Times New Roman" w:cs="Times New Roman" w:eastAsia="Times New Roman" w:hAnsi="Times New Roman"/>
          <w:sz w:val="18"/>
          <w:szCs w:val="18"/>
          <w:i w:val="1"/>
          <w:iCs w:val="1"/>
          <w:color w:val="auto"/>
        </w:rPr>
        <w:t>Il Sole 24 Ore</w:t>
      </w:r>
      <w:r>
        <w:rPr>
          <w:rFonts w:ascii="Times New Roman" w:cs="Times New Roman" w:eastAsia="Times New Roman" w:hAnsi="Times New Roman"/>
          <w:sz w:val="18"/>
          <w:szCs w:val="18"/>
          <w:color w:val="auto"/>
        </w:rPr>
        <w:t xml:space="preserve">” plus </w:t>
      </w:r>
      <w:r>
        <w:rPr>
          <w:rFonts w:ascii="Times New Roman" w:cs="Times New Roman" w:eastAsia="Times New Roman" w:hAnsi="Times New Roman"/>
          <w:sz w:val="18"/>
          <w:szCs w:val="18"/>
          <w:color w:val="auto"/>
          <w:highlight w:val="black"/>
        </w:rPr>
        <w:t>five</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(5%).</w:t>
      </w:r>
    </w:p>
    <w:p>
      <w:pPr>
        <w:spacing w:after="0" w:line="171" w:lineRule="exact"/>
        <w:rPr>
          <w:sz w:val="20"/>
          <w:szCs w:val="20"/>
          <w:color w:val="auto"/>
        </w:rPr>
      </w:pPr>
    </w:p>
    <w:p>
      <w:pPr>
        <w:jc w:val="both"/>
        <w:ind w:left="644" w:hanging="647"/>
        <w:spacing w:after="0" w:line="259" w:lineRule="auto"/>
        <w:tabs>
          <w:tab w:leader="none" w:pos="624"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b w:val="1"/>
          <w:bCs w:val="1"/>
          <w:color w:val="auto"/>
        </w:rPr>
        <w:t>Late payment interest rate for ARLA One-time Fees, Upfront Fee and Milestone Payments</w:t>
      </w:r>
      <w:r>
        <w:rPr>
          <w:rFonts w:ascii="Times New Roman" w:cs="Times New Roman" w:eastAsia="Times New Roman" w:hAnsi="Times New Roman"/>
          <w:sz w:val="18"/>
          <w:szCs w:val="18"/>
          <w:color w:val="auto"/>
        </w:rPr>
        <w:t>. Without prejudice to Sections 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10.3, the Parties agree that, with regard to the payment of any undisputed portion of the ARLA One-time Fees, Upfront Fee, Milestone Payments, royalty payments or extension fees due pursuant to Section 10.4, late payment interest shall accrue at an overall rate of </w:t>
      </w:r>
      <w:r>
        <w:rPr>
          <w:rFonts w:ascii="Times New Roman" w:cs="Times New Roman" w:eastAsia="Times New Roman" w:hAnsi="Times New Roman"/>
          <w:sz w:val="18"/>
          <w:szCs w:val="18"/>
          <w:color w:val="auto"/>
          <w:highlight w:val="black"/>
        </w:rPr>
        <w:t>seven</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color w:val="auto"/>
          <w:highlight w:val="black"/>
        </w:rPr>
        <w:t>(7%)</w:t>
      </w:r>
      <w:r>
        <w:rPr>
          <w:rFonts w:ascii="Times New Roman" w:cs="Times New Roman" w:eastAsia="Times New Roman" w:hAnsi="Times New Roman"/>
          <w:sz w:val="18"/>
          <w:szCs w:val="18"/>
          <w:color w:val="auto"/>
        </w:rPr>
        <w:t xml:space="preserve"> on a yearly basis, divisor 365, from the date on which the applicable late ARLA One-time Fees, Upfront Fee, Milestone Payment, royalty payments or extension fee was due until the date on which such payment is made.</w:t>
      </w:r>
    </w:p>
    <w:p>
      <w:pPr>
        <w:spacing w:after="0" w:line="179" w:lineRule="exact"/>
        <w:rPr>
          <w:sz w:val="20"/>
          <w:szCs w:val="20"/>
          <w:color w:val="auto"/>
        </w:rPr>
      </w:pPr>
    </w:p>
    <w:p>
      <w:pPr>
        <w:jc w:val="both"/>
        <w:ind w:left="644" w:hanging="647"/>
        <w:spacing w:after="0" w:line="286" w:lineRule="auto"/>
        <w:tabs>
          <w:tab w:leader="none" w:pos="624"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b w:val="1"/>
          <w:bCs w:val="1"/>
          <w:color w:val="auto"/>
        </w:rPr>
        <w:t>Bank transfer</w:t>
      </w:r>
      <w:r>
        <w:rPr>
          <w:rFonts w:ascii="Times New Roman" w:cs="Times New Roman" w:eastAsia="Times New Roman" w:hAnsi="Times New Roman"/>
          <w:sz w:val="18"/>
          <w:szCs w:val="18"/>
          <w:color w:val="auto"/>
        </w:rPr>
        <w:t>. All payments set forth in this Agreement shall be made through bank transfer to the bank account indicated by OSR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w:t>
      </w:r>
    </w:p>
    <w:p>
      <w:pPr>
        <w:spacing w:after="0" w:line="155" w:lineRule="exact"/>
        <w:rPr>
          <w:sz w:val="20"/>
          <w:szCs w:val="20"/>
          <w:color w:val="auto"/>
        </w:rPr>
      </w:pPr>
    </w:p>
    <w:p>
      <w:pPr>
        <w:ind w:left="644" w:hanging="644"/>
        <w:spacing w:after="0"/>
        <w:tabs>
          <w:tab w:leader="none" w:pos="6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GENENTA’S DEVELOPMENT OBLIGATIONS</w:t>
      </w:r>
    </w:p>
    <w:p>
      <w:pPr>
        <w:spacing w:after="0" w:line="225" w:lineRule="exact"/>
        <w:rPr>
          <w:sz w:val="20"/>
          <w:szCs w:val="20"/>
          <w:color w:val="auto"/>
        </w:rPr>
      </w:pPr>
    </w:p>
    <w:p>
      <w:pPr>
        <w:ind w:left="644" w:right="20" w:hanging="647"/>
        <w:spacing w:after="0" w:line="286" w:lineRule="auto"/>
        <w:tabs>
          <w:tab w:leader="none" w:pos="6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Development of the Licensed Products</w:t>
      </w:r>
      <w:r>
        <w:rPr>
          <w:rFonts w:ascii="Times New Roman" w:cs="Times New Roman" w:eastAsia="Times New Roman" w:hAnsi="Times New Roman"/>
          <w:sz w:val="18"/>
          <w:szCs w:val="18"/>
          <w:color w:val="auto"/>
        </w:rPr>
        <w:t>. Genenta shall, provided that OSR does not withhold or delay any delivery of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which may be reasonably required according to Section 2.10 or 2.11(vii):</w:t>
      </w:r>
    </w:p>
    <w:p>
      <w:pPr>
        <w:spacing w:after="0" w:line="157" w:lineRule="exact"/>
        <w:rPr>
          <w:sz w:val="20"/>
          <w:szCs w:val="20"/>
          <w:color w:val="auto"/>
        </w:rPr>
      </w:pPr>
    </w:p>
    <w:p>
      <w:pPr>
        <w:jc w:val="both"/>
        <w:ind w:left="644" w:firstLine="4"/>
        <w:spacing w:after="0" w:line="267" w:lineRule="auto"/>
        <w:tabs>
          <w:tab w:leader="none" w:pos="93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Commercially Reasonable Efforts to develop at least one (1) Licensed Product for at least two (2) Solid Cancer Indications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 the sake of clarity one Licensed Product for each of the two (2) Solid Cancer Indications) in the United States and at least one (1) Major Market Country;</w:t>
      </w:r>
    </w:p>
    <w:p>
      <w:pPr>
        <w:spacing w:after="0" w:line="17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226" w:name="page227"/>
    <w:bookmarkEnd w:id="226"/>
    <w:p>
      <w:pPr>
        <w:jc w:val="both"/>
        <w:ind w:left="180" w:firstLine="4"/>
        <w:spacing w:after="0" w:line="261" w:lineRule="auto"/>
        <w:tabs>
          <w:tab w:leader="none" w:pos="46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exercise of the LHI Option for a specific Lympho-Hematopoietic Indication, use Commercially Reasonable Efforts to develop at least one (1) Licensed Product for such Lympho-Hematopoietic Indication in the United States of America and in at least one</w:t>
      </w: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Major Market Country;</w:t>
      </w:r>
    </w:p>
    <w:p>
      <w:pPr>
        <w:spacing w:after="0" w:line="206" w:lineRule="exact"/>
        <w:rPr>
          <w:rFonts w:ascii="Times New Roman" w:cs="Times New Roman" w:eastAsia="Times New Roman" w:hAnsi="Times New Roman"/>
          <w:sz w:val="18"/>
          <w:szCs w:val="18"/>
          <w:b w:val="1"/>
          <w:bCs w:val="1"/>
          <w:color w:val="auto"/>
        </w:rPr>
      </w:pPr>
    </w:p>
    <w:p>
      <w:pPr>
        <w:jc w:val="both"/>
        <w:ind w:left="180" w:firstLine="4"/>
        <w:spacing w:after="0" w:line="254" w:lineRule="auto"/>
        <w:tabs>
          <w:tab w:leader="none" w:pos="47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Consistently with the above, carry out the relevant development activities in good scientific manner, in accordance with the terms of this Agreement and the Applicable Regulations, the cGCP, the cGLP and the cGMP, as applicable. Genenta shall carry out the development activities through qualified and experienced professionals and shall invest resources (including funding) in performing activities related to Licensed Product(s) in the Field of Use with a fair market value of at least the following amounts: (a) </w:t>
      </w:r>
      <w:r>
        <w:rPr>
          <w:rFonts w:ascii="Times New Roman" w:cs="Times New Roman" w:eastAsia="Times New Roman" w:hAnsi="Times New Roman"/>
          <w:sz w:val="18"/>
          <w:szCs w:val="18"/>
          <w:color w:val="auto"/>
          <w:highlight w:val="black"/>
        </w:rPr>
        <w:t>five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black"/>
        </w:rPr>
        <w:t xml:space="preserve">four hundred twenty-five thousand </w:t>
      </w:r>
      <w:r>
        <w:rPr>
          <w:rFonts w:ascii="Times New Roman" w:cs="Times New Roman" w:eastAsia="Times New Roman" w:hAnsi="Times New Roman"/>
          <w:sz w:val="18"/>
          <w:szCs w:val="18"/>
          <w:color w:val="auto"/>
        </w:rPr>
        <w:t>Euro</w:t>
      </w:r>
      <w:r>
        <w:rPr>
          <w:rFonts w:ascii="Times New Roman" w:cs="Times New Roman" w:eastAsia="Times New Roman" w:hAnsi="Times New Roman"/>
          <w:sz w:val="18"/>
          <w:szCs w:val="18"/>
          <w:color w:val="auto"/>
          <w:highlight w:val="black"/>
        </w:rPr>
        <w:t xml:space="preserve"> (€5.425.000,00</w:t>
      </w:r>
      <w:r>
        <w:rPr>
          <w:rFonts w:ascii="Times New Roman" w:cs="Times New Roman" w:eastAsia="Times New Roman" w:hAnsi="Times New Roman"/>
          <w:sz w:val="18"/>
          <w:szCs w:val="18"/>
          <w:color w:val="auto"/>
        </w:rPr>
        <w:t>) with respect to the development of such Licensed Product(s) during the Term,</w:t>
      </w:r>
    </w:p>
    <w:p>
      <w:pPr>
        <w:spacing w:after="0" w:line="3" w:lineRule="exact"/>
        <w:rPr>
          <w:rFonts w:ascii="Times New Roman" w:cs="Times New Roman" w:eastAsia="Times New Roman" w:hAnsi="Times New Roman"/>
          <w:sz w:val="18"/>
          <w:szCs w:val="18"/>
          <w:b w:val="1"/>
          <w:bCs w:val="1"/>
          <w:color w:val="auto"/>
        </w:rPr>
      </w:pPr>
    </w:p>
    <w:p>
      <w:pPr>
        <w:jc w:val="both"/>
        <w:ind w:left="1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highlight w:val="black"/>
        </w:rPr>
        <w:t>two million four hundred twenty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(€2.420.000,00)</w:t>
      </w:r>
      <w:r>
        <w:rPr>
          <w:rFonts w:ascii="Times New Roman" w:cs="Times New Roman" w:eastAsia="Times New Roman" w:hAnsi="Times New Roman"/>
          <w:sz w:val="18"/>
          <w:szCs w:val="18"/>
          <w:color w:val="auto"/>
        </w:rPr>
        <w:t xml:space="preserve"> with respect to the manufacturing of such Licensed Product(s), provided that such minimum threshold amount shall be proportionately reduced in the event Genenta is able to obtain from the applicable supplier(s) pricing terms that are more favorable than estimated as of the Effective Date, and/or Genenta’s requirements of Licensed Product(s) are lower than estimated as of the Effective Date) during the Term.</w:t>
      </w:r>
    </w:p>
    <w:p>
      <w:pPr>
        <w:spacing w:after="0" w:line="185"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Resources</w:t>
      </w:r>
      <w:r>
        <w:rPr>
          <w:rFonts w:ascii="Times New Roman" w:cs="Times New Roman" w:eastAsia="Times New Roman" w:hAnsi="Times New Roman"/>
          <w:sz w:val="18"/>
          <w:szCs w:val="18"/>
          <w:color w:val="auto"/>
        </w:rPr>
        <w:t>. Consistently with the above, Genenta shall: (a) maintain and utilize qualified and experienced scientific staff, and 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as may be reasonably needed to perform the development activities in accordance with this Agreement; and (b) use skilled personnel and/or consultants with relevant experience to perform the development activities in a good scientific manner and in compliance in all material respects with all Applicable Regulations, cGCP and cGLP standards, as applicable.</w:t>
      </w:r>
    </w:p>
    <w:p>
      <w:pPr>
        <w:spacing w:after="0" w:line="176"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Genenta shall maintain records, in sufficient details and in good scientific manner, which shall reflect all work done and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in the performance of its research and development regarding any Licensed Products.</w:t>
      </w:r>
    </w:p>
    <w:p>
      <w:pPr>
        <w:spacing w:after="0" w:line="155"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Within sixty (60) Business Days following the end of each Calendar Year during the Term of this Agreement, Genenta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and deliver to OSR a written summary report which shall describe: (a) the research performed to date by employing the Licensed Technology, (b) the progress of the development, and testing of any Licensed Products in clinical trials, and (c) the status of obtaining regulatory approvals to market any Licensed Products.</w:t>
      </w:r>
    </w:p>
    <w:p>
      <w:pPr>
        <w:spacing w:after="0" w:line="176"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During the Term of this Agreement, as between the Parties, Genenta shall be responsible for preparing all filings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MAA and NDA of each Licensed Product in the Field of Use, as well as for any interaction with the Regulatory Authorities in relation to the MAA Approvals requested. Genenta shall use Commercially Reasonable Efforts to obtain and maintain for the Term the MAA Approvals and any additional approvals from the Regulatory Authorities required to commercialize the Licensed Products.</w:t>
      </w:r>
    </w:p>
    <w:p>
      <w:pPr>
        <w:spacing w:after="0" w:line="1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27" w:name="page228"/>
    <w:bookmarkEnd w:id="227"/>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Pharmacovigilance</w:t>
      </w:r>
      <w:r>
        <w:rPr>
          <w:rFonts w:ascii="Times New Roman" w:cs="Times New Roman" w:eastAsia="Times New Roman" w:hAnsi="Times New Roman"/>
          <w:sz w:val="18"/>
          <w:szCs w:val="18"/>
          <w:color w:val="auto"/>
        </w:rPr>
        <w:t>. As between the Parties, Genenta will manage, at its own costs and expense, all applicable pharmacovigilance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for each Licensed Products in the Field of Use in any applicable country in the Territory and shall serve as the holder of the world-wide pharmacovigilance database for the Licensed Products in the Field of Use.</w:t>
      </w:r>
    </w:p>
    <w:p>
      <w:pPr>
        <w:spacing w:after="0" w:line="171"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b w:val="1"/>
          <w:bCs w:val="1"/>
          <w:color w:val="auto"/>
        </w:rPr>
        <w:t>Pharmacovigilance records and cooperation by OSR</w:t>
      </w:r>
      <w:r>
        <w:rPr>
          <w:rFonts w:ascii="Times New Roman" w:cs="Times New Roman" w:eastAsia="Times New Roman" w:hAnsi="Times New Roman"/>
          <w:sz w:val="18"/>
          <w:szCs w:val="18"/>
          <w:color w:val="auto"/>
        </w:rPr>
        <w:t>. Genenta shall maintain accurate records of all non-medical and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Product-related complaints and reports of adverse events with respect to any Licensed Product in the Field of Use in the Territory. As between the Parties, Genenta shall be responsible for meeting regulatory safety reporting obligations in compliance with the requirements of the FDCA, 21 U.S.C. § 321 et seq., the Directive 2001/20/EC, the regulations promulgated thereunder, and equivalent Applicable Regulations in each case with respect to any Licensed Product in the Field of Use in the Territory. Concurrently with, or promptly following, the Parties’ execution of any clinical trial agreement relating to any of the Licensed Products, the Parties shall also enter into a pharmacovigilance agreement, which will specify all relevant undertakings to conduct a clinical trial and to report serious adverse events. The terms of such pharmacovigilance agreement will be consistent with Sections 7.6 and 7.7 hereunder and will include customary terms for such agreement, including without limitation, terms regarding each Party’s rights and obligations with respect to reporting of serious adverse events.</w:t>
      </w:r>
    </w:p>
    <w:p>
      <w:pPr>
        <w:spacing w:after="0" w:line="185"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b w:val="1"/>
          <w:bCs w:val="1"/>
          <w:color w:val="auto"/>
        </w:rPr>
        <w:t>Clinical Trials</w:t>
      </w:r>
      <w:r>
        <w:rPr>
          <w:rFonts w:ascii="Times New Roman" w:cs="Times New Roman" w:eastAsia="Times New Roman" w:hAnsi="Times New Roman"/>
          <w:sz w:val="18"/>
          <w:szCs w:val="18"/>
          <w:color w:val="auto"/>
        </w:rPr>
        <w:t>. For the Term of this Agreement, Genenta shall use reasonable efforts to involve OSR in Phase I clinical trials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Products in the Field of Use, subject to OSR (a) maintaining at all times any required quality standards and otherwise complying with the OSR-Genenta Scientific Collaboration Agreement and (b) providing its services on customary and reasonable terms and consistent with then-applicable market standards. For clarity, Genenta is, and shall remain, free to identify and engage other site(s) to carry out clinical studies (including multi-center studies) under this Agreement, in Genenta’s sole discretion.</w:t>
      </w:r>
    </w:p>
    <w:p>
      <w:pPr>
        <w:spacing w:after="0" w:line="179"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As between the Parties, Genenta shall have the sole and exclusive rights to manufacture and supply any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in the Field of Use in the Territory. Genenta shall comply with all Applicable Regulations (including cGMP) in the manufacturing and supply of Licensed Products in the Field of Use in the Territory.</w:t>
      </w:r>
    </w:p>
    <w:p>
      <w:pPr>
        <w:spacing w:after="0" w:line="171"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b w:val="1"/>
          <w:bCs w:val="1"/>
          <w:color w:val="auto"/>
        </w:rPr>
        <w:t>Commercialization, Promotion and marketing</w:t>
      </w:r>
      <w:r>
        <w:rPr>
          <w:rFonts w:ascii="Times New Roman" w:cs="Times New Roman" w:eastAsia="Times New Roman" w:hAnsi="Times New Roman"/>
          <w:sz w:val="18"/>
          <w:szCs w:val="18"/>
          <w:color w:val="auto"/>
        </w:rPr>
        <w:t>. Genenta shall use Commercially Reasonable Efforts to commercialize each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an applicable country or region following receipt of all regulatory approvals (including MAA Approval) required under the Applicable Regulation to commercialize the applicable Licensed Product in such country or region are granted. As between the Parties, Genenta shall have the sole and exclusive rights to promote, advertise, and market each Licensed Product in the Field of Use in the Territory. In no case shall OSR be responsible for, or liable to, any Third Party to the extent that such liability derives from any inaccurate or misleading statements in Genenta’s promotional and sales literature.</w:t>
      </w:r>
    </w:p>
    <w:p>
      <w:pPr>
        <w:spacing w:after="0" w:line="18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28" w:name="page229"/>
    <w:bookmarkEnd w:id="228"/>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Except to the extent expressly authorized by this Agreement or otherwise agreed in writing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this Agreement and for five (5) years thereafter (and indefinitely with respect to the Existing Know How identified under Exhibit C, section 1, unless such Existing Know How falls into the public domain other than due to an act or omission of Genenta or any of its Affiliates or Sublicensees), the Receiving Party shall (a) maintain in strict confidence (using method at least as stringent as the Receiving Party uses to protect its own confidential information, which will be no less than a reasonable degree of care and good industry practices) all Confidential Information that is received (whether disclosed in writing, electronically, orally or by observation) by such Receiving Party from the Disclosing Party, (b) not use or permit to be used the Disclosing Party’s Confidential Information for any purpose other than as expressly permitted under the terms of this Agreement, and (c) not disclose, or permit the disclosure of the Confidential Information of the Disclosing Party, except, in the case of the foregoing clauses (b) or (c), to those directors, officers, affiliates, employees, permitted licensees (including, without limitation, Sublicensees), permitted assignees and agents, consultants, clinical investigators or contractors, who have a need to know such Confidential information in connection with the performance of the Receiving Party’s obligations or exercise of the Receiving Party’s rights under this Agreement, provided that, each disclosee must be bound by obligations of confidentiality and non-use consistent with, and at least comparable to, those set forth in this Section 8. Each Party shall notify the other Party promptly upon discovery of any unauthorized use or disclosure of the other Party’s Confidential Information.</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8"/>
          <w:szCs w:val="18"/>
          <w:b w:val="1"/>
          <w:bCs w:val="1"/>
          <w:color w:val="auto"/>
        </w:rPr>
        <w:t>Permitted disclosures</w:t>
      </w:r>
      <w:r>
        <w:rPr>
          <w:rFonts w:ascii="Times New Roman" w:cs="Times New Roman" w:eastAsia="Times New Roman" w:hAnsi="Times New Roman"/>
          <w:sz w:val="18"/>
          <w:szCs w:val="18"/>
          <w:color w:val="auto"/>
        </w:rPr>
        <w:t>. The confidentiality obligations contained in Section 8.1 shall not apply to the extent that:</w:t>
      </w:r>
    </w:p>
    <w:p>
      <w:pPr>
        <w:spacing w:after="0" w:line="229"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is required: (i) to disclose information by law, regulation or order of a Governmental Authority, or (ii) to disclose information to any Governmental Authority for purposes of obtaining approval to test or market the Licensed Product, provided in either case that the Receiving Party shall provide written notice thereof to the other Party and sufficient opportunity to object to any such disclosure or to request confidential treatment thereof;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9" w:name="page230"/>
    <w:bookmarkEnd w:id="229"/>
    <w:p>
      <w:pPr>
        <w:jc w:val="both"/>
        <w:ind w:left="840" w:hanging="656"/>
        <w:spacing w:after="0" w:line="255" w:lineRule="auto"/>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can demonstrate that: (i) the disclosed information was public knowledge at the time of such disclosure to the Receiving Party, or thereafter became public knowledge, other than as a result of actions of the Receiving Party in violation hereof; (ii) the disclosed information was rightfully known by the Receiving Party (as shown by its written records) prior to the date of disclosure to the Receiving Party by the Disclosing Party hereunder; (iii) the disclosed information was disclosed to the Receiving Party on an unrestricted basis from a source not under a duty of confidentiality to the Disclosing Party; or (iv) the disclosed information was independently developed by the Receiving Party without use of the Confidential Information of the Disclosing Party.</w:t>
      </w:r>
    </w:p>
    <w:p>
      <w:pPr>
        <w:spacing w:after="0" w:line="189"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 xml:space="preserve">In addition, Genenta may disclose Confidential Information regarding the Licensed Know-How for the following purposes: (a) regulatory filings and other filings with Governmental Authorities, including filings with the FDA, as necessary for the development or commercialization of Licensed Technology and the Licensed Products: (b) prosecuting or defending litigation; (c) complying with Applicable Regulations, including regulations promulgated by securities exchanges, (d) disclosures to its employees, agents, independent contractors, and Sublicensees only on a need-to-know basis and solely in connection with the performance of this Agreement, provided that each disclosee must be bound by obligations of confidentiality and non-use consistent with, and at least comparable to, those set forth in this Section 8; (e) disclosure of the stage of data regarding the development and commercialization of Licensed Products under this Agreement 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or actual investor, stockholder, investment banker, acquirer, merger partner or other potential or actual financial partner, provided that each disclosee must be bound by obligations of confidentiality and non-use consistent with, and at least comparable to, those set forth in this Section 8.</w:t>
      </w:r>
    </w:p>
    <w:p>
      <w:pPr>
        <w:spacing w:after="0" w:line="190"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Terms of this Agreement</w:t>
      </w:r>
      <w:r>
        <w:rPr>
          <w:rFonts w:ascii="Times New Roman" w:cs="Times New Roman" w:eastAsia="Times New Roman" w:hAnsi="Times New Roman"/>
          <w:sz w:val="18"/>
          <w:szCs w:val="18"/>
          <w:color w:val="auto"/>
        </w:rPr>
        <w:t>. OSR and Genenta shall not disclose any terms or conditions of this Agreement to any Third Party,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consent of the other Party, except as set forth in Section 8.2 above or to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or actual investor, stockholder, investment banker, acquirer, merger partner or other potential or actual financial partner (including, as for OSR, Fondazione Telethon ETS) or Sublicensee; provided however that each disclosee must be bound by obligations of confidentiality and non-use consistent with, and at least comparable to, those under this Section 8.</w:t>
      </w:r>
    </w:p>
    <w:p>
      <w:pPr>
        <w:spacing w:after="0" w:line="179"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Press releases; public filings</w:t>
      </w:r>
      <w:r>
        <w:rPr>
          <w:rFonts w:ascii="Times New Roman" w:cs="Times New Roman" w:eastAsia="Times New Roman" w:hAnsi="Times New Roman"/>
          <w:sz w:val="18"/>
          <w:szCs w:val="18"/>
          <w:color w:val="auto"/>
        </w:rPr>
        <w:t>. Neither Party shall issue any press release or other public announcement disclosing the existence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of the terms or conditions of this Agreement or the transaction contemplated by this Agreement without the prior written consent of the other Party, which consent shall not be unreasonably withheld. Notwithstanding the above, each Party may file a copy of this Agreement or portions thereof with any Government Authorities to the extent required under Applicable Regulation.</w:t>
      </w:r>
    </w:p>
    <w:p>
      <w:pPr>
        <w:spacing w:after="0" w:line="1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0" w:name="page231"/>
    <w:bookmarkEnd w:id="230"/>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IP RIGHTS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7"/>
          <w:szCs w:val="17"/>
          <w:b w:val="1"/>
          <w:bCs w:val="1"/>
          <w:color w:val="auto"/>
        </w:rPr>
        <w:t>Patent prosecution and maintenance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 xml:space="preserve">OSR shall have the right and obligation to control the preparation, filing, prosecution and maintenance of all patents and patent applications within the Licensed Patents (including, upon the exercise of the OPI Option, the patents and patent applications covering the OSR Product Improvements). The costs of the foregoing activities shall be borne by OSR prior to the achievement of the Investment Threshold, and, following such achievement by Genenta, who, for the avoidance of doubt, shall reimburse all costs borne by OSR in accordance with this Section 9.1 from the Effective Date to the date on which the Investment Threshold is met, provided however that should other licensees benefit from the preparation, filing, prosecution and maintenance of the said patents and patents applications, such costs shall be allocated on a </w:t>
      </w:r>
      <w:r>
        <w:rPr>
          <w:rFonts w:ascii="Times New Roman" w:cs="Times New Roman" w:eastAsia="Times New Roman" w:hAnsi="Times New Roman"/>
          <w:sz w:val="18"/>
          <w:szCs w:val="18"/>
          <w:i w:val="1"/>
          <w:iCs w:val="1"/>
          <w:color w:val="auto"/>
        </w:rPr>
        <w:t>pro-rata</w:t>
      </w:r>
      <w:r>
        <w:rPr>
          <w:rFonts w:ascii="Times New Roman" w:cs="Times New Roman" w:eastAsia="Times New Roman" w:hAnsi="Times New Roman"/>
          <w:sz w:val="18"/>
          <w:szCs w:val="18"/>
          <w:color w:val="auto"/>
        </w:rPr>
        <w:t xml:space="preserve"> basis based on the number of licensees, to the extent such licensees are contractually obligated to bear such costs, on a country-by-country basis. Additionally,</w:t>
      </w:r>
    </w:p>
    <w:p>
      <w:pPr>
        <w:spacing w:after="0" w:line="192" w:lineRule="exact"/>
        <w:rPr>
          <w:sz w:val="20"/>
          <w:szCs w:val="20"/>
          <w:color w:val="auto"/>
        </w:rPr>
      </w:pPr>
    </w:p>
    <w:p>
      <w:pPr>
        <w:jc w:val="both"/>
        <w:ind w:left="1960" w:hanging="656"/>
        <w:spacing w:after="0" w:line="266" w:lineRule="auto"/>
        <w:tabs>
          <w:tab w:leader="none" w:pos="1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Genenta exercises its OPI Option, then Genenta shall reimburse to OSR all costs borne by OSR prior to the OPI Option exercise with respect to the filing, prosecution and maintenance of the patents and patent applications covering the OSR Product Improvements, provided that all claims of such patents and patent applications are included in the Licensed Technology;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shall reimburse OSR for the costs incurred by OSR in connection with the filing, prosecution and maintenance activities related to the Optioned IP 1 and Optioned IP 2, including during the CP Option Periods for Candidate Products 1 and Candidate Products 2, respectively, provided that such obligation shall cease with respect to the Optioned IP 1 and/or Optioned IP 2 concurrent with the expiry of the applicable CP Option Periods for Candidate Products 1 and/or Candidate Products 2, as applicable, to the extent that Genenta has not exercised Option 1 (in which case, such obligation shall cease with respect to the Optioned IP 1) and/or Option 2 (in which case, such obligation shall cease with respect to the Optioned IP 2) during the applicable CP Option Periods. If OSR elects not to file any such patent application in any country, or decides to abandon any such pending application or issued patent in any country, OSR shall promptly provide written notice to Genenta, and Genenta shall have the right, at its sole expense and notwithstanding the above, to assume control of the preparation, filing, prosecution and maintenance of such patent application or patent in its name and at its own expense.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avoidance of doubt OSR shall have the right of election with respect to the following:</w:t>
      </w:r>
    </w:p>
    <w:p>
      <w:pPr>
        <w:spacing w:after="0" w:line="225" w:lineRule="exact"/>
        <w:rPr>
          <w:sz w:val="20"/>
          <w:szCs w:val="20"/>
          <w:color w:val="auto"/>
        </w:rPr>
      </w:pPr>
    </w:p>
    <w:p>
      <w:pPr>
        <w:ind w:left="1960" w:hanging="332"/>
        <w:spacing w:after="0" w:line="261" w:lineRule="auto"/>
        <w:tabs>
          <w:tab w:leader="none" w:pos="1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to seek unitary effect in relation to the Licensed Patents upon receipt of notification according to Rule 71(3) of the Implementing Regulation to the European Patent Convention in Europe;</w:t>
      </w:r>
    </w:p>
    <w:p>
      <w:pPr>
        <w:ind w:left="1960" w:right="20" w:hanging="332"/>
        <w:spacing w:after="0" w:line="260" w:lineRule="auto"/>
        <w:tabs>
          <w:tab w:leader="none" w:pos="1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to opt out of the jurisdiction of the Unified Patent Court in respect of such Licensed Patents in Europe during the transitional period; when exercising such opt-out; and if and when withdrawing such opt-out.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1" w:name="page232"/>
    <w:bookmarkEnd w:id="231"/>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Notification of infringement</w:t>
      </w:r>
      <w:r>
        <w:rPr>
          <w:rFonts w:ascii="Times New Roman" w:cs="Times New Roman" w:eastAsia="Times New Roman" w:hAnsi="Times New Roman"/>
          <w:sz w:val="18"/>
          <w:szCs w:val="18"/>
          <w:color w:val="auto"/>
        </w:rPr>
        <w:t>. Each Party shall (and shall require that its Affiliates and/or Sublicensees, as applicable) notify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of any alleged or threatened infringement by a Third Party of any Licensed Technology in the Territory that such Party becomes aware of and shall provide the other Party with the available evidence, if any, of such alleged or threatened infringement.</w:t>
      </w:r>
    </w:p>
    <w:p>
      <w:pPr>
        <w:spacing w:after="0" w:line="171"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Enforcement of IP rights</w:t>
      </w:r>
      <w:r>
        <w:rPr>
          <w:rFonts w:ascii="Times New Roman" w:cs="Times New Roman" w:eastAsia="Times New Roman" w:hAnsi="Times New Roman"/>
          <w:sz w:val="18"/>
          <w:szCs w:val="18"/>
          <w:color w:val="auto"/>
        </w:rPr>
        <w:t>. OSR shall have the first right at its sole expense and in its sole discretion to control the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Licensed Technology against any alleged infringers. If, within two (2) months of receipt of written notice by Genenta that a Third Party is manufacturing, using or selling a product in the Field of Use that infringes the Licensed Technology, OSR fails to file suit to enforce such Licensed Technology against the such Third Party in the Field of Use, then Genenta shall have the right to take whatever action it deems appropriate in its own name and, if required by law and in any case after written notice to OSR, in the name of OSR to enforce such Licensed Technology in the Field of Use, and OSR shall reasonably cooperate with Genenta in the planning and execution of any such action to enforce such Licensed Technology in the Field of Use. The Party controlling any such enforcement action may not settle, or otherwise consent to an adverse judgment in, such action, without the prior express written consent of the non-controlling Party. All monies recovered upon the final judgment or settlement of such action shall be shared, after reimbursement of expenses, in relation to the damages suffered by each Party or, failing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agreement between the Parties, on a 50%-50% basis.</w:t>
      </w:r>
    </w:p>
    <w:p>
      <w:pPr>
        <w:spacing w:after="0" w:line="185"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In any suit to enforce and/or defend the Licensed Technology pursuant to this Section 9, the Party not in control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 shall, at the request and expense of the controlling Party, reasonably cooperate and, to the extent possible, have its employees testify when requested and make available relevant records, papers, information, samples, specimens, and the like, in any case in compliance with Section 8 above and to the extent that such cooperation is not precluded by any agreements executed by such cooperating Party with any Third Party.</w:t>
      </w:r>
    </w:p>
    <w:p>
      <w:pPr>
        <w:spacing w:after="0" w:line="179" w:lineRule="exact"/>
        <w:rPr>
          <w:sz w:val="20"/>
          <w:szCs w:val="20"/>
          <w:color w:val="auto"/>
        </w:rPr>
      </w:pPr>
    </w:p>
    <w:p>
      <w:pPr>
        <w:jc w:val="both"/>
        <w:ind w:left="180" w:hanging="647"/>
        <w:spacing w:after="0" w:line="268" w:lineRule="auto"/>
        <w:tabs>
          <w:tab w:leader="none" w:pos="1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Third Party Rights</w:t>
      </w:r>
      <w:r>
        <w:rPr>
          <w:rFonts w:ascii="Times New Roman" w:cs="Times New Roman" w:eastAsia="Times New Roman" w:hAnsi="Times New Roman"/>
          <w:sz w:val="18"/>
          <w:szCs w:val="18"/>
          <w:color w:val="auto"/>
        </w:rPr>
        <w:t>. Each Party shall promptly notify the other Party in writing of any allegation by a Third Party that the activity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Party pursuant to this Agreement, or the exploitation of any Licensed Technology, Genenta Product Improvements, or any Licensed Products infringes or may infringe the intellectual property rights of such Third Party.</w:t>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32" w:name="page233"/>
    <w:bookmarkEnd w:id="232"/>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Unless terminated earlier as set forth below, this Agreement shall expire upon the expiration of the Royalty Term for all Licensed Products and all countries throughout the Territory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Following the expiration of the Royalty Term with respect to a given Licensed Product in all countries in the Territory, the licenses granted to Genenta hereunder with respect to such Licensed Product in such country shall become perpetual, non-exclusive, fully paid-up and royalty-free, irrevocable, transferrable and sublicensable through multiple tiers.</w:t>
      </w:r>
    </w:p>
    <w:p>
      <w:pPr>
        <w:spacing w:after="0" w:line="179" w:lineRule="exact"/>
        <w:rPr>
          <w:rFonts w:ascii="Times New Roman" w:cs="Times New Roman" w:eastAsia="Times New Roman" w:hAnsi="Times New Roman"/>
          <w:sz w:val="18"/>
          <w:szCs w:val="18"/>
          <w:b w:val="1"/>
          <w:bCs w:val="1"/>
          <w:color w:val="auto"/>
        </w:rPr>
      </w:pPr>
    </w:p>
    <w:p>
      <w:pPr>
        <w:ind w:left="1300" w:hanging="648"/>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Termination for breach</w:t>
      </w:r>
      <w:r>
        <w:rPr>
          <w:rFonts w:ascii="Times New Roman" w:cs="Times New Roman" w:eastAsia="Times New Roman" w:hAnsi="Times New Roman"/>
          <w:sz w:val="18"/>
          <w:szCs w:val="18"/>
          <w:color w:val="auto"/>
        </w:rPr>
        <w:t>. Without prejudice to Sections 10.3, should one Party materially breach any obligations set forth in this Agreement, then the non-breaching Party may deliver written notice of such breach to the other Party (“</w:t>
      </w:r>
      <w:r>
        <w:rPr>
          <w:rFonts w:ascii="Times New Roman" w:cs="Times New Roman" w:eastAsia="Times New Roman" w:hAnsi="Times New Roman"/>
          <w:sz w:val="18"/>
          <w:szCs w:val="18"/>
          <w:b w:val="1"/>
          <w:bCs w:val="1"/>
          <w:color w:val="auto"/>
        </w:rPr>
        <w:t>Breach Notice</w:t>
      </w:r>
      <w:r>
        <w:rPr>
          <w:rFonts w:ascii="Times New Roman" w:cs="Times New Roman" w:eastAsia="Times New Roman" w:hAnsi="Times New Roman"/>
          <w:sz w:val="18"/>
          <w:szCs w:val="18"/>
          <w:color w:val="auto"/>
        </w:rPr>
        <w:t>”), in accordance to Section 15.1 below, along with a warning to cure the breach and granting the non-breaching Party a sixty (60) Business Days period to cure the breach. Should the breaching Party fail to cure the breach within the aforementioned cure period, the non-breaching Party shall send written notice to the breaching Party confirming that the breach was not cured and this Agreement shall be terminated by law upon the expiry of the cure period, without prejudice to any further right or remedy accruing to the benefit of the non-breaching Party pursuant to Applicable Regulation. Notwithstanding the foregoing, if the allegedly breaching Party disputes in good faith the existence, materiality or cure of the applicable material breach and provides written notice of such dispute to the other Party within thirty (30) days after receipt of the Breach Notice or of the notice of termination, as applicable, then the matter will be addressed under the dispute resolution provisions in Section 16.2 and the termination will not become effective unless and until it has been finally determined under Section 16.2 that the allegedly breaching Party is in material breach of any of its obligations under this Agreement and has failed to cure the same (which cure period shall commence following such final determination). During the pendency of such a dispute, all of the terms of this Agreement will remain in effect and the Parties will continue to perform all of their respective obligations hereunder. In addition, if the allegedly breaching Party is Genenta, and such material breach is limited to one or more Licensed Products or countries, then OSR shall have the right, in its discretion, to terminate this Agreement solely with respect to Licensed Products and/or countries to which the material breach relates.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3" w:name="page234"/>
    <w:bookmarkEnd w:id="233"/>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Termination for failure to pay</w:t>
      </w:r>
      <w:r>
        <w:rPr>
          <w:rFonts w:ascii="Times New Roman" w:cs="Times New Roman" w:eastAsia="Times New Roman" w:hAnsi="Times New Roman"/>
          <w:sz w:val="17"/>
          <w:szCs w:val="17"/>
          <w:color w:val="auto"/>
        </w:rPr>
        <w:t>. Should Genenta fail to pay any undisputed</w:t>
      </w:r>
    </w:p>
    <w:p>
      <w:pPr>
        <w:spacing w:after="0" w:line="229" w:lineRule="exact"/>
        <w:rPr>
          <w:sz w:val="20"/>
          <w:szCs w:val="20"/>
          <w:color w:val="auto"/>
        </w:rPr>
      </w:pPr>
    </w:p>
    <w:p>
      <w:pPr>
        <w:jc w:val="both"/>
        <w:ind w:left="1300" w:hanging="656"/>
        <w:spacing w:after="0" w:line="258"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Fee, ARLA One-time Fee, Royalty payment, Milestone Payment or OSR Sublicensing Income payable and due pursuant to Sections 4.1, 4.2, 4.5 and 4.6 hereunder, in each case within thirty (30) days following the expiration of the applicable payment period set forth in Section 6.1 above, as the case may be, then OSR shall have right to terminate this Agreement, by sending a written notice to Genenta in accordance to Section 15.1 below, provided that such right to terminate shall be exercisable only prior to effective payment, by or on behalf of Genenta, of such undisputed amount(s);</w:t>
      </w:r>
    </w:p>
    <w:p>
      <w:pPr>
        <w:spacing w:after="0" w:line="183" w:lineRule="exact"/>
        <w:rPr>
          <w:rFonts w:ascii="Times New Roman" w:cs="Times New Roman" w:eastAsia="Times New Roman" w:hAnsi="Times New Roman"/>
          <w:sz w:val="18"/>
          <w:szCs w:val="18"/>
          <w:color w:val="auto"/>
        </w:rPr>
      </w:pPr>
    </w:p>
    <w:p>
      <w:pPr>
        <w:jc w:val="both"/>
        <w:ind w:left="1300" w:hanging="656"/>
        <w:spacing w:after="0" w:line="254"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Fees or the option fee set forth in Section 2.11(iii) or any of the extension fees due and payable according to Sections 2.2(b), 2.11 and/or 10.4, in each case within thirty (30) days following the expiration of the applicable deadlines as indicated in Section 6.1 above, as the case may be, then OSR shall have right to immediately terminate, by sending a written notice to Genenta in accordance to Section 15.1 below, the rights granted to Genenta as a consequence of the exercise of the applicable option according to Sections 2.3 or 2.11(iii) or the rights granted to Genenta as a consequence of the exercise of the right to an extension according to Sections 2.2(b), 2.11 and/or 10.4 (as applicable), provided that any such termination shall be in lieu of any right to receive payment arising from (including, without limitation, any late payment interest on) the exercise of the applicable option or extension.</w:t>
      </w:r>
    </w:p>
    <w:p>
      <w:pPr>
        <w:spacing w:after="0" w:line="188" w:lineRule="exact"/>
        <w:rPr>
          <w:sz w:val="20"/>
          <w:szCs w:val="20"/>
          <w:color w:val="auto"/>
        </w:rPr>
      </w:pPr>
    </w:p>
    <w:p>
      <w:pPr>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b w:val="1"/>
          <w:bCs w:val="1"/>
          <w:color w:val="auto"/>
        </w:rPr>
        <w:t>Termination for failure to develop</w:t>
      </w:r>
      <w:r>
        <w:rPr>
          <w:rFonts w:ascii="Times New Roman" w:cs="Times New Roman" w:eastAsia="Times New Roman" w:hAnsi="Times New Roman"/>
          <w:sz w:val="18"/>
          <w:szCs w:val="18"/>
          <w:color w:val="auto"/>
        </w:rPr>
        <w:t>. Without prejudice to Section 10.2, OSR is entitled to terminate, upon sixty (60) Business Days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Genenta (to be sent in accordance to Section 15.1 below)</w:t>
      </w:r>
    </w:p>
    <w:p>
      <w:pPr>
        <w:spacing w:after="0" w:line="159" w:lineRule="exact"/>
        <w:rPr>
          <w:sz w:val="20"/>
          <w:szCs w:val="20"/>
          <w:color w:val="auto"/>
        </w:rPr>
      </w:pPr>
    </w:p>
    <w:p>
      <w:pPr>
        <w:ind w:left="1300" w:hanging="656"/>
        <w:spacing w:after="0" w:line="282"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(pursuant to Section 10.4(z) below) in the event that Condition 1 and/or Condition 2 fail to occur on the third anniversary of the ARLA Effective Date (“</w:t>
      </w:r>
      <w:r>
        <w:rPr>
          <w:rFonts w:ascii="Times New Roman" w:cs="Times New Roman" w:eastAsia="Times New Roman" w:hAnsi="Times New Roman"/>
          <w:sz w:val="18"/>
          <w:szCs w:val="18"/>
          <w:b w:val="1"/>
          <w:bCs w:val="1"/>
          <w:color w:val="auto"/>
        </w:rPr>
        <w:t>Condition Date</w:t>
      </w:r>
      <w:r>
        <w:rPr>
          <w:rFonts w:ascii="Times New Roman" w:cs="Times New Roman" w:eastAsia="Times New Roman" w:hAnsi="Times New Roman"/>
          <w:sz w:val="18"/>
          <w:szCs w:val="18"/>
          <w:color w:val="auto"/>
        </w:rPr>
        <w:t>”) where</w:t>
      </w:r>
    </w:p>
    <w:p>
      <w:pPr>
        <w:spacing w:after="0" w:line="157" w:lineRule="exact"/>
        <w:rPr>
          <w:rFonts w:ascii="Times New Roman" w:cs="Times New Roman" w:eastAsia="Times New Roman" w:hAnsi="Times New Roman"/>
          <w:sz w:val="18"/>
          <w:szCs w:val="18"/>
          <w:color w:val="auto"/>
        </w:rPr>
      </w:pPr>
    </w:p>
    <w:p>
      <w:pPr>
        <w:jc w:val="both"/>
        <w:ind w:left="1300" w:hanging="8"/>
        <w:spacing w:after="0" w:line="268" w:lineRule="auto"/>
        <w:tabs>
          <w:tab w:leader="none" w:pos="152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 1</w:t>
      </w:r>
      <w:r>
        <w:rPr>
          <w:rFonts w:ascii="Times New Roman" w:cs="Times New Roman" w:eastAsia="Times New Roman" w:hAnsi="Times New Roman"/>
          <w:sz w:val="18"/>
          <w:szCs w:val="18"/>
          <w:color w:val="auto"/>
        </w:rPr>
        <w:t>” means (A) the Licensed Product for GBM is then-currently under clinical development by Genenta (or a Sublicensee), or (B) the first patient has then-been dosed by Genenta (or a Sublicensee) with a Licensed Product for a different Solid Cancer Indication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other than GBM) in a Phase I/II Clinical Trial; and</w:t>
      </w:r>
    </w:p>
    <w:p>
      <w:pPr>
        <w:spacing w:after="0" w:line="170" w:lineRule="exact"/>
        <w:rPr>
          <w:rFonts w:ascii="Times New Roman" w:cs="Times New Roman" w:eastAsia="Times New Roman" w:hAnsi="Times New Roman"/>
          <w:sz w:val="18"/>
          <w:szCs w:val="18"/>
          <w:color w:val="auto"/>
        </w:rPr>
      </w:pPr>
    </w:p>
    <w:p>
      <w:pPr>
        <w:jc w:val="both"/>
        <w:ind w:left="1300" w:hanging="8"/>
        <w:spacing w:after="0" w:line="268" w:lineRule="auto"/>
        <w:tabs>
          <w:tab w:leader="none" w:pos="157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 2</w:t>
      </w:r>
      <w:r>
        <w:rPr>
          <w:rFonts w:ascii="Times New Roman" w:cs="Times New Roman" w:eastAsia="Times New Roman" w:hAnsi="Times New Roman"/>
          <w:sz w:val="18"/>
          <w:szCs w:val="18"/>
          <w:color w:val="auto"/>
        </w:rPr>
        <w:t>” means one (1) additional Licensed Product for a Solid Cancer Indication (other than the indication for the Licensed Product under clause (i) which is meeting Condition 1) is then-currently under development (which, for clarity, may include the conduct of pre-clinical studies) by Genenta (or a Sublicensee).</w:t>
      </w:r>
    </w:p>
    <w:p>
      <w:pPr>
        <w:spacing w:after="0" w:line="1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34" w:name="page235"/>
    <w:bookmarkEnd w:id="234"/>
    <w:p>
      <w:pPr>
        <w:ind w:left="840"/>
        <w:spacing w:after="0"/>
        <w:rPr>
          <w:sz w:val="20"/>
          <w:szCs w:val="20"/>
          <w:color w:val="auto"/>
        </w:rPr>
      </w:pPr>
      <w:r>
        <w:rPr>
          <w:rFonts w:ascii="Times New Roman" w:cs="Times New Roman" w:eastAsia="Times New Roman" w:hAnsi="Times New Roman"/>
          <w:sz w:val="18"/>
          <w:szCs w:val="18"/>
          <w:color w:val="auto"/>
        </w:rPr>
        <w:t>The Parties agree that:</w:t>
      </w:r>
    </w:p>
    <w:p>
      <w:pPr>
        <w:spacing w:after="0" w:line="225" w:lineRule="exact"/>
        <w:rPr>
          <w:sz w:val="20"/>
          <w:szCs w:val="20"/>
          <w:color w:val="auto"/>
        </w:rPr>
      </w:pPr>
    </w:p>
    <w:p>
      <w:pPr>
        <w:jc w:val="both"/>
        <w:ind w:left="840" w:hanging="8"/>
        <w:spacing w:after="0" w:line="257" w:lineRule="auto"/>
        <w:tabs>
          <w:tab w:leader="none" w:pos="110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Condition Date, (i) Condition 1 is not met due to the Licensed Product for GBM either being placed on clinical hold or safety issues having been identified by the safety board prior to the Condition Date, and (ii) Condition 2 is met; then (A) the Condition Date shall be postponed and extended to the date that is fifty-four (54) months after the ARLA Effective Date, and</w:t>
      </w:r>
    </w:p>
    <w:p>
      <w:pPr>
        <w:spacing w:after="0" w:line="1" w:lineRule="exact"/>
        <w:rPr>
          <w:rFonts w:ascii="Times New Roman" w:cs="Times New Roman" w:eastAsia="Times New Roman" w:hAnsi="Times New Roman"/>
          <w:sz w:val="18"/>
          <w:szCs w:val="18"/>
          <w:color w:val="auto"/>
        </w:rPr>
      </w:pPr>
    </w:p>
    <w:p>
      <w:pPr>
        <w:ind w:left="8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Condition 1 shall be deemed satisfied if Genenta (or a Sublicensee) has filed an IND/IMPD for a Solid Cancer Indication (other than GBM and other than the Solid Cancer Indication of the Licensed Product meeting Condition 2);</w:t>
      </w:r>
    </w:p>
    <w:p>
      <w:pPr>
        <w:spacing w:after="0" w:line="181" w:lineRule="exact"/>
        <w:rPr>
          <w:rFonts w:ascii="Times New Roman" w:cs="Times New Roman" w:eastAsia="Times New Roman" w:hAnsi="Times New Roman"/>
          <w:sz w:val="18"/>
          <w:szCs w:val="18"/>
          <w:color w:val="auto"/>
        </w:rPr>
      </w:pPr>
    </w:p>
    <w:p>
      <w:pPr>
        <w:jc w:val="both"/>
        <w:ind w:left="840" w:hanging="8"/>
        <w:spacing w:after="0" w:line="254" w:lineRule="auto"/>
        <w:tabs>
          <w:tab w:leader="none" w:pos="111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Condition Date, (i) the first patient was dosed by Genenta (or a Sublicensee) with a Licensed Product for GBM in a Phase III Clinical Trial, or (ii) at least five (5) patients were dosed by Genenta (or a Sublicensee) in a Phase I/II Clinical Trial with a Licensed Product for a different Solid Cancer Indication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other than GBM); then, if Condition 2 is not satisfied at the Condition Date, Genenta shall have the right to postpone and extend the Condition Date up to two (2) times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twice), in each case for an extension period of two (2) years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such extensions not to exceed four (4) years in total from the Condition Date) by (A) sending written notice to OSR at least 30 days prior to the Condition Date (as for the request of the first extension) or prior to the expiration of the first extension period (as for the request for the second extension), and (B) paying an amount equal to </w:t>
      </w:r>
      <w:r>
        <w:rPr>
          <w:rFonts w:ascii="Times New Roman" w:cs="Times New Roman" w:eastAsia="Times New Roman" w:hAnsi="Times New Roman"/>
          <w:sz w:val="18"/>
          <w:szCs w:val="18"/>
          <w:color w:val="auto"/>
          <w:highlight w:val="black"/>
        </w:rPr>
        <w:t>five hundred thousand</w:t>
      </w:r>
      <w:r>
        <w:rPr>
          <w:rFonts w:ascii="Times New Roman" w:cs="Times New Roman" w:eastAsia="Times New Roman" w:hAnsi="Times New Roman"/>
          <w:sz w:val="18"/>
          <w:szCs w:val="18"/>
          <w:color w:val="auto"/>
        </w:rPr>
        <w:t xml:space="preserve"> Euro </w:t>
      </w:r>
      <w:r>
        <w:rPr>
          <w:rFonts w:ascii="Times New Roman" w:cs="Times New Roman" w:eastAsia="Times New Roman" w:hAnsi="Times New Roman"/>
          <w:sz w:val="18"/>
          <w:szCs w:val="18"/>
          <w:color w:val="auto"/>
          <w:highlight w:val="black"/>
        </w:rPr>
        <w:t>(€500,000.00)</w:t>
      </w:r>
      <w:r>
        <w:rPr>
          <w:rFonts w:ascii="Times New Roman" w:cs="Times New Roman" w:eastAsia="Times New Roman" w:hAnsi="Times New Roman"/>
          <w:sz w:val="18"/>
          <w:szCs w:val="18"/>
          <w:color w:val="auto"/>
        </w:rPr>
        <w:t xml:space="preserve"> within thirty (30) days from the date of each such applicable extension notice. For the avoidance of doubt each two (2) year extension shall apply to all Solid Cancer Indications;</w:t>
      </w:r>
    </w:p>
    <w:p>
      <w:pPr>
        <w:spacing w:after="0" w:line="188"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termination notice is sent by OSR to Genenta pursuant to this Section 10.4(a), this Agreement</w:t>
      </w:r>
    </w:p>
    <w:p>
      <w:pPr>
        <w:spacing w:after="0" w:line="225" w:lineRule="exact"/>
        <w:rPr>
          <w:sz w:val="20"/>
          <w:szCs w:val="20"/>
          <w:color w:val="auto"/>
        </w:rPr>
      </w:pPr>
    </w:p>
    <w:p>
      <w:pPr>
        <w:ind w:left="1160" w:hanging="328"/>
        <w:spacing w:after="0" w:line="282" w:lineRule="auto"/>
        <w:tabs>
          <w:tab w:leader="none" w:pos="11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terminate (and Genenta shall promptly wind-down and/or discontinue any further activity, taking into account patient safety concerns), and Section 10.7 shall apply, with respect to</w:t>
      </w:r>
    </w:p>
    <w:p>
      <w:pPr>
        <w:spacing w:after="0" w:line="161" w:lineRule="exact"/>
        <w:rPr>
          <w:rFonts w:ascii="Times New Roman" w:cs="Times New Roman" w:eastAsia="Times New Roman" w:hAnsi="Times New Roman"/>
          <w:sz w:val="18"/>
          <w:szCs w:val="18"/>
          <w:color w:val="auto"/>
        </w:rPr>
      </w:pPr>
    </w:p>
    <w:p>
      <w:pPr>
        <w:ind w:left="1480" w:right="20" w:hanging="324"/>
        <w:spacing w:after="0" w:line="261" w:lineRule="auto"/>
        <w:tabs>
          <w:tab w:leader="none" w:pos="14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Solid Cancer Indications (other than GBM to the sole extent that upon the Condition Date a Licensed Product indicated for GBM is under clinical development (“</w:t>
      </w:r>
      <w:r>
        <w:rPr>
          <w:rFonts w:ascii="Times New Roman" w:cs="Times New Roman" w:eastAsia="Times New Roman" w:hAnsi="Times New Roman"/>
          <w:sz w:val="18"/>
          <w:szCs w:val="18"/>
          <w:b w:val="1"/>
          <w:bCs w:val="1"/>
          <w:color w:val="auto"/>
        </w:rPr>
        <w:t>Exception</w:t>
      </w:r>
      <w:r>
        <w:rPr>
          <w:rFonts w:ascii="Times New Roman" w:cs="Times New Roman" w:eastAsia="Times New Roman" w:hAnsi="Times New Roman"/>
          <w:sz w:val="18"/>
          <w:szCs w:val="18"/>
          <w:color w:val="auto"/>
        </w:rPr>
        <w:t>”));</w:t>
      </w:r>
    </w:p>
    <w:p>
      <w:pPr>
        <w:ind w:left="1480" w:hanging="324"/>
        <w:spacing w:after="0" w:line="260" w:lineRule="auto"/>
        <w:tabs>
          <w:tab w:leader="none" w:pos="14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LHI Option Period has not expired, the LHI Option will automatically terminate upon the Condition Date;</w:t>
      </w:r>
    </w:p>
    <w:p>
      <w:pPr>
        <w:spacing w:after="0" w:line="1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5" w:name="page236"/>
    <w:bookmarkEnd w:id="235"/>
    <w:p>
      <w:pPr>
        <w:jc w:val="both"/>
        <w:ind w:left="1480"/>
        <w:spacing w:after="0" w:line="252" w:lineRule="auto"/>
        <w:rPr>
          <w:sz w:val="20"/>
          <w:szCs w:val="20"/>
          <w:color w:val="auto"/>
        </w:rPr>
      </w:pPr>
      <w:r>
        <w:rPr>
          <w:rFonts w:ascii="Times New Roman" w:cs="Times New Roman" w:eastAsia="Times New Roman" w:hAnsi="Times New Roman"/>
          <w:sz w:val="18"/>
          <w:szCs w:val="18"/>
          <w:color w:val="auto"/>
        </w:rPr>
        <w:t>and OSR shall be free to grant any right to any third party with respect to the Licensed Technology and any OSR Product Improvement (to the extent not already included in the Licensed Technology, pursuant to the exercise of the OPI Option) to conduct research and to develop, make, have made, use, offer for sale, sell and import Licensed Products (and, for the avoidance of doubts, Other Products) in the Territory in the Field of Use (other than GBM pursuant to the occurrence of the Exception; and, for the sake of clarity, outside of the Field of Use and with respect to any product). Notwithstanding the foregoing sentence, in the event that during the eighteen (18) months period following the effective date of termination of this Agreement, OSR intends to grant a license under the Licensed Technology to a Third Party to conduct research and to develop, make, have made, use, offer for sale, sell and/or import the Licensed Product that was under clinical development prior to the date of termination in the Territory and in such indication within the Field of Use for which such Licensed Product was developed under this Agreement, OSR shall first offer such license in writing to Genenta and the relevant written offer shall include the terms and conditions for the grant of such license. Should Genenta be interested in pursuing good faith negotiations with respect to the grant of such license, Genenta shall provide written notice of interest to OSR no later than forty-five (45) days from receipt of OSR’s written offer and the Parties shall have a ninety (90) day period to execute a license agreement in relation thereto. In the event that no notice of interest is delivered to OSR from Genenta during the above mentioned forty-five (45) day period or, having provided such notice of interest during such forty-five (45) day period, no agreement is executed by the Parties during the above mentioned ninety (90) day period, OSR shall be free to grant any right to any Third Party with respect to the Licensed Technology for such Licensed Product with respect to the applicable indication in the Field of Use;</w:t>
      </w:r>
    </w:p>
    <w:p>
      <w:pPr>
        <w:spacing w:after="0" w:line="191" w:lineRule="exact"/>
        <w:rPr>
          <w:sz w:val="20"/>
          <w:szCs w:val="20"/>
          <w:color w:val="auto"/>
        </w:rPr>
      </w:pPr>
    </w:p>
    <w:p>
      <w:pPr>
        <w:ind w:left="1160" w:hanging="328"/>
        <w:spacing w:after="0" w:line="282" w:lineRule="auto"/>
        <w:tabs>
          <w:tab w:leader="none" w:pos="11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terminate with respect to the License granted by OSR to Genenta under this Agreement for the Lympho-Hematopoietic Indications, provided that the LHI Option was exercised prior to the Condition Date;</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 the event that</w:t>
      </w:r>
    </w:p>
    <w:p>
      <w:pPr>
        <w:spacing w:after="0" w:line="225" w:lineRule="exact"/>
        <w:rPr>
          <w:rFonts w:ascii="Times New Roman" w:cs="Times New Roman" w:eastAsia="Times New Roman" w:hAnsi="Times New Roman"/>
          <w:sz w:val="18"/>
          <w:szCs w:val="18"/>
          <w:color w:val="auto"/>
        </w:rPr>
      </w:pPr>
    </w:p>
    <w:p>
      <w:pPr>
        <w:jc w:val="both"/>
        <w:ind w:left="8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Genenta has exercised the LHI Option set forth in Section 2.2(b) with respect to one or more Lympho-Hematopoietic Indications and Genenta (or a Sublicensee) has not filed an IND with respect to the applicable Lympho-Hematopoietic Indication for which the LHI Option was exercised (the “</w:t>
      </w:r>
      <w:r>
        <w:rPr>
          <w:rFonts w:ascii="Times New Roman" w:cs="Times New Roman" w:eastAsia="Times New Roman" w:hAnsi="Times New Roman"/>
          <w:sz w:val="18"/>
          <w:szCs w:val="18"/>
          <w:b w:val="1"/>
          <w:bCs w:val="1"/>
          <w:color w:val="auto"/>
        </w:rPr>
        <w:t>Terminated LHI</w:t>
      </w:r>
      <w:r>
        <w:rPr>
          <w:rFonts w:ascii="Times New Roman" w:cs="Times New Roman" w:eastAsia="Times New Roman" w:hAnsi="Times New Roman"/>
          <w:sz w:val="18"/>
          <w:szCs w:val="18"/>
          <w:color w:val="auto"/>
        </w:rPr>
        <w:t>”) within three (3) years from the date of the exercise of the LHI Option, it being understood that in such case: (a) the termination of this Agreement shall apply only with respect to the Terminated LHI; (b) Genenta shall promptly wind-down and/or discontinue any further activity on the said Terminated LHI, taking into account patient safety concerns; and (c) the provisions of Section 10.7 below shall apply only with respect to such Terminated LHI; or</w:t>
      </w:r>
    </w:p>
    <w:p>
      <w:pPr>
        <w:spacing w:after="0" w:line="1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6" w:name="page237"/>
    <w:bookmarkEnd w:id="236"/>
    <w:p>
      <w:pPr>
        <w:jc w:val="both"/>
        <w:ind w:left="1300" w:hanging="8"/>
        <w:spacing w:after="0" w:line="255" w:lineRule="auto"/>
        <w:tabs>
          <w:tab w:leader="none" w:pos="161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has exercised the LHI Option set forth in Section 2.2(b) with respect to three (3) Lympho-Hematopoietic Indications and Genenta (or a Sublicensee) has not filed an IND with respect to any such Lympho-Hematopoietic Indications for which the option was exercised, within three (3) years as of the date on which the relevant LHI Option was exercised, it being understood that in such case: (a) the termination rights shall apply to all Lympho-Hematopoietic Indications (but not to any Solid Cancer Indications, for which the provisions of this Agreement shall survive); (b) Genenta shall promptly wind-down and/or discontinue any further activity on all Lympho-Hematopoietic Indications, taking into account patient safety concerns; and (c) the provisions of Section 10.7 below shall apply only with respect to all Lympho-Hematopoietic Indications;</w:t>
      </w:r>
    </w:p>
    <w:p>
      <w:pPr>
        <w:spacing w:after="0" w:line="18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provided that, for each of (i) and (ii), in the event that a termination notice is sent by OSR to Genenta pursuant to this Section 10.4(b),</w:t>
      </w:r>
    </w:p>
    <w:p>
      <w:pPr>
        <w:spacing w:after="0" w:line="162" w:lineRule="exact"/>
        <w:rPr>
          <w:sz w:val="20"/>
          <w:szCs w:val="20"/>
          <w:color w:val="auto"/>
        </w:rPr>
      </w:pPr>
    </w:p>
    <w:p>
      <w:pPr>
        <w:ind w:left="1620" w:hanging="328"/>
        <w:spacing w:after="0"/>
        <w:tabs>
          <w:tab w:leader="none" w:pos="16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terminate (and shall remain in full force and effect) with respect to Solid Cancer Indications;</w:t>
      </w:r>
    </w:p>
    <w:p>
      <w:pPr>
        <w:spacing w:after="0" w:line="27" w:lineRule="exact"/>
        <w:rPr>
          <w:rFonts w:ascii="Times New Roman" w:cs="Times New Roman" w:eastAsia="Times New Roman" w:hAnsi="Times New Roman"/>
          <w:sz w:val="18"/>
          <w:szCs w:val="18"/>
          <w:color w:val="auto"/>
        </w:rPr>
      </w:pPr>
    </w:p>
    <w:p>
      <w:pPr>
        <w:ind w:left="1620" w:hanging="328"/>
        <w:spacing w:after="0" w:line="260" w:lineRule="auto"/>
        <w:tabs>
          <w:tab w:leader="none" w:pos="16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LHI Option Period has not expired, the LHI Option will automatically terminate upon the date on which the termination notice is sent by OSR and received by Genenta;</w:t>
      </w:r>
    </w:p>
    <w:p>
      <w:pPr>
        <w:spacing w:after="0" w:line="18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 the event that commercialization of a Licensed Product is not started within 24 months from the grant of both</w:t>
      </w:r>
    </w:p>
    <w:p>
      <w:pPr>
        <w:spacing w:after="0" w:line="27"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MAA Approval and (ii) the pricing approval for such Licensed Product, provided that termination of the Agreement pursuant to this section 10.4(c) shall relate solely to such Licensed Product and to such country or region in relation to which both such MAA Approval and pricing approval were granted.</w:t>
      </w:r>
    </w:p>
    <w:p>
      <w:pPr>
        <w:spacing w:after="0" w:line="182"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color w:val="auto"/>
        </w:rPr>
        <w:t>Termination for winding-up of Genenta</w:t>
      </w:r>
      <w:r>
        <w:rPr>
          <w:rFonts w:ascii="Times New Roman" w:cs="Times New Roman" w:eastAsia="Times New Roman" w:hAnsi="Times New Roman"/>
          <w:sz w:val="18"/>
          <w:szCs w:val="18"/>
          <w:color w:val="auto"/>
        </w:rPr>
        <w:t>. To the extent permitted by the Applicable Regulation, OSR may terminate this Agreement,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costs and with no compensation being due as a consequence of such termination, immediately upon written notice to Genenta, to be sent in accordance to Section 15.1 below, should Genenta (a) resolves its voluntary liquidation (also in accordance with the provisions of the Genenta Investment Agreement) or (b) be liquidated by in accordance with the Applicable Regulations.</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b w:val="1"/>
          <w:bCs w:val="1"/>
          <w:color w:val="auto"/>
        </w:rPr>
        <w:t>Termination by Genenta</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1300" w:hanging="656"/>
        <w:spacing w:after="0" w:line="261"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Licensed Product in the Field of Use can be successfully developed by Genenta under the Licensed Technology due to critical and objective technical or scientific reasons concerning the safety or efficacy of such Licensed Products, then Genenta may terminate this Agreement, upon one-hundred twenty (120) Business Days prior written notice to OSR, to be sent in accordance to Section 15.1 below. In such case, Section 10. 7 shall apply as well.</w:t>
      </w:r>
    </w:p>
    <w:p>
      <w:pPr>
        <w:spacing w:after="0" w:line="1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37" w:name="page238"/>
    <w:bookmarkEnd w:id="237"/>
    <w:p>
      <w:pPr>
        <w:jc w:val="both"/>
        <w:ind w:left="840" w:hanging="656"/>
        <w:spacing w:after="0" w:line="266" w:lineRule="auto"/>
        <w:tabs>
          <w:tab w:leader="none" w:pos="8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withdrawal by Genenta of a non-conditional MAA Approval in any country or region shall be regarded as a termination by Genenta of this Agreement solely with respect to the applicable Licensed Product for which such non-conditional MAA Approval was withdrawn, and solely in the applicable country or region and for the applicable indication.</w:t>
      </w:r>
    </w:p>
    <w:p>
      <w:pPr>
        <w:spacing w:after="0" w:line="172" w:lineRule="exact"/>
        <w:rPr>
          <w:sz w:val="20"/>
          <w:szCs w:val="20"/>
          <w:color w:val="auto"/>
        </w:rPr>
      </w:pPr>
    </w:p>
    <w:p>
      <w:pPr>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b w:val="1"/>
          <w:bCs w:val="1"/>
          <w:color w:val="auto"/>
        </w:rPr>
        <w:t>Effect of termination</w:t>
      </w:r>
      <w:r>
        <w:rPr>
          <w:rFonts w:ascii="Times New Roman" w:cs="Times New Roman" w:eastAsia="Times New Roman" w:hAnsi="Times New Roman"/>
          <w:sz w:val="18"/>
          <w:szCs w:val="18"/>
          <w:color w:val="auto"/>
        </w:rPr>
        <w:t>. In any case of termination of this Agreement, without prejudice to the rights and remedies available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in the event of termination for breach, the following shall apply.</w:t>
      </w:r>
    </w:p>
    <w:p>
      <w:pPr>
        <w:spacing w:after="0" w:line="159" w:lineRule="exact"/>
        <w:rPr>
          <w:sz w:val="20"/>
          <w:szCs w:val="20"/>
          <w:color w:val="auto"/>
        </w:rPr>
      </w:pPr>
    </w:p>
    <w:p>
      <w:pPr>
        <w:jc w:val="both"/>
        <w:ind w:left="840" w:hanging="656"/>
        <w:spacing w:after="0" w:line="258"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Sections 10.4(a)(z), the proviso under Section 10.4(b), Section 10.4(c) and Section 10.6(b) (collectively, the “</w:t>
      </w:r>
      <w:r>
        <w:rPr>
          <w:rFonts w:ascii="Times New Roman" w:cs="Times New Roman" w:eastAsia="Times New Roman" w:hAnsi="Times New Roman"/>
          <w:sz w:val="18"/>
          <w:szCs w:val="18"/>
          <w:b w:val="1"/>
          <w:bCs w:val="1"/>
          <w:color w:val="auto"/>
        </w:rPr>
        <w:t>Partial Termination Clauses</w:t>
      </w:r>
      <w:r>
        <w:rPr>
          <w:rFonts w:ascii="Times New Roman" w:cs="Times New Roman" w:eastAsia="Times New Roman" w:hAnsi="Times New Roman"/>
          <w:sz w:val="18"/>
          <w:szCs w:val="18"/>
          <w:color w:val="auto"/>
        </w:rPr>
        <w:t>”), all licenses and option rights granted to Genenta under this Agreement under the Licensed Technology, and any rights granted to and obligations undertaken by the Parties under this Agreement, shall immediately terminate without any monetary consideration by either party to the other party subject to this Section 10.7 and to Sections 10.8 and 10.9;</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becomes effective after the First Commercial Sale of any Licensed Product(s), then Genenta and its Sublicensees (through multiple tiers), as applicable, shall be permitted to distribute and sell all such Licensed Product(s) that were in inventory or in production on the date of such termination, for a period of twelve (12) months following the effective termination date,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OSR shall assume any sublicense entered into by Genenta with its Sublicensees, provided that and subject to: (i) such sublicense complies with clauses (i) and (ii) of Section 2.5 above; (ii) Genenta has first represented and warranted in writing to OSR that as of the effective date of such termination, such Sublicensee is then in full compliance with all terms and conditions of its sublicense; and (iii) such Sublicensee agrees in writing to assume all applicable obligations of Genenta under this Agreement with respect to the scope of the sublicense, it being understood and agreed that should even only one of the conditions and requirements set forth in clauses (i), (ii) and (iii) above is not met and fulfilled, the relevant sublicense shall be and remain without effects as between Genenta and/or OSR and the relevant Sublicensee. For the sake of clarity, (x) in the event of a partial termination of this Agreement pursuant to the Partial Termination Clauses, this Section 10.7(c) shall apply only with respect to the terminated portion(s) of the Field of Use; and (y) in the event of a termination of the Agreement, in whole or in part, pursuant to Section 10.6(b), this Section 10.7(c) shall not apply to the terminated Licensed Products with respect to the applicable terminated countries or regions;</w:t>
      </w:r>
    </w:p>
    <w:p>
      <w:pPr>
        <w:spacing w:after="0" w:line="1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8" w:name="page239"/>
    <w:bookmarkEnd w:id="238"/>
    <w:p>
      <w:pPr>
        <w:jc w:val="both"/>
        <w:ind w:left="840" w:hanging="656"/>
        <w:spacing w:after="0" w:line="251" w:lineRule="auto"/>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(including in the event of a termination limited to a portion of the Field of Use and/or to one or more Licensed Products in all countries and regions of the Territory), OSR shall have, for a period of forty-five (45) days beginning on the date of such termination (the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xml:space="preserve">”), an exclusive right to negotiate in good faith with Genenta the terms and conditions for a possible grant of (i) the transfer and/or assignment, as applicable, to OSR (or its designee) of all MAA Approvals related to each Licensed Product in the Territory (in such portion of the Field of Use, if applicable), data, information, and regulatory files (such as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IMPD, technical dossiers) relating to each Licensed Product in the Territory (in such portion of the Field of Use, if applicable), which may include the relevant drug master file, and all trademarks relating to such Licensed Products indicated in the NDA filed by Genenta with the FDA and/or in the MAA filed with the EMA (or in any similar file filed with any Regulatory Authority), and (ii) a license to OSR under all intellectual property rights relating to the Licensed Products accrued to the benefit of Genenta in accordance with this Agreement (including all patents and patents applications registered in the name of Genenta and covering the Licensed Products and/or the Genenta Product Improvements), in each case, for which Genenta has the right to grant a license at the time of such termination (such exclusive right to negotiate, the “</w:t>
      </w: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 The ROFN will be exercisable by OSR by written notice to Genenta within such 45-day period and, in the event of such ROFN exercise, the Parties shall negotiate in good faith such terms and conditions (under commercially reasonable terms, including commercially reasonable consideration for the licenses contemplated under this Section 10.7(d)) for a period of up to ninety (90) days from the date of such notice (or such extended period, as may be mutually agreed upon by the Parties). If Parties do not enter into any definitive agreement regarding such transfer and license (as applicable) during such ninety (90) day period (or such other time period, as may be mutually agreed upon by the Parties, in writing), then during the twelve (12) months immediately following the expiry of such period, Genenta shall not assign or grant to any third party any right or license to the items and rights which were the subject matter of such negotiation under terms and conditions (including the consideration) that, taken as a whole, are more favorable to such third party than those last proposed by Genenta to OSR.</w:t>
      </w:r>
    </w:p>
    <w:p>
      <w:pPr>
        <w:spacing w:after="0" w:line="205"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this Agreement in its entirety, OSR shall have the right (but not the obligation) to assume and take over, itself or through its designee, all then-existing and ongoing contracts and contractual arrangements that may have been entered into by Genenta with any Third Parties other than Sublicensees, related in any manner whatsoever to the ongoing development of the Licensed Products (but not any other products), including but not limited to all research contracts, for which assignment is possible without violating the terms and conditions of such contracts and contractual arrangements or applicable law, and without any additional cost to Genenta, and the Parties shall cooperate to promptly transfer or assign to OSR (or its designee), all such contracts and arrangements. To facilitate the assumption and taking over of any and/or all such existing and ongoing contracts or contractual arrangements as set forth above, Genenta agrees to provide a list identifying such contracts and contractual arrangements to OSR within twenty (20) Business Days following the effective date of such termination. OSR will then have one hundred forty-five (145) days from the receipt of that list (the “</w:t>
      </w:r>
      <w:r>
        <w:rPr>
          <w:rFonts w:ascii="Times New Roman" w:cs="Times New Roman" w:eastAsia="Times New Roman" w:hAnsi="Times New Roman"/>
          <w:sz w:val="18"/>
          <w:szCs w:val="18"/>
          <w:b w:val="1"/>
          <w:bCs w:val="1"/>
          <w:color w:val="auto"/>
        </w:rPr>
        <w:t>Election Period</w:t>
      </w:r>
      <w:r>
        <w:rPr>
          <w:rFonts w:ascii="Times New Roman" w:cs="Times New Roman" w:eastAsia="Times New Roman" w:hAnsi="Times New Roman"/>
          <w:sz w:val="18"/>
          <w:szCs w:val="18"/>
          <w:color w:val="auto"/>
        </w:rPr>
        <w:t>”) to make its election as to whether to assume and take-over any or all of the contracts and contractual arrangements, provided that during such periods, Genenta shall have no obligation to maintain any such contracts or contractual arrangements in effect if doing so would require or result in any cost to Genenta.</w:t>
      </w:r>
    </w:p>
    <w:p>
      <w:pPr>
        <w:spacing w:after="0" w:line="1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9" w:name="page240"/>
    <w:bookmarkEnd w:id="239"/>
    <w:p>
      <w:pPr>
        <w:jc w:val="both"/>
        <w:ind w:left="1960" w:hanging="656"/>
        <w:spacing w:after="0" w:line="261" w:lineRule="auto"/>
        <w:tabs>
          <w:tab w:leader="none" w:pos="19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shall pay to OSR within 30 days from the date of expiry or earlier termination the Additional License Fee set forth in Section 4.1(b)(y) (including in the event that earlier termination occurs prior to the first anniversary of the ARLA Effective date), as well as any other payment due under this Agreement (if such other payment obligation accrued prior to the date of termination).</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For the sake of clarity, in the event of termination pursuant to Section 10.4(a)(z) or the proviso under Section 10.4(b), the rights granted to Genenta according to Section 2.11 shall terminate only with respect to such portion of the Field of Use in relation to which the applicable partial termination occurred.</w:t>
      </w:r>
    </w:p>
    <w:p>
      <w:pPr>
        <w:spacing w:after="0" w:line="172"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Neither expiration or termination of this Agreement shall relieve either Party of any obligation accruing prior to such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termination, and the provisions of Sections 1, 8, 10.7, 13, 14, 15 and 16 shall survive the expiration or termination of this Agreement.</w:t>
      </w:r>
    </w:p>
    <w:p>
      <w:pPr>
        <w:spacing w:after="0" w:line="155"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Mutual representations and warranties</w:t>
      </w:r>
      <w:r>
        <w:rPr>
          <w:rFonts w:ascii="Times New Roman" w:cs="Times New Roman" w:eastAsia="Times New Roman" w:hAnsi="Times New Roman"/>
          <w:sz w:val="18"/>
          <w:szCs w:val="18"/>
          <w:color w:val="auto"/>
        </w:rPr>
        <w:t>. Each Party hereby represents and warrants to the other Party as follows:</w:t>
      </w:r>
    </w:p>
    <w:p>
      <w:pPr>
        <w:spacing w:after="0" w:line="229" w:lineRule="exact"/>
        <w:rPr>
          <w:rFonts w:ascii="Times New Roman" w:cs="Times New Roman" w:eastAsia="Times New Roman" w:hAnsi="Times New Roman"/>
          <w:sz w:val="18"/>
          <w:szCs w:val="18"/>
          <w:b w:val="1"/>
          <w:bCs w:val="1"/>
          <w:color w:val="auto"/>
        </w:rPr>
      </w:pPr>
    </w:p>
    <w:p>
      <w:pPr>
        <w:ind w:left="1960" w:right="20" w:hanging="656"/>
        <w:spacing w:after="0" w:line="282"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is a corporation duly organized, validly existing and in good standing under the laws of the State or country in which it is incorporated;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(a) has the corporate power and authority and the legal right to enter into this Agreement and, upon the ARLA Effective Date, to perform its obligations hereunder, and (b) has taken all necessary corporate action on its part to authorize the execution and delivery of this Agreement and, upon the ARLA Effective Date, the performance of its obligations hereunder. This Agreement has been duly executed and delivered on behalf of such Party, and constitutes a legal, valid, binding obligation, enforceable against such Party in accordance with its terms;</w:t>
      </w:r>
    </w:p>
    <w:p>
      <w:pPr>
        <w:spacing w:after="0" w:line="183"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ARLA Effective Date, all necessary consents, approvals and authorizations of all governmental authorities and other Persons required to be obtained by such Party in connection with this Agreement have been obtained;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performance of such Party’s obligations hereunder (i) do not conflict with or violate any requirement of the Applicable Regulations, and (ii) do not conflict with, or constitute a default under, any contractual obligation of 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0" w:name="page241"/>
    <w:bookmarkEnd w:id="240"/>
    <w:p>
      <w:pPr>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OSR additional representations and warranties</w:t>
      </w:r>
      <w:r>
        <w:rPr>
          <w:rFonts w:ascii="Times New Roman" w:cs="Times New Roman" w:eastAsia="Times New Roman" w:hAnsi="Times New Roman"/>
          <w:sz w:val="18"/>
          <w:szCs w:val="18"/>
          <w:color w:val="auto"/>
        </w:rPr>
        <w:t>. OSR hereby represents and warrants to Genenta that as of the ARLA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 Exhibit 11.2:</w:t>
      </w:r>
    </w:p>
    <w:p>
      <w:pPr>
        <w:spacing w:after="0" w:line="159" w:lineRule="exact"/>
        <w:rPr>
          <w:sz w:val="20"/>
          <w:szCs w:val="20"/>
          <w:color w:val="auto"/>
        </w:rPr>
      </w:pPr>
    </w:p>
    <w:p>
      <w:pPr>
        <w:ind w:left="840" w:hanging="656"/>
        <w:spacing w:after="0" w:line="282"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OSR is the sole and exclusive owner of the Licensed Technology, or has the right to grant the licenses granted under Section 2 above with respect to the Licensed Technology based,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on the OSR-Telethon Cooperation Agreement.</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OSR has not granted to any Third Party any right, license or other interest in the Licensed Technology which is or was in conflict with the rights granted to Genenta under this Agreement or the Last Amended License Agreement.</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OSR, OSR does not own or control any patent or patent application other than the Licensed Patents that are required or useful for the development, manufacturing or commercialization of the Licensed Products.</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OSR, (i) there are no pending or threatened claims, judgments or settlements against OSR relating to the Licensed Technology, and (ii) no Third Party has infringed or is infringing any Licensed Technology.</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clause (c) of Section 11.1 above, OSR hereby represents and Genenta hereby acknowledges that prior to the Effective Date OSR had received from </w:t>
      </w:r>
      <w:r>
        <w:rPr>
          <w:rFonts w:ascii="Times New Roman" w:cs="Times New Roman" w:eastAsia="Times New Roman" w:hAnsi="Times New Roman"/>
          <w:sz w:val="18"/>
          <w:szCs w:val="18"/>
          <w:color w:val="auto"/>
          <w:highlight w:val="black"/>
        </w:rPr>
        <w:t>Molmed S.p.A.,</w:t>
      </w:r>
      <w:r>
        <w:rPr>
          <w:rFonts w:ascii="Times New Roman" w:cs="Times New Roman" w:eastAsia="Times New Roman" w:hAnsi="Times New Roman"/>
          <w:sz w:val="18"/>
          <w:szCs w:val="18"/>
          <w:color w:val="auto"/>
        </w:rPr>
        <w:t xml:space="preserve"> with registered offices in Milano, via Olgettina No. 58, Fiscal Code 11887610159, a notice that it is not willing to exercise the option rights on the exploitation of the certain patents necessary for the carrying out of the Genenta Project.</w:t>
      </w:r>
    </w:p>
    <w:p>
      <w:pPr>
        <w:spacing w:after="0" w:line="180"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OSR makes no representations and no warranties of any kind, either express or implied, and particularly disclaims all warranties of validity of the Licensed Patents and/or that the patents will be granted with respect to the patent applications constituting Licensed Patents (as applicable), and/or that the exploitation of the Licensed Technology does not determine infringement of Third Parties’ rights and/or, more generally, of non-infringement, merchantability and fitness for a particular purpose.</w:t>
      </w:r>
    </w:p>
    <w:p>
      <w:pPr>
        <w:spacing w:after="0" w:line="1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41" w:name="page242"/>
    <w:bookmarkEnd w:id="241"/>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Genenta Additional Representations and Warranties</w:t>
      </w:r>
      <w:r>
        <w:rPr>
          <w:rFonts w:ascii="Times New Roman" w:cs="Times New Roman" w:eastAsia="Times New Roman" w:hAnsi="Times New Roman"/>
          <w:sz w:val="18"/>
          <w:szCs w:val="18"/>
          <w:color w:val="auto"/>
        </w:rPr>
        <w:t>. Genenta hereby covenants, represents and warrants to Genenta that, as of the</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ARLA Effective Date:</w:t>
      </w:r>
    </w:p>
    <w:p>
      <w:pPr>
        <w:spacing w:after="0" w:line="207" w:lineRule="exact"/>
        <w:rPr>
          <w:sz w:val="20"/>
          <w:szCs w:val="20"/>
          <w:color w:val="auto"/>
        </w:rPr>
      </w:pPr>
    </w:p>
    <w:p>
      <w:pPr>
        <w:jc w:val="both"/>
        <w:ind w:left="1960" w:hanging="656"/>
        <w:spacing w:after="0" w:line="289" w:lineRule="auto"/>
        <w:tabs>
          <w:tab w:leader="none" w:pos="196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the Licensed Products under the Licensed Technology and this Agreement shall be conducted in accordance with the Applicable Regulations, including the cGCP and cGLP, as applicable, it being understood that this Section 11.3(a) shall not be applicable to the extent that any breach is imputable to OSR under the OSR-Genenta Scientific Collaboration Agreement;</w:t>
      </w:r>
    </w:p>
    <w:p>
      <w:pPr>
        <w:spacing w:after="0" w:line="157" w:lineRule="exact"/>
        <w:rPr>
          <w:rFonts w:ascii="Times New Roman" w:cs="Times New Roman" w:eastAsia="Times New Roman" w:hAnsi="Times New Roman"/>
          <w:sz w:val="17"/>
          <w:szCs w:val="17"/>
          <w:color w:val="auto"/>
        </w:rPr>
      </w:pPr>
    </w:p>
    <w:p>
      <w:pPr>
        <w:ind w:left="1960" w:hanging="656"/>
        <w:spacing w:after="0" w:line="282" w:lineRule="auto"/>
        <w:tabs>
          <w:tab w:leader="none" w:pos="1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the Licensed Products shall be conducted in accordance with the Applicable Regulations, including the cGMP, cGLP, as applicable.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5" w:lineRule="exact"/>
        <w:rPr>
          <w:rFonts w:ascii="Times New Roman" w:cs="Times New Roman" w:eastAsia="Times New Roman" w:hAnsi="Times New Roman"/>
          <w:sz w:val="18"/>
          <w:szCs w:val="18"/>
          <w:b w:val="1"/>
          <w:bCs w:val="1"/>
          <w:color w:val="auto"/>
        </w:rPr>
      </w:pPr>
    </w:p>
    <w:p>
      <w:pPr>
        <w:jc w:val="right"/>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shall defend, indemnify and hold the other Party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harmless from all losses, liabilities, damages and expenses (including attorneys’ fees and costs) incurred as a result of any claim, demand, action or proceeding arising out of any breach by the Indemnitor and/or its Affiliates and/or its Sublicenses and/or its distributors and Third Parties suppliers, of the representations and warranties under Section 11 above. Genenta shall defend, indemnify and hold OSR harmless from any claim, demand, action or proceeding arising out of the infringement of Third-Party intellectual property rights by the Genenta Product Improvements or the Licensed Products, except to the extent such claim, demand, action or proceeding to the extent arising from</w:t>
      </w:r>
    </w:p>
    <w:p>
      <w:pPr>
        <w:spacing w:after="0" w:line="3" w:lineRule="exact"/>
        <w:rPr>
          <w:rFonts w:ascii="Times New Roman" w:cs="Times New Roman" w:eastAsia="Times New Roman" w:hAnsi="Times New Roman"/>
          <w:sz w:val="18"/>
          <w:szCs w:val="18"/>
          <w:b w:val="1"/>
          <w:bCs w:val="1"/>
          <w:color w:val="auto"/>
        </w:rPr>
      </w:pPr>
    </w:p>
    <w:p>
      <w:pPr>
        <w:ind w:left="1300" w:right="20" w:firstLine="4"/>
        <w:spacing w:after="0" w:line="260" w:lineRule="auto"/>
        <w:tabs>
          <w:tab w:leader="none" w:pos="156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Technology and/or (b) activities conducted by or on behalf of OSR under the OSR-Genenta Scientific Collaboration Agreement and/or the CPSRA.</w:t>
      </w:r>
    </w:p>
    <w:p>
      <w:pPr>
        <w:spacing w:after="0" w:line="17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The Indemnitee shall promptly notify the Indemnitor of any liability or action in respect of which the Indemnitee intends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such indemnification, and the Indemnitor shall have the right to assume the defense thereof with counsel selected by the Indemnitor. The indemnity agreement in this Section 12 shall not apply to amounts paid in settlement of any loss, claim, damage, liability or action if such settlement is effected without the consent of the Indemnitor, which consent shall not be withheld unreasonably. The failure to deliver notice to the Indemnitor within a reasonable time after the commencement of any such action, if prejudicial to its ability to defend such action, shall relieve the Indemnitor of any liability to the Indemnitee under this Section 12, but the omission so to deliver notice to the Indemnitor will not relieve it of any liability that it may have to the Indemnitee otherwise than under this Section 12. The Indemnitee under this Section 12, its employees and agents, shall cooperate fully with the Indemnitor and its legal representatives in the investigation and defense of any action, claim or liability covered by this indemnification.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2" w:name="page243"/>
    <w:bookmarkEnd w:id="242"/>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for breaches of Section 8 above, neither Party shall be liable under this Agreement for any indirect, incidental, punitive, exemplary, special or consequential damages of any kind, which may be awarded by any judge or authority of competent jurisdiction, except in case of willful misconduct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serious negligence (</w:t>
      </w:r>
      <w:r>
        <w:rPr>
          <w:rFonts w:ascii="Times New Roman" w:cs="Times New Roman" w:eastAsia="Times New Roman" w:hAnsi="Times New Roman"/>
          <w:sz w:val="18"/>
          <w:szCs w:val="18"/>
          <w:i w:val="1"/>
          <w:iCs w:val="1"/>
          <w:color w:val="auto"/>
        </w:rPr>
        <w:t>colpa grave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FORCE MAJEURE</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Neither Party (“</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shall be held liable or responsible to the other Party (the “</w:t>
      </w:r>
      <w:r>
        <w:rPr>
          <w:rFonts w:ascii="Times New Roman" w:cs="Times New Roman" w:eastAsia="Times New Roman" w:hAnsi="Times New Roman"/>
          <w:sz w:val="18"/>
          <w:szCs w:val="18"/>
          <w:b w:val="1"/>
          <w:bCs w:val="1"/>
          <w:color w:val="auto"/>
        </w:rPr>
        <w:t>non-Affected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nor be deemed to have defaulted under or breached this Agreement for failure or delay in fulfilling or performing any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 the extent, and for so long as, (i)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and (ii) the Affected Party uses its Commercially Reasonable Efforts to resume performance as soon as reasonably practicable. The non-Affected Party shall have the right to terminate the Agreement upon thirty (30) days prior written notice in the event that the failure by the Affected Party caused by the applicable force majeure event continues for longer than six (6) consecutive months.</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Any consent, notice or report required or permitted to be given or made under this Agreement by one of the Parties hereto to the other Party shall be in writing, delivered by any lawful means to such other Party at its address indicated below (where the Party hereby elect domicile for the purposes of servicing legal pleadings or arbitration requests), or to such other address as the addressee shall have last furnished in writing to the addressor and (except as otherwise provided in this Agreement) shall be effective upon receipt by the addressee.</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OSR,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Ospedale San Raffaele S.r.l.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via Olgettina No. 60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20132, Milan, Italy</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Attention: Dr Daniela Bellomo</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Genenta,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Genenta Science S.r.l.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via Olgettina No. 60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20132, Milan, Italy</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Attention: Ms. Anna Flavia d’Amelio Einaudi and Mr. Luigi Paracchi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3" w:name="page244"/>
    <w:bookmarkEnd w:id="243"/>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Without the prior written consent of OSR, not to be unreasonably withheld or delayed, Genenta shall not assign its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except that, Genenta may make such an assignment without OSR’s consent (a) to any Affiliate or shareholder, or (b) in connection with the transfer or sale of all or substantially all of its business to which this Agreement relates, or (c) in the event of any merger, demerger, consolidation, combination, reorganization, change in control, sale os stock, sale of assets, or other similar corporate transaction, provided, however, that in each case (a) through (c) that Genenta provides written notice to OSR of such assignment and the assignee shall have agreed in writing to be bound (or is otherwise required by operation of Applicable Regulations to be bound) in the same manner as Genenta hereunder and, in the case of an assignment to any Affiliate of Genenta under clause (a), Genenta shall remain responsible for performance of its obligations under this Agreement except to the extent they are satisfactorily performed by any such Affiliate. Notwithstanding the above, an assignment of the Agreement by Genenta in connection with any “</w:t>
      </w:r>
      <w:r>
        <w:rPr>
          <w:rFonts w:ascii="Times New Roman" w:cs="Times New Roman" w:eastAsia="Times New Roman" w:hAnsi="Times New Roman"/>
          <w:sz w:val="18"/>
          <w:szCs w:val="18"/>
          <w:i w:val="1"/>
          <w:iCs w:val="1"/>
          <w:color w:val="auto"/>
        </w:rPr>
        <w:t>Disinvestimento</w:t>
      </w:r>
      <w:r>
        <w:rPr>
          <w:rFonts w:ascii="Times New Roman" w:cs="Times New Roman" w:eastAsia="Times New Roman" w:hAnsi="Times New Roman"/>
          <w:sz w:val="18"/>
          <w:szCs w:val="18"/>
          <w:color w:val="auto"/>
        </w:rPr>
        <w:t>”, as such term is defined in the Genenta Investment Agreement, shall not require OSR’s consent.</w:t>
      </w:r>
    </w:p>
    <w:p>
      <w:pPr>
        <w:spacing w:after="0" w:line="185"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No change, modification, extension, termination or waiver of this Agreement, or any of the provisions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shall be valid unless made in writing and signed by duly authorized representatives of the Parties hereto.</w:t>
      </w:r>
    </w:p>
    <w:p>
      <w:pPr>
        <w:spacing w:after="0" w:line="155"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embodies the entire agreement between the Parties and supersedes any prior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understandings and agreements, including the Last Amended License Agreement, between the Parties regarding the subject matter hereof. There are no representations, understandings or agreements, oral or written, between the Parties regarding the subject matter hereof that are not fully expressed herein.</w:t>
      </w:r>
    </w:p>
    <w:p>
      <w:pPr>
        <w:spacing w:after="0" w:line="1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44" w:name="page245"/>
    <w:bookmarkEnd w:id="244"/>
    <w:p>
      <w:pPr>
        <w:jc w:val="both"/>
        <w:ind w:left="1292" w:hanging="647"/>
        <w:spacing w:after="0" w:line="262" w:lineRule="auto"/>
        <w:tabs>
          <w:tab w:leader="none" w:pos="1272"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Any of the provisions of this Agreement which are determined to be invalid or unenforceable in any jurisdiction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spacing w:after="0" w:line="176" w:lineRule="exact"/>
        <w:rPr>
          <w:sz w:val="20"/>
          <w:szCs w:val="20"/>
          <w:color w:val="auto"/>
        </w:rPr>
      </w:pPr>
    </w:p>
    <w:p>
      <w:pPr>
        <w:jc w:val="both"/>
        <w:ind w:left="1292" w:hanging="647"/>
        <w:spacing w:after="0" w:line="268" w:lineRule="auto"/>
        <w:tabs>
          <w:tab w:leader="none" w:pos="1272"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The waiver by either Party hereto of any right hereunder or the failure to perform or of a breach by the other Party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 waiver of any other right hereunder or of any other breach or failure by said other Party whether of a similar nature or otherwise.</w:t>
      </w:r>
    </w:p>
    <w:p>
      <w:pPr>
        <w:spacing w:after="0" w:line="171"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 The following Exhibits are an integral and substantial part of this Agreement:</w:t>
      </w:r>
    </w:p>
    <w:p>
      <w:pPr>
        <w:sectPr>
          <w:pgSz w:w="11900" w:h="16838" w:orient="portrait"/>
          <w:cols w:equalWidth="0" w:num="1">
            <w:col w:w="11232"/>
          </w:cols>
          <w:pgMar w:left="328" w:top="684" w:right="339" w:bottom="1440" w:gutter="0" w:footer="0" w:header="0"/>
        </w:sectPr>
      </w:pPr>
    </w:p>
    <w:p>
      <w:pPr>
        <w:spacing w:after="0" w:line="22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Exhibit (C)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Existing Know-How;</w:t>
      </w:r>
    </w:p>
    <w:p>
      <w:pPr>
        <w:spacing w:after="0" w:line="200" w:lineRule="exact"/>
        <w:rPr>
          <w:sz w:val="20"/>
          <w:szCs w:val="20"/>
          <w:color w:val="auto"/>
        </w:rPr>
      </w:pPr>
    </w:p>
    <w:p>
      <w:pPr>
        <w:sectPr>
          <w:pgSz w:w="11900" w:h="16838" w:orient="portrait"/>
          <w:cols w:equalWidth="0" w:num="2">
            <w:col w:w="3172" w:space="720"/>
            <w:col w:w="7340"/>
          </w:cols>
          <w:pgMar w:left="328" w:top="684" w:right="339" w:bottom="1440" w:gutter="0" w:footer="0" w:header="0"/>
          <w:type w:val="continuous"/>
        </w:sectPr>
      </w:pPr>
    </w:p>
    <w:p>
      <w:pPr>
        <w:spacing w:after="0" w:line="3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Exhibit 1.27</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Licensed Patents;</w:t>
      </w:r>
    </w:p>
    <w:p>
      <w:pPr>
        <w:spacing w:after="0" w:line="200" w:lineRule="exact"/>
        <w:rPr>
          <w:sz w:val="20"/>
          <w:szCs w:val="20"/>
          <w:color w:val="auto"/>
        </w:rPr>
      </w:pPr>
    </w:p>
    <w:p>
      <w:pPr>
        <w:sectPr>
          <w:pgSz w:w="11900" w:h="16838" w:orient="portrait"/>
          <w:cols w:equalWidth="0" w:num="2">
            <w:col w:w="3172" w:space="720"/>
            <w:col w:w="7340"/>
          </w:cols>
          <w:pgMar w:left="328" w:top="684" w:right="339" w:bottom="1440" w:gutter="0" w:footer="0" w:header="0"/>
          <w:type w:val="continuous"/>
        </w:sectPr>
      </w:pPr>
    </w:p>
    <w:p>
      <w:pPr>
        <w:spacing w:after="0" w:line="3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Exhibit 2.11A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Optioned IP 1;</w:t>
      </w:r>
    </w:p>
    <w:p>
      <w:pPr>
        <w:spacing w:after="0" w:line="200" w:lineRule="exact"/>
        <w:rPr>
          <w:sz w:val="20"/>
          <w:szCs w:val="20"/>
          <w:color w:val="auto"/>
        </w:rPr>
      </w:pPr>
    </w:p>
    <w:p>
      <w:pPr>
        <w:sectPr>
          <w:pgSz w:w="11900" w:h="16838" w:orient="portrait"/>
          <w:cols w:equalWidth="0" w:num="2">
            <w:col w:w="3172" w:space="720"/>
            <w:col w:w="7340"/>
          </w:cols>
          <w:pgMar w:left="328" w:top="684" w:right="339" w:bottom="1440" w:gutter="0" w:footer="0" w:header="0"/>
          <w:type w:val="continuous"/>
        </w:sectPr>
      </w:pPr>
    </w:p>
    <w:p>
      <w:pPr>
        <w:spacing w:after="0" w:line="3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Exhibit 2.11B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Optioned IP 2;</w:t>
      </w:r>
    </w:p>
    <w:p>
      <w:pPr>
        <w:spacing w:after="0" w:line="200" w:lineRule="exact"/>
        <w:rPr>
          <w:sz w:val="20"/>
          <w:szCs w:val="20"/>
          <w:color w:val="auto"/>
        </w:rPr>
      </w:pPr>
    </w:p>
    <w:p>
      <w:pPr>
        <w:sectPr>
          <w:pgSz w:w="11900" w:h="16838" w:orient="portrait"/>
          <w:cols w:equalWidth="0" w:num="2">
            <w:col w:w="3172" w:space="720"/>
            <w:col w:w="7340"/>
          </w:cols>
          <w:pgMar w:left="328" w:top="684" w:right="339" w:bottom="1440" w:gutter="0" w:footer="0" w:header="0"/>
          <w:type w:val="continuous"/>
        </w:sectPr>
      </w:pPr>
    </w:p>
    <w:p>
      <w:pPr>
        <w:spacing w:after="0" w:line="3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Exhibit 11.2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Exceptions to OSR’s additional representations and warranties.</w:t>
      </w:r>
    </w:p>
    <w:p>
      <w:pPr>
        <w:spacing w:after="0" w:line="200" w:lineRule="exact"/>
        <w:rPr>
          <w:sz w:val="20"/>
          <w:szCs w:val="20"/>
          <w:color w:val="auto"/>
        </w:rPr>
      </w:pPr>
    </w:p>
    <w:p>
      <w:pPr>
        <w:sectPr>
          <w:pgSz w:w="11900" w:h="16838" w:orient="portrait"/>
          <w:cols w:equalWidth="0" w:num="2">
            <w:col w:w="3172" w:space="720"/>
            <w:col w:w="7340"/>
          </w:cols>
          <w:pgMar w:left="328" w:top="684" w:right="339" w:bottom="1440" w:gutter="0" w:footer="0" w:header="0"/>
          <w:type w:val="continuous"/>
        </w:sectPr>
      </w:pPr>
    </w:p>
    <w:p>
      <w:pPr>
        <w:spacing w:after="0" w:line="33" w:lineRule="exact"/>
        <w:rPr>
          <w:sz w:val="20"/>
          <w:szCs w:val="20"/>
          <w:color w:val="auto"/>
        </w:rPr>
      </w:pPr>
    </w:p>
    <w:p>
      <w:pPr>
        <w:ind w:left="1292" w:right="20" w:hanging="647"/>
        <w:spacing w:after="0" w:line="286" w:lineRule="auto"/>
        <w:tabs>
          <w:tab w:leader="none" w:pos="1272"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and the same instrument.</w:t>
      </w:r>
    </w:p>
    <w:p>
      <w:pPr>
        <w:spacing w:after="0" w:line="155" w:lineRule="exact"/>
        <w:rPr>
          <w:sz w:val="20"/>
          <w:szCs w:val="20"/>
          <w:color w:val="auto"/>
        </w:rPr>
      </w:pPr>
    </w:p>
    <w:p>
      <w:pPr>
        <w:ind w:left="652" w:hanging="652"/>
        <w:spacing w:after="0"/>
        <w:tabs>
          <w:tab w:leader="none" w:pos="652"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ARBITRATION</w:t>
      </w:r>
    </w:p>
    <w:p>
      <w:pPr>
        <w:spacing w:after="0" w:line="225" w:lineRule="exact"/>
        <w:rPr>
          <w:rFonts w:ascii="Times New Roman" w:cs="Times New Roman" w:eastAsia="Times New Roman" w:hAnsi="Times New Roman"/>
          <w:sz w:val="18"/>
          <w:szCs w:val="18"/>
          <w:b w:val="1"/>
          <w:bCs w:val="1"/>
          <w:color w:val="auto"/>
        </w:rPr>
      </w:pPr>
    </w:p>
    <w:p>
      <w:pPr>
        <w:ind w:left="1292"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Italy, without regard to the conflicts of law principles thereof.</w:t>
      </w:r>
    </w:p>
    <w:p>
      <w:pPr>
        <w:spacing w:after="0" w:line="1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type w:val="continuous"/>
        </w:sectPr>
      </w:pPr>
    </w:p>
    <w:bookmarkStart w:id="245" w:name="page246"/>
    <w:bookmarkEnd w:id="245"/>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Any dispute, controversy or claim initiated by either Party arising out of or relating to this Agreement, its negotiations,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or interpretation, or the performance by either Party of its obligations under this Agreement (other than (a) any dispute, controversy or claim regarding the validity, enforceability, claim construction or infringement of any patent rights, or defenses to any of the foregoing), shall be finally resolved through arbitration by a panel of three (3) arbitrators appointed under the Rules of the International Court of Arbitration of the International Chamber of Commerce of Paris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which both Parties declare to know and accept. Each Party shall appoint one arbitrator and the two thus-appointed arbitrators shall appoint the third arbitrator, who shall act as chairman of the panel. In case of disagreement, the third arbitrator shall be appointed by the Chairman of the International Chamber of Commerce, in accordance with the provisions of the Rules. Where necessary the Chairman of the International Chamber of Commerce shall also appoint an arbitrator on behalf of the Party that has failed to appoint its arbitrator within the deadline set forth by the Rules. The seat of the arbitration shall be Milan, Italy. Any such arbitration shall be conducted in the Italian language, without prejudice to the Parties right to file documents in the English or other foreign language, along with the relevant certified translation into Italian English or to hear witness in languages other than Italian provided that a simultaneous translation is offered to the panel. Any award issued by the arbitration panel shall binding upon the Parties and the arbitration shall be “</w:t>
      </w:r>
      <w:r>
        <w:rPr>
          <w:rFonts w:ascii="Times New Roman" w:cs="Times New Roman" w:eastAsia="Times New Roman" w:hAnsi="Times New Roman"/>
          <w:sz w:val="18"/>
          <w:szCs w:val="18"/>
          <w:i w:val="1"/>
          <w:iCs w:val="1"/>
          <w:color w:val="auto"/>
        </w:rPr>
        <w:t>rituale</w:t>
      </w:r>
      <w:r>
        <w:rPr>
          <w:rFonts w:ascii="Times New Roman" w:cs="Times New Roman" w:eastAsia="Times New Roman" w:hAnsi="Times New Roman"/>
          <w:sz w:val="18"/>
          <w:szCs w:val="18"/>
          <w:color w:val="auto"/>
        </w:rPr>
        <w:t>” in its nature. The arbitration shall be conducted in accordance with the Rules and the Parties hereby declare that the Emergency Arbitrators Provisions shall not apply between them. The award rendered by the arbitrators may be challenged on the grounds of breach of rules of law (</w:t>
      </w:r>
      <w:r>
        <w:rPr>
          <w:rFonts w:ascii="Times New Roman" w:cs="Times New Roman" w:eastAsia="Times New Roman" w:hAnsi="Times New Roman"/>
          <w:sz w:val="18"/>
          <w:szCs w:val="18"/>
          <w:i w:val="1"/>
          <w:iCs w:val="1"/>
          <w:color w:val="auto"/>
        </w:rPr>
        <w:t>impugnazione per violazione delle regole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 diritto) </w:t>
      </w:r>
      <w:r>
        <w:rPr>
          <w:rFonts w:ascii="Times New Roman" w:cs="Times New Roman" w:eastAsia="Times New Roman" w:hAnsi="Times New Roman"/>
          <w:sz w:val="18"/>
          <w:szCs w:val="18"/>
          <w:color w:val="auto"/>
        </w:rPr>
        <w:t>pursuant to Article 829 (</w:t>
      </w:r>
      <w:r>
        <w:rPr>
          <w:rFonts w:ascii="Times New Roman" w:cs="Times New Roman" w:eastAsia="Times New Roman" w:hAnsi="Times New Roman"/>
          <w:sz w:val="18"/>
          <w:szCs w:val="18"/>
          <w:i w:val="1"/>
          <w:iCs w:val="1"/>
          <w:color w:val="auto"/>
        </w:rPr>
        <w:t>Casi di nullità</w:t>
      </w:r>
      <w:r>
        <w:rPr>
          <w:rFonts w:ascii="Times New Roman" w:cs="Times New Roman" w:eastAsia="Times New Roman" w:hAnsi="Times New Roman"/>
          <w:sz w:val="18"/>
          <w:szCs w:val="18"/>
          <w:color w:val="auto"/>
        </w:rPr>
        <w:t>), third paragraph, of the Italian Code of Civil Procedure.</w:t>
      </w:r>
    </w:p>
    <w:p>
      <w:pPr>
        <w:spacing w:after="0" w:line="19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b w:val="1"/>
          <w:bCs w:val="1"/>
          <w:color w:val="auto"/>
        </w:rPr>
        <w:t>Residual jurisdiction</w:t>
      </w:r>
      <w:r>
        <w:rPr>
          <w:rFonts w:ascii="Times New Roman" w:cs="Times New Roman" w:eastAsia="Times New Roman" w:hAnsi="Times New Roman"/>
          <w:sz w:val="18"/>
          <w:szCs w:val="18"/>
          <w:color w:val="auto"/>
        </w:rPr>
        <w:t>. Any other dispute which may not be submitted to the arbitration proceeding pursuant to Section 16.2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those relating to injunctive reliefs and provisional and/or urgent measures and payment injunctions (</w:t>
      </w:r>
      <w:r>
        <w:rPr>
          <w:rFonts w:ascii="Times New Roman" w:cs="Times New Roman" w:eastAsia="Times New Roman" w:hAnsi="Times New Roman"/>
          <w:sz w:val="18"/>
          <w:szCs w:val="18"/>
          <w:i w:val="1"/>
          <w:iCs w:val="1"/>
          <w:color w:val="auto"/>
        </w:rPr>
        <w:t>decreto ingiuntivo</w:t>
      </w:r>
      <w:r>
        <w:rPr>
          <w:rFonts w:ascii="Times New Roman" w:cs="Times New Roman" w:eastAsia="Times New Roman" w:hAnsi="Times New Roman"/>
          <w:sz w:val="18"/>
          <w:szCs w:val="18"/>
          <w:color w:val="auto"/>
        </w:rPr>
        <w:t>) shall be devoted to the exclusive jurisdiction and venue of Tribunal of Milan.</w:t>
      </w:r>
    </w:p>
    <w:p>
      <w:pPr>
        <w:spacing w:after="0" w:line="17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 witness whereof</w:t>
      </w:r>
      <w:r>
        <w:rPr>
          <w:rFonts w:ascii="Times New Roman" w:cs="Times New Roman" w:eastAsia="Times New Roman" w:hAnsi="Times New Roman"/>
          <w:sz w:val="18"/>
          <w:szCs w:val="18"/>
          <w:color w:val="auto"/>
        </w:rPr>
        <w:t>, the Parties have executed this Agreement effective as of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Ospedale San Raffaele S.r.l.</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Marco Centenari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Marco Centenari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Mr. Pierluigi Paracchi</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448945</wp:posOffset>
            </wp:positionV>
            <wp:extent cx="5743575" cy="74409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448945</wp:posOffset>
            </wp:positionV>
            <wp:extent cx="5743575" cy="74409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744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9" w:name="page250"/>
    <w:bookmarkEnd w:id="249"/>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Exhibit 1.27</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Licensed Patents</w:t>
      </w:r>
    </w:p>
    <w:p>
      <w:pPr>
        <w:spacing w:after="0" w:line="225"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Family of WO2007000668</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Title: GENE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Applicants: Ospedale San Raffaele S.r.l. 50% - Fondazione Telethon 50%</w:t>
      </w:r>
    </w:p>
    <w:p>
      <w:pPr>
        <w:spacing w:after="0" w:line="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Inventors: Luigi Naldini, Brian David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0840"/>
          </w:cols>
          <w:pgMar w:left="320" w:top="684" w:right="739" w:bottom="1440" w:gutter="0" w:footer="0" w:header="0"/>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tatus</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ountry</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pplication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umber</w:t>
            </w:r>
          </w:p>
        </w:tc>
        <w:tc>
          <w:tcPr>
            <w:tcW w:w="1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iling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provisional N. 60/684,954</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27, 2005</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PCT</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PCT/IB2006/002266</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N.06795291.1</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 Korea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20077030594</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30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Abandoned</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 Korea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10-2013-7025874 divisional</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India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5430/CHENP/2007</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200718092-0</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SG201003686-1 divisional</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187679</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20062609142</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USA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11/921,140</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USA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14/332,222 divisional</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2013-098229 divisional</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2008-512952</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200680027591.5</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26, 2006</w:t>
            </w:r>
          </w:p>
        </w:tc>
      </w:tr>
      <w:tr>
        <w:trPr>
          <w:trHeight w:val="540"/>
        </w:trPr>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ublication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publication date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WO2007000668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4,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EP2002003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 17,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KR20080041601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2008)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SG162726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CA2609142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4,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US2010041737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 18, 2010)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JP2013226139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7,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JP2008545406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 18,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CN101287834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 15, 2008)</w:t>
      </w:r>
    </w:p>
    <w:p>
      <w:pPr>
        <w:spacing w:after="0" w:line="20" w:lineRule="exact"/>
        <w:rPr>
          <w:sz w:val="20"/>
          <w:szCs w:val="20"/>
          <w:color w:val="auto"/>
        </w:rPr>
      </w:pPr>
      <w:r>
        <w:rPr>
          <w:sz w:val="20"/>
          <w:szCs w:val="20"/>
          <w:color w:val="auto"/>
        </w:rPr>
        <w:br w:type="column"/>
      </w:r>
    </w:p>
    <w:p>
      <w:pPr>
        <w:jc w:val="center"/>
        <w:ind w:right="-39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atent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umber</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issue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10-1373548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(06.03.2014)</w:t>
      </w:r>
    </w:p>
    <w:p>
      <w:pPr>
        <w:sectPr>
          <w:pgSz w:w="11900" w:h="16838" w:orient="portrait"/>
          <w:cols w:equalWidth="0" w:num="3">
            <w:col w:w="5880" w:space="440"/>
            <w:col w:w="2880" w:space="140"/>
            <w:col w:w="1500"/>
          </w:cols>
          <w:pgMar w:left="320" w:top="684" w:right="739" w:bottom="1440" w:gutter="0" w:footer="0" w:header="0"/>
          <w:type w:val="continuous"/>
        </w:sectPr>
      </w:pPr>
    </w:p>
    <w:bookmarkStart w:id="250" w:name="page251"/>
    <w:bookmarkEnd w:id="250"/>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Family of WO2010125471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Title: GENE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114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60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tatus</w:t>
      </w:r>
      <w:r>
        <w:rPr>
          <w:sz w:val="20"/>
          <w:szCs w:val="20"/>
          <w:color w:val="auto"/>
        </w:rPr>
        <w:tab/>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ountry</w:t>
      </w:r>
    </w:p>
    <w:p>
      <w:pPr>
        <w:spacing w:after="0" w:line="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Expired</w:t>
      </w:r>
      <w:r>
        <w:rPr>
          <w:sz w:val="20"/>
          <w:szCs w:val="20"/>
          <w:color w:val="auto"/>
        </w:rPr>
        <w:tab/>
      </w:r>
      <w:r>
        <w:rPr>
          <w:rFonts w:ascii="Times New Roman" w:cs="Times New Roman" w:eastAsia="Times New Roman" w:hAnsi="Times New Roman"/>
          <w:sz w:val="18"/>
          <w:szCs w:val="18"/>
          <w:b w:val="1"/>
          <w:bCs w:val="1"/>
          <w:color w:val="auto"/>
        </w:rPr>
        <w:t>US</w:t>
      </w:r>
    </w:p>
    <w:p>
      <w:pPr>
        <w:spacing w:after="0" w:line="9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Expired</w:t>
      </w:r>
      <w:r>
        <w:rPr>
          <w:sz w:val="20"/>
          <w:szCs w:val="20"/>
          <w:color w:val="auto"/>
        </w:rPr>
        <w:tab/>
      </w:r>
      <w:r>
        <w:rPr>
          <w:rFonts w:ascii="Times New Roman" w:cs="Times New Roman" w:eastAsia="Times New Roman" w:hAnsi="Times New Roman"/>
          <w:sz w:val="18"/>
          <w:szCs w:val="18"/>
          <w:b w:val="1"/>
          <w:bCs w:val="1"/>
          <w:color w:val="auto"/>
        </w:rPr>
        <w:t>PCT</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Europe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USA</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China</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Japan</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Canada</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Australia</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Brazil</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Eurasia</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India</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Israel</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S. Korea</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Granted</w:t>
      </w:r>
      <w:r>
        <w:rPr>
          <w:sz w:val="20"/>
          <w:szCs w:val="20"/>
          <w:color w:val="auto"/>
        </w:rPr>
        <w:tab/>
      </w:r>
      <w:r>
        <w:rPr>
          <w:rFonts w:ascii="Times New Roman" w:cs="Times New Roman" w:eastAsia="Times New Roman" w:hAnsi="Times New Roman"/>
          <w:sz w:val="18"/>
          <w:szCs w:val="18"/>
          <w:b w:val="1"/>
          <w:bCs w:val="1"/>
          <w:color w:val="auto"/>
        </w:rPr>
        <w:t>S. Africa</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Pending</w:t>
      </w:r>
      <w:r>
        <w:rPr>
          <w:sz w:val="20"/>
          <w:szCs w:val="20"/>
          <w:color w:val="auto"/>
        </w:rPr>
        <w:tab/>
      </w:r>
      <w:r>
        <w:rPr>
          <w:rFonts w:ascii="Times New Roman" w:cs="Times New Roman" w:eastAsia="Times New Roman" w:hAnsi="Times New Roman"/>
          <w:sz w:val="18"/>
          <w:szCs w:val="18"/>
          <w:b w:val="1"/>
          <w:bCs w:val="1"/>
          <w:color w:val="auto"/>
        </w:rPr>
        <w:t>Mexico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Applicants: Ospedale San Raffaele S.r.l. 50% - Fondazione Telethon 50%</w:t>
      </w:r>
    </w:p>
    <w:p>
      <w:pPr>
        <w:spacing w:after="0" w:line="9"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Inventors: Alessandra Biffi, Bernhard Rudolf Gentner, Luigi Naldini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5715</wp:posOffset>
            </wp:positionV>
            <wp:extent cx="71323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pplication number</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iling date</w:t>
            </w: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ublication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publication date</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atent number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ssue date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99"/>
              </w:rPr>
              <w:t>US provisional N. 61/174,124 April 30, 2009</w:t>
            </w: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WO2010125471</w:t>
            </w:r>
          </w:p>
        </w:tc>
        <w:tc>
          <w:tcPr>
            <w:tcW w:w="0" w:type="dxa"/>
            <w:vAlign w:val="bottom"/>
          </w:tcPr>
          <w:p>
            <w:pPr>
              <w:spacing w:after="0"/>
              <w:rPr>
                <w:sz w:val="1"/>
                <w:szCs w:val="1"/>
                <w:color w:val="auto"/>
              </w:rPr>
            </w:pPr>
          </w:p>
        </w:tc>
      </w:tr>
      <w:tr>
        <w:trPr>
          <w:trHeight w:val="198"/>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PCT/IB2010/001166</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(04.11. 2010)</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10723305.8</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EP2424571</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(07.03.2012)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13/266,381</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2012/0128643</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(24.05.2012)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201080030337.7</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CN102596255</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(18.07.2012)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2012-507847</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JP2012525141</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(22.10.2012)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2,759,438</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CA2759438</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(04.11.2010)</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AU2010243276</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AU2010243276</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(17.11.2011)</w:t>
            </w:r>
          </w:p>
        </w:tc>
        <w:tc>
          <w:tcPr>
            <w:tcW w:w="0" w:type="dxa"/>
            <w:vAlign w:val="bottom"/>
          </w:tcPr>
          <w:p>
            <w:pPr>
              <w:spacing w:after="0"/>
              <w:rPr>
                <w:sz w:val="1"/>
                <w:szCs w:val="1"/>
                <w:color w:val="auto"/>
              </w:rPr>
            </w:pPr>
          </w:p>
        </w:tc>
      </w:tr>
      <w:tr>
        <w:trPr>
          <w:trHeight w:val="108"/>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PI1010873-4</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EA201171335</w:t>
            </w:r>
          </w:p>
        </w:tc>
        <w:tc>
          <w:tcPr>
            <w:tcW w:w="0" w:type="dxa"/>
            <w:vAlign w:val="bottom"/>
          </w:tcPr>
          <w:p>
            <w:pPr>
              <w:spacing w:after="0"/>
              <w:rPr>
                <w:sz w:val="1"/>
                <w:szCs w:val="1"/>
                <w:color w:val="auto"/>
              </w:rPr>
            </w:pPr>
          </w:p>
        </w:tc>
      </w:tr>
      <w:tr>
        <w:trPr>
          <w:trHeight w:val="198"/>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201171335</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(30.05.2012)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7894/CHENP/2011</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7894/CHENP/2011</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(21.12.2012)</w:t>
            </w:r>
          </w:p>
        </w:tc>
        <w:tc>
          <w:tcPr>
            <w:tcW w:w="0" w:type="dxa"/>
            <w:vAlign w:val="bottom"/>
          </w:tcPr>
          <w:p>
            <w:pPr>
              <w:spacing w:after="0"/>
              <w:rPr>
                <w:sz w:val="1"/>
                <w:szCs w:val="1"/>
                <w:color w:val="auto"/>
              </w:rPr>
            </w:pPr>
          </w:p>
        </w:tc>
      </w:tr>
      <w:tr>
        <w:trPr>
          <w:trHeight w:val="108"/>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215804</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KR20120038403</w:t>
            </w:r>
          </w:p>
        </w:tc>
        <w:tc>
          <w:tcPr>
            <w:tcW w:w="0" w:type="dxa"/>
            <w:vAlign w:val="bottom"/>
          </w:tcPr>
          <w:p>
            <w:pPr>
              <w:spacing w:after="0"/>
              <w:rPr>
                <w:sz w:val="1"/>
                <w:szCs w:val="1"/>
                <w:color w:val="auto"/>
              </w:rPr>
            </w:pPr>
          </w:p>
        </w:tc>
      </w:tr>
      <w:tr>
        <w:trPr>
          <w:trHeight w:val="198"/>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10-2011-7028569</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(23.04.2012)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2011/07625</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2011/07625</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3240"/>
              <w:spacing w:after="0"/>
              <w:rPr>
                <w:sz w:val="20"/>
                <w:szCs w:val="20"/>
                <w:color w:val="auto"/>
              </w:rPr>
            </w:pPr>
            <w:r>
              <w:rPr>
                <w:rFonts w:ascii="Times New Roman" w:cs="Times New Roman" w:eastAsia="Times New Roman" w:hAnsi="Times New Roman"/>
                <w:sz w:val="18"/>
                <w:szCs w:val="18"/>
                <w:color w:val="auto"/>
              </w:rPr>
              <w:t>(27.12.2012)</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201108000-9</w:t>
            </w:r>
          </w:p>
        </w:tc>
        <w:tc>
          <w:tcPr>
            <w:tcW w:w="16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SG175839</w:t>
            </w:r>
          </w:p>
        </w:tc>
        <w:tc>
          <w:tcPr>
            <w:tcW w:w="0" w:type="dxa"/>
            <w:vAlign w:val="bottom"/>
          </w:tcPr>
          <w:p>
            <w:pPr>
              <w:spacing w:after="0"/>
              <w:rPr>
                <w:sz w:val="1"/>
                <w:szCs w:val="1"/>
                <w:color w:val="auto"/>
              </w:rPr>
            </w:pPr>
          </w:p>
        </w:tc>
      </w:tr>
      <w:tr>
        <w:trPr>
          <w:trHeight w:val="126"/>
        </w:trPr>
        <w:tc>
          <w:tcPr>
            <w:tcW w:w="20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5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(29.12.2011)</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MX/A/2011/011508</w:t>
            </w:r>
          </w:p>
        </w:tc>
        <w:tc>
          <w:tcPr>
            <w:tcW w:w="1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April 30, 2010</w:t>
            </w: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MX2011011508 (13.02.2012)</w:t>
            </w: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20" w:space="260"/>
            <w:col w:w="8860"/>
          </w:cols>
          <w:pgMar w:left="320" w:top="684" w:right="339" w:bottom="1440" w:gutter="0" w:footer="0" w:header="0"/>
          <w:type w:val="continuous"/>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Exhibit 2.11A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Optioned IP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18"/>
          <w:szCs w:val="18"/>
          <w:b w:val="1"/>
          <w:bCs w:val="1"/>
          <w:color w:val="auto"/>
        </w:rPr>
        <w:t>Gene Therapy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OSR (50%), F. Telethon (50%)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Inventors: Luigi Naldini, Giulia Escobar, Bernhard Rudolf Gentner, Adele Mucci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STATUS</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COUNTRY OR REGION</w:t>
            </w:r>
          </w:p>
        </w:tc>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APPLICATION NUMBER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FILING DATE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PUBLICATION DATE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w w:val="98"/>
              </w:rPr>
              <w:t>PUBLICATION NUMBER</w:t>
            </w:r>
          </w:p>
        </w:tc>
      </w:tr>
      <w:tr>
        <w:trPr>
          <w:trHeight w:val="194"/>
        </w:trPr>
        <w:tc>
          <w:tcPr>
            <w:tcW w:w="12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EXPIRED</w:t>
            </w:r>
          </w:p>
        </w:tc>
        <w:tc>
          <w:tcPr>
            <w:tcW w:w="140" w:type="dxa"/>
            <w:vAlign w:val="bottom"/>
          </w:tcPr>
          <w:p>
            <w:pPr>
              <w:spacing w:after="0"/>
              <w:rPr>
                <w:sz w:val="16"/>
                <w:szCs w:val="16"/>
                <w:color w:val="auto"/>
              </w:rPr>
            </w:pPr>
          </w:p>
        </w:tc>
        <w:tc>
          <w:tcPr>
            <w:tcW w:w="19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UK</w:t>
            </w:r>
          </w:p>
        </w:tc>
        <w:tc>
          <w:tcPr>
            <w:tcW w:w="120" w:type="dxa"/>
            <w:vAlign w:val="bottom"/>
          </w:tcPr>
          <w:p>
            <w:pPr>
              <w:spacing w:after="0"/>
              <w:rPr>
                <w:sz w:val="16"/>
                <w:szCs w:val="16"/>
                <w:color w:val="auto"/>
              </w:rPr>
            </w:pPr>
          </w:p>
        </w:tc>
        <w:tc>
          <w:tcPr>
            <w:tcW w:w="262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UK N.1706410.6</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21.04.2017</w:t>
            </w:r>
          </w:p>
        </w:tc>
        <w:tc>
          <w:tcPr>
            <w:tcW w:w="1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UK</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N.1801511.5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30.01.2018</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PCT</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PCT/EP2018/060238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25.10.2018</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WO2018193119</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2018253959</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21.11.2019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AU2018253959A1</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 11 2019 021953 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21.07.2020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BR112019021953A2</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3,060,145</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25.10.2018</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CA3060145A1</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201880040639.9</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CN110785488A</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EURASIA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201992514</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EA201992514</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18724470.2</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EP3612624A1</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201947046826</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29.11.2019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IN201947046826A</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270028</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IL270028A</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2019-556929</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18.06.2020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JP2020517261A</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MX/a/2019/012602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17.07.2020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MX2019012602</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11201909814W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28.11.2019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SG11201909814WA</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SAUDI ARABIA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519410327</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EA201992514</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2019/06922</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25.10.2018</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ZA201906922</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 KOREA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10-2019-7034111</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KR1020200020677A</w:t>
            </w:r>
          </w:p>
        </w:tc>
      </w:t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PENDING</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USA</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16/604,484</w:t>
            </w: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20.04.2018</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12.03.2020</w:t>
            </w:r>
          </w:p>
        </w:tc>
        <w:tc>
          <w:tcPr>
            <w:tcW w:w="1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US20200078408A1</w:t>
            </w:r>
          </w:p>
        </w:tc>
      </w:tr>
      <w:tr>
        <w:trPr>
          <w:trHeight w:val="439"/>
        </w:trPr>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Exhibit 2.11B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Optioned IP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18"/>
          <w:szCs w:val="18"/>
          <w:b w:val="1"/>
          <w:bCs w:val="1"/>
          <w:color w:val="auto"/>
        </w:rPr>
        <w:t>Gene Therapy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OSR (50%), F. Telethon (50%)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Inventors: Luigi Naldini, Nadia Coltella, Federico Rossari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STATUS</w:t>
            </w:r>
          </w:p>
        </w:tc>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COUNTRY OR REGION</w:t>
            </w:r>
          </w:p>
        </w:tc>
        <w:tc>
          <w:tcPr>
            <w:tcW w:w="30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APPLICATION NUMBER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r>
      <w:tr>
        <w:trPr>
          <w:trHeight w:val="203"/>
        </w:trPr>
        <w:tc>
          <w:tcPr>
            <w:tcW w:w="88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PENDING</w:t>
            </w:r>
          </w:p>
        </w:tc>
        <w:tc>
          <w:tcPr>
            <w:tcW w:w="1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GB</w:t>
            </w:r>
          </w:p>
        </w:tc>
        <w:tc>
          <w:tcPr>
            <w:tcW w:w="2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shd w:val="clear" w:color="auto" w:fill="000000"/>
          </w:tcPr>
          <w:p>
            <w:pPr>
              <w:jc w:val="center"/>
              <w:spacing w:after="0" w:line="202" w:lineRule="exact"/>
              <w:rPr>
                <w:sz w:val="20"/>
                <w:szCs w:val="20"/>
                <w:color w:val="auto"/>
              </w:rPr>
            </w:pPr>
            <w:r>
              <w:rPr>
                <w:rFonts w:ascii="Times New Roman" w:cs="Times New Roman" w:eastAsia="Times New Roman" w:hAnsi="Times New Roman"/>
                <w:sz w:val="18"/>
                <w:szCs w:val="18"/>
                <w:color w:val="auto"/>
                <w:highlight w:val="black"/>
                <w:w w:val="98"/>
              </w:rPr>
              <w:t>GB2303942.3.</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top w:val="single" w:sz="8" w:color="auto"/>
            </w:tcBorders>
          </w:tcPr>
          <w:p>
            <w:pPr>
              <w:jc w:val="right"/>
              <w:ind w:right="790"/>
              <w:spacing w:after="0" w:line="202" w:lineRule="exact"/>
              <w:rPr>
                <w:sz w:val="20"/>
                <w:szCs w:val="20"/>
                <w:color w:val="auto"/>
              </w:rPr>
            </w:pPr>
            <w:r>
              <w:rPr>
                <w:rFonts w:ascii="Times New Roman" w:cs="Times New Roman" w:eastAsia="Times New Roman" w:hAnsi="Times New Roman"/>
                <w:sz w:val="18"/>
                <w:szCs w:val="18"/>
                <w:color w:val="auto"/>
              </w:rPr>
              <w:t>17.03.2023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18"/>
          <w:szCs w:val="18"/>
          <w:b w:val="1"/>
          <w:bCs w:val="1"/>
          <w:color w:val="auto"/>
        </w:rPr>
        <w:t>Gene Therapy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OSR (50%), F. Telethon (50%)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Inventors: Luigi Naldini, Giulia Escobar, Bernhard Rudolf Gentner, Adele Mucci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4"/>
              </w:rPr>
              <w:t>STATUS</w:t>
            </w:r>
          </w:p>
        </w:tc>
        <w:tc>
          <w:tcPr>
            <w:tcW w:w="19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COUNTRY OR REGION</w:t>
            </w:r>
          </w:p>
        </w:tc>
        <w:tc>
          <w:tcPr>
            <w:tcW w:w="140" w:type="dxa"/>
            <w:vAlign w:val="bottom"/>
          </w:tcPr>
          <w:p>
            <w:pPr>
              <w:spacing w:after="0"/>
              <w:rPr>
                <w:sz w:val="22"/>
                <w:szCs w:val="22"/>
                <w:color w:val="auto"/>
              </w:rPr>
            </w:pPr>
          </w:p>
        </w:tc>
        <w:tc>
          <w:tcPr>
            <w:tcW w:w="2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APPLICATION NUMBER</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FILING DATE</w:t>
            </w:r>
          </w:p>
        </w:tc>
        <w:tc>
          <w:tcPr>
            <w:tcW w:w="14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PUBLICATION DATE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w w:val="98"/>
              </w:rPr>
              <w:t>PUBLICATION NUMBER</w:t>
            </w:r>
          </w:p>
        </w:tc>
      </w:tr>
      <w:tr>
        <w:trPr>
          <w:trHeight w:val="194"/>
        </w:trPr>
        <w:tc>
          <w:tcPr>
            <w:tcW w:w="1220" w:type="dxa"/>
            <w:vAlign w:val="bottom"/>
            <w:tcBorders>
              <w:top w:val="single" w:sz="8" w:color="auto"/>
            </w:tcBorders>
          </w:tcPr>
          <w:p>
            <w:pPr>
              <w:jc w:val="center"/>
              <w:ind w:right="370"/>
              <w:spacing w:after="0" w:line="194" w:lineRule="exact"/>
              <w:rPr>
                <w:sz w:val="20"/>
                <w:szCs w:val="20"/>
                <w:color w:val="auto"/>
              </w:rPr>
            </w:pPr>
            <w:r>
              <w:rPr>
                <w:rFonts w:ascii="Times New Roman" w:cs="Times New Roman" w:eastAsia="Times New Roman" w:hAnsi="Times New Roman"/>
                <w:sz w:val="18"/>
                <w:szCs w:val="18"/>
                <w:color w:val="auto"/>
                <w:w w:val="99"/>
              </w:rPr>
              <w:t>EXPIRED</w:t>
            </w:r>
          </w:p>
        </w:tc>
        <w:tc>
          <w:tcPr>
            <w:tcW w:w="140" w:type="dxa"/>
            <w:vAlign w:val="bottom"/>
          </w:tcPr>
          <w:p>
            <w:pPr>
              <w:spacing w:after="0"/>
              <w:rPr>
                <w:sz w:val="16"/>
                <w:szCs w:val="16"/>
                <w:color w:val="auto"/>
              </w:rPr>
            </w:pPr>
          </w:p>
        </w:tc>
        <w:tc>
          <w:tcPr>
            <w:tcW w:w="19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UK</w:t>
            </w:r>
          </w:p>
        </w:tc>
        <w:tc>
          <w:tcPr>
            <w:tcW w:w="140" w:type="dxa"/>
            <w:vAlign w:val="bottom"/>
          </w:tcPr>
          <w:p>
            <w:pPr>
              <w:spacing w:after="0"/>
              <w:rPr>
                <w:sz w:val="16"/>
                <w:szCs w:val="16"/>
                <w:color w:val="auto"/>
              </w:rPr>
            </w:pPr>
          </w:p>
        </w:tc>
        <w:tc>
          <w:tcPr>
            <w:tcW w:w="26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UK N.1706410.6</w:t>
            </w:r>
          </w:p>
        </w:tc>
        <w:tc>
          <w:tcPr>
            <w:tcW w:w="140" w:type="dxa"/>
            <w:vAlign w:val="bottom"/>
          </w:tcPr>
          <w:p>
            <w:pPr>
              <w:spacing w:after="0"/>
              <w:rPr>
                <w:sz w:val="16"/>
                <w:szCs w:val="16"/>
                <w:color w:val="auto"/>
              </w:rPr>
            </w:pPr>
          </w:p>
        </w:tc>
        <w:tc>
          <w:tcPr>
            <w:tcW w:w="11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21.04.2017</w:t>
            </w:r>
          </w:p>
        </w:tc>
        <w:tc>
          <w:tcPr>
            <w:tcW w:w="1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16"/>
        </w:trPr>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EXPIRED</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UK</w:t>
            </w: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UK N.1801511.5</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30.01.2018</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EXPIRED</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PCT</w:t>
            </w: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PCT/EP2018/060238</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25.10.2018</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WO2018193119</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2018253959</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21.11.2019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AU2018253959A1</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 11 2019 021953 6.</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21.07.2020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BR112019021953A2</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3,060,145</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25.10.2018</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CA3060145A1</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201880040639.9</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CN110785488A</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EURASIA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201992514</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EA201992514</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18724470.2</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EP3612624A1</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201947046826</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29.11.2019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IN201947046826A</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270028</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31.12.2019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IL270028A</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2019-556929</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18.06.2020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JP2020517261A</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MX/a/2019/012602</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17.07.2020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MX2019012602</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11201909814W</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28.11.2019</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SG11201909814WA</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SAUDI ARABIA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519410327</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25.02.2020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EA201992514</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AFRICA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2019/06922</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25.10.2018</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ZA201906922</w:t>
            </w:r>
          </w:p>
        </w:tc>
      </w:tr>
      <w:tr>
        <w:trPr>
          <w:trHeight w:val="216"/>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KOREA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10-2019-7034111</w:t>
            </w:r>
          </w:p>
        </w:tc>
        <w:tc>
          <w:tcPr>
            <w:tcW w:w="1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26.02.2020</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KR1020200020677A</w:t>
            </w:r>
          </w:p>
        </w:tc>
      </w:tr>
      <w:tr>
        <w:trPr>
          <w:trHeight w:val="238"/>
        </w:trPr>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PENDING</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USA</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16/604,484</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20.04.2018</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12.03.2020</w:t>
            </w:r>
          </w:p>
        </w:tc>
        <w:tc>
          <w:tcPr>
            <w:tcW w:w="1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US20200078408A1</w:t>
            </w:r>
          </w:p>
        </w:tc>
      </w:tr>
      <w:tr>
        <w:trPr>
          <w:trHeight w:val="439"/>
        </w:trPr>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Exceptions to OSR’s additional representations and 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exceptions to the representations and warranties set forth by Section 11.2 of the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11.2(a)</w:t>
      </w:r>
    </w:p>
    <w:p>
      <w:pPr>
        <w:spacing w:after="0" w:line="225" w:lineRule="exact"/>
        <w:rPr>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Lentigen know-how</w:t>
      </w:r>
    </w:p>
    <w:p>
      <w:pPr>
        <w:spacing w:after="0" w:line="225" w:lineRule="exact"/>
        <w:rPr>
          <w:rFonts w:ascii="Times New Roman" w:cs="Times New Roman" w:eastAsia="Times New Roman" w:hAnsi="Times New Roman"/>
          <w:sz w:val="18"/>
          <w:szCs w:val="18"/>
          <w:b w:val="1"/>
          <w:bCs w:val="1"/>
          <w:color w:val="auto"/>
        </w:rPr>
      </w:pPr>
    </w:p>
    <w:p>
      <w:pPr>
        <w:jc w:val="both"/>
        <w:ind w:left="13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Know How Sublicense Agreement </w:t>
      </w:r>
      <w:r>
        <w:rPr>
          <w:rFonts w:ascii="Times New Roman" w:cs="Times New Roman" w:eastAsia="Times New Roman" w:hAnsi="Times New Roman"/>
          <w:sz w:val="18"/>
          <w:szCs w:val="18"/>
          <w:color w:val="auto"/>
        </w:rPr>
        <w:t>by and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black"/>
        </w:rPr>
        <w:t>GlaxoSmithKline Intellectual Property Development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Ospedale San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Raffaele and Fondazione Telethon dated July 18, 2014. Under such agreement, OSR is willing to grant Genenta a non-exclusive, worldwide sublicense to use the “</w:t>
      </w:r>
      <w:r>
        <w:rPr>
          <w:rFonts w:ascii="Times New Roman" w:cs="Times New Roman" w:eastAsia="Times New Roman" w:hAnsi="Times New Roman"/>
          <w:sz w:val="18"/>
          <w:szCs w:val="18"/>
          <w:i w:val="1"/>
          <w:iCs w:val="1"/>
          <w:color w:val="auto"/>
        </w:rPr>
        <w:t>Lentigen know how</w:t>
      </w:r>
      <w:r>
        <w:rPr>
          <w:rFonts w:ascii="Times New Roman" w:cs="Times New Roman" w:eastAsia="Times New Roman" w:hAnsi="Times New Roman"/>
          <w:sz w:val="18"/>
          <w:szCs w:val="18"/>
          <w:color w:val="auto"/>
        </w:rPr>
        <w:t>” in the Field of Use for the Term. Such know how is not be sublicensable by Genenta to any third party.</w:t>
      </w:r>
    </w:p>
    <w:p>
      <w:pPr>
        <w:spacing w:after="0" w:line="178"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Please note that </w:t>
      </w:r>
      <w:r>
        <w:rPr>
          <w:rFonts w:ascii="Times New Roman" w:cs="Times New Roman" w:eastAsia="Times New Roman" w:hAnsi="Times New Roman"/>
          <w:sz w:val="18"/>
          <w:szCs w:val="18"/>
          <w:color w:val="auto"/>
          <w:highlight w:val="black"/>
        </w:rPr>
        <w:t>GlaxoSmithKline Intellectual Property Development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shall have no ownership rights to the improvements made to the Lentigen Know How to the extent that such improvements have are not jointly created by Telethon-OSR and </w:t>
      </w:r>
      <w:r>
        <w:rPr>
          <w:rFonts w:ascii="Times New Roman" w:cs="Times New Roman" w:eastAsia="Times New Roman" w:hAnsi="Times New Roman"/>
          <w:sz w:val="18"/>
          <w:szCs w:val="18"/>
          <w:color w:val="auto"/>
          <w:highlight w:val="black"/>
        </w:rPr>
        <w:t>GlaxoSmithKline Intellectual Property Development Limited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shall have a non-exclusive, sublicensable, perpetual, royalty-free, fully</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rPr>
        <w:t xml:space="preserve">paid-up right and license under Telethon-OSR improvements to the Lentigen Know-How to use such Telethon-OSR’s improvements in connection with the </w:t>
      </w:r>
      <w:r>
        <w:rPr>
          <w:rFonts w:ascii="Times New Roman" w:cs="Times New Roman" w:eastAsia="Times New Roman" w:hAnsi="Times New Roman"/>
          <w:sz w:val="18"/>
          <w:szCs w:val="18"/>
          <w:color w:val="auto"/>
          <w:highlight w:val="black"/>
        </w:rPr>
        <w:t>GSK Alliance</w:t>
      </w:r>
      <w:r>
        <w:rPr>
          <w:rFonts w:ascii="Times New Roman" w:cs="Times New Roman" w:eastAsia="Times New Roman" w:hAnsi="Times New Roman"/>
          <w:sz w:val="18"/>
          <w:szCs w:val="18"/>
          <w:color w:val="auto"/>
        </w:rPr>
        <w:t xml:space="preserve"> and for internal research and development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11.2(b)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11.2(c)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11.2(d)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11.2(e)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4" w:name="page255"/>
    <w:bookmarkEnd w:id="254"/>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(Principal Executive Officer) pursuant to Rule 13a-14(a) of the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Pierluigi Paracchi, certify that:</w:t>
      </w:r>
    </w:p>
    <w:p>
      <w:pPr>
        <w:spacing w:after="0" w:line="225" w:lineRule="exact"/>
        <w:rPr>
          <w:sz w:val="20"/>
          <w:szCs w:val="20"/>
          <w:color w:val="auto"/>
        </w:rPr>
      </w:pPr>
    </w:p>
    <w:p>
      <w:pPr>
        <w:ind w:left="180" w:hanging="172"/>
        <w:spacing w:after="0"/>
        <w:tabs>
          <w:tab w:leader="none" w:pos="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Genenta Science S.p.A. (the “Company”);</w:t>
      </w:r>
    </w:p>
    <w:p>
      <w:pPr>
        <w:spacing w:after="0" w:line="225" w:lineRule="exact"/>
        <w:rPr>
          <w:rFonts w:ascii="Times New Roman" w:cs="Times New Roman" w:eastAsia="Times New Roman" w:hAnsi="Times New Roman"/>
          <w:sz w:val="18"/>
          <w:szCs w:val="18"/>
          <w:color w:val="auto"/>
        </w:rPr>
      </w:pPr>
    </w:p>
    <w:p>
      <w:pPr>
        <w:ind w:right="20" w:firstLine="15"/>
        <w:spacing w:after="0" w:line="282" w:lineRule="auto"/>
        <w:tabs>
          <w:tab w:leader="none" w:pos="2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5"/>
        <w:spacing w:after="0" w:line="282" w:lineRule="auto"/>
        <w:tabs>
          <w:tab w:leader="none" w:pos="21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5"/>
        <w:spacing w:after="0" w:line="266" w:lineRule="auto"/>
        <w:tabs>
          <w:tab w:leader="none" w:pos="21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3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5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15"/>
        <w:spacing w:after="0" w:line="266" w:lineRule="auto"/>
        <w:tabs>
          <w:tab w:leader="none" w:pos="1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3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2023</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5" w:name="page256"/>
    <w:bookmarkEnd w:id="255"/>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Financial Officer (Principal Financial Officer) pursuant to Rule 13a-14(a) of the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 Slansky, certify that:</w:t>
      </w:r>
    </w:p>
    <w:p>
      <w:pPr>
        <w:spacing w:after="0" w:line="225" w:lineRule="exact"/>
        <w:rPr>
          <w:sz w:val="20"/>
          <w:szCs w:val="20"/>
          <w:color w:val="auto"/>
        </w:rPr>
      </w:pPr>
    </w:p>
    <w:p>
      <w:pPr>
        <w:ind w:left="180" w:hanging="172"/>
        <w:spacing w:after="0"/>
        <w:tabs>
          <w:tab w:leader="none" w:pos="1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Genenta Science S.p.A. (the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0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6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2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3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2023</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6" w:name="page257"/>
    <w:bookmarkEnd w:id="256"/>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Chief Financial Officer pursuant to 18 U.S.C.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U.S.C. Section 1350 of the Sarbanes-Oxley Act of 2002 (subsections (a) and (b) of Section 1350, Chapter 63 of Title 18, United States Code), as adopted pursuant to Section 906 of the Sarbanes-Oxley Act of 2002, each of the undersigned officers of Genenta Science S.p.A. (the “Company”), does hereby certify, to such officer’s knowledge, that:</w:t>
      </w:r>
    </w:p>
    <w:p>
      <w:pPr>
        <w:spacing w:after="0" w:line="176" w:lineRule="exact"/>
        <w:rPr>
          <w:sz w:val="20"/>
          <w:szCs w:val="20"/>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for the year ended December 31, 2022 of the Company (the “Annual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GENENTA SCIENCE S.P.A.</w:t>
            </w:r>
          </w:p>
        </w:tc>
      </w:tr>
      <w:tr>
        <w:trPr>
          <w:trHeight w:val="4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April 21, 2023</w:t>
            </w: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Pierluigi Paracchi</w:t>
            </w:r>
          </w:p>
        </w:tc>
      </w:tr>
      <w:tr>
        <w:trPr>
          <w:trHeight w:val="198"/>
        </w:trPr>
        <w:tc>
          <w:tcPr>
            <w:tcW w:w="3340" w:type="dxa"/>
            <w:vAlign w:val="bottom"/>
          </w:tcPr>
          <w:p>
            <w:pPr>
              <w:spacing w:after="0"/>
              <w:rPr>
                <w:sz w:val="17"/>
                <w:szCs w:val="17"/>
                <w:color w:val="auto"/>
              </w:rPr>
            </w:pPr>
          </w:p>
        </w:tc>
        <w:tc>
          <w:tcPr>
            <w:tcW w:w="2860" w:type="dxa"/>
            <w:vAlign w:val="bottom"/>
          </w:tcPr>
          <w:p>
            <w:pPr>
              <w:ind w:left="2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Pierluigi Paracchi</w:t>
            </w:r>
          </w:p>
        </w:tc>
      </w:tr>
      <w:tr>
        <w:trPr>
          <w:trHeight w:val="216"/>
        </w:trPr>
        <w:tc>
          <w:tcPr>
            <w:tcW w:w="3340" w:type="dxa"/>
            <w:vAlign w:val="bottom"/>
          </w:tcPr>
          <w:p>
            <w:pPr>
              <w:spacing w:after="0"/>
              <w:rPr>
                <w:sz w:val="18"/>
                <w:szCs w:val="18"/>
                <w:color w:val="auto"/>
              </w:rPr>
            </w:pP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April 21, 2023</w:t>
            </w: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B. Slansky</w:t>
            </w:r>
          </w:p>
        </w:tc>
      </w:tr>
      <w:tr>
        <w:trPr>
          <w:trHeight w:val="198"/>
        </w:trPr>
        <w:tc>
          <w:tcPr>
            <w:tcW w:w="3340" w:type="dxa"/>
            <w:vAlign w:val="bottom"/>
          </w:tcPr>
          <w:p>
            <w:pPr>
              <w:spacing w:after="0"/>
              <w:rPr>
                <w:sz w:val="17"/>
                <w:szCs w:val="17"/>
                <w:color w:val="auto"/>
              </w:rPr>
            </w:pPr>
          </w:p>
        </w:tc>
        <w:tc>
          <w:tcPr>
            <w:tcW w:w="2860" w:type="dxa"/>
            <w:vAlign w:val="bottom"/>
          </w:tcPr>
          <w:p>
            <w:pPr>
              <w:ind w:left="2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 B. Slansky</w:t>
            </w:r>
          </w:p>
        </w:tc>
      </w:tr>
      <w:tr>
        <w:trPr>
          <w:trHeight w:val="216"/>
        </w:trPr>
        <w:tc>
          <w:tcPr>
            <w:tcW w:w="3340" w:type="dxa"/>
            <w:vAlign w:val="bottom"/>
          </w:tcPr>
          <w:p>
            <w:pPr>
              <w:spacing w:after="0"/>
              <w:rPr>
                <w:sz w:val="18"/>
                <w:szCs w:val="18"/>
                <w:color w:val="auto"/>
              </w:rPr>
            </w:pPr>
          </w:p>
        </w:tc>
        <w:tc>
          <w:tcPr>
            <w:tcW w:w="2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66"/>
        </w:trPr>
        <w:tc>
          <w:tcPr>
            <w:tcW w:w="3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1."/>
      <w:numFmt w:val="upperLetter"/>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lvl w:ilvl="1">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1)"/>
      <w:numFmt w:val="decimal"/>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1."/>
      <w:numFmt w:val="decimal"/>
      <w:start w:val="1"/>
    </w:lvl>
  </w:abstractNum>
  <w:abstractNum w:abstractNumId="52">
    <w:nsid w:val="53B0A9E"/>
    <w:multiLevelType w:val="hybridMultilevel"/>
    <w:lvl w:ilvl="0">
      <w:lvlJc w:val="left"/>
      <w:lvlText w:val="%1)"/>
      <w:numFmt w:val="lowerLetter"/>
      <w:start w:val="1"/>
    </w:lvl>
  </w:abstractNum>
  <w:abstractNum w:abstractNumId="53">
    <w:nsid w:val="34FD6B4F"/>
    <w:multiLevelType w:val="hybridMultilevel"/>
    <w:lvl w:ilvl="0">
      <w:lvlJc w:val="left"/>
      <w:lvlText w:val="(%1)"/>
      <w:numFmt w:val="decimal"/>
      <w:start w:val="1"/>
    </w:lvl>
    <w:lvl w:ilvl="1">
      <w:lvlJc w:val="left"/>
      <w:lvlText w:val="%2)"/>
      <w:numFmt w:val="lowerLetter"/>
      <w:start w:val="1"/>
    </w:lvl>
  </w:abstractNum>
  <w:abstractNum w:abstractNumId="54">
    <w:nsid w:val="5915FF32"/>
    <w:multiLevelType w:val="hybridMultilevel"/>
    <w:lvl w:ilvl="0">
      <w:lvlJc w:val="left"/>
      <w:lvlText w:val="(%1)"/>
      <w:numFmt w:val="lowerRoman"/>
      <w:start w:val="1"/>
    </w:lvl>
  </w:abstractNum>
  <w:abstractNum w:abstractNumId="55">
    <w:nsid w:val="56438D15"/>
    <w:multiLevelType w:val="hybridMultilevel"/>
    <w:lvl w:ilvl="0">
      <w:lvlJc w:val="left"/>
      <w:lvlText w:val="%1)"/>
      <w:numFmt w:val="upperLetter"/>
      <w:start w:val="1"/>
    </w:lvl>
  </w:abstractNum>
  <w:abstractNum w:abstractNumId="56">
    <w:nsid w:val="519E3149"/>
    <w:multiLevelType w:val="hybridMultilevel"/>
    <w:lvl w:ilvl="0">
      <w:lvlJc w:val="left"/>
      <w:lvlText w:val="%1)"/>
      <w:numFmt w:val="upperLetter"/>
      <w:start w:val="2"/>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1)"/>
      <w:numFmt w:val="lowerRoman"/>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lvl w:ilvl="1">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1."/>
      <w:numFmt w:val="decimal"/>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1)"/>
      <w:numFmt w:val="lowerLetter"/>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1)"/>
      <w:numFmt w:val="decimal"/>
      <w:start w:val="2"/>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1)"/>
      <w:numFmt w:val="decimal"/>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
      <w:numFmt w:val="bullet"/>
      <w:start w:val="1"/>
    </w:lvl>
    <w:lvl w:ilvl="1">
      <w:lvlJc w:val="left"/>
      <w:lvlText w:val="(%2)"/>
      <w:numFmt w:val="lowerRoman"/>
      <w:start w:val="1"/>
    </w:lvl>
  </w:abstractNum>
  <w:abstractNum w:abstractNumId="86">
    <w:nsid w:val="754342"/>
    <w:multiLevelType w:val="hybridMultilevel"/>
    <w:lvl w:ilvl="0">
      <w:lvlJc w:val="left"/>
      <w:lvlText w:val="(%1)"/>
      <w:numFmt w:val="lowerRoman"/>
      <w:start w:val="2"/>
    </w:lvl>
  </w:abstractNum>
  <w:abstractNum w:abstractNumId="87">
    <w:nsid w:val="69E7F3E5"/>
    <w:multiLevelType w:val="hybridMultilevel"/>
    <w:lvl w:ilvl="0">
      <w:lvlJc w:val="left"/>
      <w:lvlText w:val="%1."/>
      <w:numFmt w:val="upperLetter"/>
      <w:start w:val="3"/>
    </w:lvl>
    <w:lvl w:ilvl="1">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1)"/>
      <w:numFmt w:val="decimal"/>
      <w:start w:val="1"/>
    </w:lvl>
  </w:abstractNum>
  <w:abstractNum w:abstractNumId="90">
    <w:nsid w:val="37DF2233"/>
    <w:multiLevelType w:val="hybridMultilevel"/>
    <w:lvl w:ilvl="0">
      <w:lvlJc w:val="left"/>
      <w:lvlText w:val="(%1)"/>
      <w:numFmt w:val="lowerLetter"/>
      <w:start w:val="1"/>
    </w:lvl>
  </w:abstractNum>
  <w:abstractNum w:abstractNumId="91">
    <w:nsid w:val="7AB49DAF"/>
    <w:multiLevelType w:val="hybridMultilevel"/>
    <w:lvl w:ilvl="0">
      <w:lvlJc w:val="left"/>
      <w:lvlText w:val="(%1)"/>
      <w:numFmt w:val="lowerLetter"/>
      <w:start w:val="2"/>
    </w:lvl>
  </w:abstractNum>
  <w:abstractNum w:abstractNumId="92">
    <w:nsid w:val="759F82CD"/>
    <w:multiLevelType w:val="hybridMultilevel"/>
    <w:lvl w:ilvl="0">
      <w:lvlJc w:val="left"/>
      <w:lvlText w:val="(%1)"/>
      <w:numFmt w:val="lowerLetter"/>
      <w:start w:val="1"/>
    </w:lvl>
  </w:abstractNum>
  <w:abstractNum w:abstractNumId="93">
    <w:nsid w:val="61E74EA3"/>
    <w:multiLevelType w:val="hybridMultilevel"/>
    <w:lvl w:ilvl="0">
      <w:lvlJc w:val="left"/>
      <w:lvlText w:val="(%1)"/>
      <w:numFmt w:val="lowerLetter"/>
      <w:start w:val="3"/>
    </w:lvl>
  </w:abstractNum>
  <w:abstractNum w:abstractNumId="94">
    <w:nsid w:val="597B4D84"/>
    <w:multiLevelType w:val="hybridMultilevel"/>
    <w:lvl w:ilvl="0">
      <w:lvlJc w:val="left"/>
      <w:lvlText w:val="(%1)"/>
      <w:numFmt w:val="lowerRoman"/>
      <w:start w:val="1"/>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1)"/>
      <w:numFmt w:val="lowerRoman"/>
      <w:start w:val="1"/>
    </w:lvl>
  </w:abstractNum>
  <w:abstractNum w:abstractNumId="98">
    <w:nsid w:val="631B64D4"/>
    <w:multiLevelType w:val="hybridMultilevel"/>
    <w:lvl w:ilvl="0">
      <w:lvlJc w:val="left"/>
      <w:lvlText w:val="(%1)"/>
      <w:numFmt w:val="lowerRoman"/>
      <w:start w:val="3"/>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amp;"/>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1."/>
      <w:numFmt w:val="decimal"/>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1)"/>
      <w:numFmt w:val="lowerLetter"/>
      <w:start w:val="17"/>
    </w:lvl>
    <w:lvl w:ilvl="1">
      <w:lvlJc w:val="left"/>
      <w:lvlText w:val="●"/>
      <w:numFmt w:val="bullet"/>
      <w:start w:val="1"/>
    </w:lvl>
  </w:abstractNum>
  <w:abstractNum w:abstractNumId="110">
    <w:nsid w:val="49C0E823"/>
    <w:multiLevelType w:val="hybridMultilevel"/>
    <w:lvl w:ilvl="0">
      <w:lvlJc w:val="left"/>
      <w:lvlText w:val="%1."/>
      <w:numFmt w:val="lowerLetter"/>
      <w:start w:val="1"/>
    </w:lvl>
  </w:abstractNum>
  <w:abstractNum w:abstractNumId="111">
    <w:nsid w:val="14D53685"/>
    <w:multiLevelType w:val="hybridMultilevel"/>
    <w:lvl w:ilvl="0">
      <w:lvlJc w:val="left"/>
      <w:lvlText w:val="%1."/>
      <w:numFmt w:val="lowerLetter"/>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
      <w:numFmt w:val="bullet"/>
      <w:start w:val="1"/>
    </w:lvl>
  </w:abstractNum>
  <w:abstractNum w:abstractNumId="114">
    <w:nsid w:val="3F06ECB2"/>
    <w:multiLevelType w:val="hybridMultilevel"/>
    <w:lvl w:ilvl="0">
      <w:lvlJc w:val="left"/>
      <w:lvlText w:val="●"/>
      <w:numFmt w:val="bullet"/>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1)"/>
      <w:numFmt w:val="lowerLetter"/>
      <w:start w:val="1"/>
    </w:lvl>
  </w:abstractNum>
  <w:abstractNum w:abstractNumId="119">
    <w:nsid w:val="17180B0B"/>
    <w:multiLevelType w:val="hybridMultilevel"/>
    <w:lvl w:ilvl="0">
      <w:lvlJc w:val="left"/>
      <w:lvlText w:val="●"/>
      <w:numFmt w:val="bullet"/>
      <w:start w:val="1"/>
    </w:lvl>
  </w:abstractNum>
  <w:abstractNum w:abstractNumId="120">
    <w:nsid w:val="579328B9"/>
    <w:multiLevelType w:val="hybridMultilevel"/>
    <w:lvl w:ilvl="0">
      <w:lvlJc w:val="left"/>
      <w:lvlText w:val="1"/>
      <w:numFmt w:val="bullet"/>
      <w:start w:val="1"/>
    </w:lvl>
  </w:abstractNum>
  <w:abstractNum w:abstractNumId="121">
    <w:nsid w:val="5D205E20"/>
    <w:multiLevelType w:val="hybridMultilevel"/>
    <w:lvl w:ilvl="0">
      <w:lvlJc w:val="left"/>
      <w:lvlText w:val="-"/>
      <w:numFmt w:val="bullet"/>
      <w:start w:val="1"/>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
      <w:numFmt w:val="bullet"/>
      <w:start w:val="1"/>
    </w:lvl>
  </w:abstractNum>
  <w:abstractNum w:abstractNumId="124">
    <w:nsid w:val="3F07ACC3"/>
    <w:multiLevelType w:val="hybridMultilevel"/>
    <w:lvl w:ilvl="0">
      <w:lvlJc w:val="left"/>
      <w:lvlText w:val="%1)"/>
      <w:numFmt w:val="lowerLetter"/>
      <w:start w:val="1"/>
    </w:lvl>
  </w:abstractNum>
  <w:abstractNum w:abstractNumId="125">
    <w:nsid w:val="6B47F63E"/>
    <w:multiLevelType w:val="hybridMultilevel"/>
    <w:lvl w:ilvl="0">
      <w:lvlJc w:val="left"/>
      <w:lvlText w:val="-"/>
      <w:numFmt w:val="bullet"/>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1)"/>
      <w:numFmt w:val="lowerLetter"/>
      <w:start w:val="1"/>
    </w:lvl>
  </w:abstractNum>
  <w:abstractNum w:abstractNumId="128">
    <w:nsid w:val="1C695DEC"/>
    <w:multiLevelType w:val="hybridMultilevel"/>
    <w:lvl w:ilvl="0">
      <w:lvlJc w:val="left"/>
      <w:lvlText w:val="%1)"/>
      <w:numFmt w:val="lowerLetter"/>
      <w:start w:val="1"/>
    </w:lvl>
  </w:abstractNum>
  <w:abstractNum w:abstractNumId="129">
    <w:nsid w:val="3FCFAED9"/>
    <w:multiLevelType w:val="hybridMultilevel"/>
    <w:lvl w:ilvl="0">
      <w:lvlJc w:val="left"/>
      <w:lvlText w:val="%1)"/>
      <w:numFmt w:val="lowerLetter"/>
      <w:start w:val="1"/>
    </w:lvl>
  </w:abstractNum>
  <w:abstractNum w:abstractNumId="130">
    <w:nsid w:val="F856867"/>
    <w:multiLevelType w:val="hybridMultilevel"/>
    <w:lvl w:ilvl="0">
      <w:lvlJc w:val="left"/>
      <w:lvlText w:val="%1)"/>
      <w:numFmt w:val="lowerLetter"/>
      <w:start w:val="1"/>
    </w:lvl>
  </w:abstractNum>
  <w:abstractNum w:abstractNumId="131">
    <w:nsid w:val="11B1CC33"/>
    <w:multiLevelType w:val="hybridMultilevel"/>
    <w:lvl w:ilvl="0">
      <w:lvlJc w:val="left"/>
      <w:lvlText w:val="-"/>
      <w:numFmt w:val="bullet"/>
      <w:start w:val="1"/>
    </w:lvl>
  </w:abstractNum>
  <w:abstractNum w:abstractNumId="132">
    <w:nsid w:val="2E22FBB7"/>
    <w:multiLevelType w:val="hybridMultilevel"/>
    <w:lvl w:ilvl="0">
      <w:lvlJc w:val="left"/>
      <w:lvlText w:val="%1)"/>
      <w:numFmt w:val="lowerLetter"/>
      <w:start w:val="1"/>
    </w:lvl>
    <w:lvl w:ilvl="1">
      <w:lvlJc w:val="left"/>
      <w:lvlText w:val="(%2)"/>
      <w:numFmt w:val="lowerRoman"/>
      <w:start w:val="2"/>
    </w:lvl>
  </w:abstractNum>
  <w:abstractNum w:abstractNumId="133">
    <w:nsid w:val="29934699"/>
    <w:multiLevelType w:val="hybridMultilevel"/>
    <w:lvl w:ilvl="0">
      <w:lvlJc w:val="left"/>
      <w:lvlText w:val="%1)"/>
      <w:numFmt w:val="lowerLetter"/>
      <w:start w:val="2"/>
    </w:lvl>
  </w:abstractNum>
  <w:abstractNum w:abstractNumId="134">
    <w:nsid w:val="77485850"/>
    <w:multiLevelType w:val="hybridMultilevel"/>
    <w:lvl w:ilvl="0">
      <w:lvlJc w:val="left"/>
      <w:lvlText w:val="(%1)"/>
      <w:numFmt w:val="upperLetter"/>
      <w:start w:val="1"/>
    </w:lvl>
  </w:abstractNum>
  <w:abstractNum w:abstractNumId="135">
    <w:nsid w:val="744939A3"/>
    <w:multiLevelType w:val="hybridMultilevel"/>
    <w:lvl w:ilvl="0">
      <w:lvlJc w:val="left"/>
      <w:lvlText w:val="(%1)"/>
      <w:numFmt w:val="upperLetter"/>
      <w:start w:val="3"/>
    </w:lvl>
    <w:lvl w:ilvl="1">
      <w:lvlJc w:val="left"/>
      <w:lvlText w:val="(%2)"/>
      <w:numFmt w:val="lowerLetter"/>
      <w:start w:val="1"/>
    </w:lvl>
    <w:lvl w:ilvl="2">
      <w:lvlJc w:val="left"/>
      <w:lvlText w:val="*"/>
      <w:numFmt w:val="bullet"/>
      <w:start w:val="1"/>
    </w:lvl>
  </w:abstractNum>
  <w:abstractNum w:abstractNumId="136">
    <w:nsid w:val="4FA0D2E3"/>
    <w:multiLevelType w:val="hybridMultilevel"/>
    <w:lvl w:ilvl="0">
      <w:lvlJc w:val="left"/>
      <w:lvlText w:val="%1."/>
      <w:numFmt w:val="decimal"/>
      <w:start w:val="1"/>
    </w:lvl>
  </w:abstractNum>
  <w:abstractNum w:abstractNumId="137">
    <w:nsid w:val="6B1D2C14"/>
    <w:multiLevelType w:val="hybridMultilevel"/>
    <w:lvl w:ilvl="0">
      <w:lvlJc w:val="left"/>
      <w:lvlText w:val="(%1)"/>
      <w:numFmt w:val="lowerRoman"/>
      <w:start w:val="1"/>
    </w:lvl>
  </w:abstractNum>
  <w:abstractNum w:abstractNumId="138">
    <w:nsid w:val="68B867D3"/>
    <w:multiLevelType w:val="hybridMultilevel"/>
    <w:lvl w:ilvl="0">
      <w:lvlJc w:val="left"/>
      <w:lvlText w:val="(%1)"/>
      <w:numFmt w:val="lowerRoman"/>
      <w:start w:val="1"/>
    </w:lvl>
  </w:abstractNum>
  <w:abstractNum w:abstractNumId="139">
    <w:nsid w:val="3F7F5DD9"/>
    <w:multiLevelType w:val="hybridMultilevel"/>
    <w:lvl w:ilvl="0">
      <w:lvlJc w:val="left"/>
      <w:lvlText w:val="(%1)"/>
      <w:numFmt w:val="lowerRoman"/>
      <w:start w:val="3"/>
    </w:lvl>
  </w:abstractNum>
  <w:abstractNum w:abstractNumId="140">
    <w:nsid w:val="2AE05A34"/>
    <w:multiLevelType w:val="hybridMultilevel"/>
    <w:lvl w:ilvl="0">
      <w:lvlJc w:val="left"/>
      <w:lvlText w:val="(%1)"/>
      <w:numFmt w:val="lowerLetter"/>
      <w:start w:val="1"/>
    </w:lvl>
    <w:lvl w:ilvl="1">
      <w:lvlJc w:val="left"/>
      <w:lvlText w:val="(%2)"/>
      <w:numFmt w:val="lowerRoman"/>
      <w:start w:val="1"/>
    </w:lvl>
  </w:abstractNum>
  <w:abstractNum w:abstractNumId="141">
    <w:nsid w:val="32794FF7"/>
    <w:multiLevelType w:val="hybridMultilevel"/>
    <w:lvl w:ilvl="0">
      <w:lvlJc w:val="left"/>
      <w:lvlText w:val="(%1)"/>
      <w:numFmt w:val="lowerRoman"/>
      <w:start w:val="2"/>
    </w:lvl>
  </w:abstractNum>
  <w:abstractNum w:abstractNumId="142">
    <w:nsid w:val="5454945E"/>
    <w:multiLevelType w:val="hybridMultilevel"/>
    <w:lvl w:ilvl="0">
      <w:lvlJc w:val="left"/>
      <w:lvlText w:val="(%1)"/>
      <w:numFmt w:val="lowerRoman"/>
      <w:start w:val="3"/>
    </w:lvl>
  </w:abstractNum>
  <w:abstractNum w:abstractNumId="143">
    <w:nsid w:val="4DEFDFA0"/>
    <w:multiLevelType w:val="hybridMultilevel"/>
    <w:lvl w:ilvl="0">
      <w:lvlJc w:val="left"/>
      <w:lvlText w:val="(%1)"/>
      <w:numFmt w:val="lowerLetter"/>
      <w:start w:val="1"/>
    </w:lvl>
  </w:abstractNum>
  <w:abstractNum w:abstractNumId="144">
    <w:nsid w:val="2123D5F2"/>
    <w:multiLevelType w:val="hybridMultilevel"/>
    <w:lvl w:ilvl="0">
      <w:lvlJc w:val="left"/>
      <w:lvlText w:val="%1."/>
      <w:numFmt w:val="decimal"/>
      <w:start w:val="2"/>
    </w:lvl>
  </w:abstractNum>
  <w:abstractNum w:abstractNumId="145">
    <w:nsid w:val="135B8110"/>
    <w:multiLevelType w:val="hybridMultilevel"/>
    <w:lvl w:ilvl="0">
      <w:lvlJc w:val="left"/>
      <w:lvlText w:val="(%1)"/>
      <w:numFmt w:val="lowerLetter"/>
      <w:start w:val="1"/>
    </w:lvl>
  </w:abstractNum>
  <w:abstractNum w:abstractNumId="146">
    <w:nsid w:val="94927A8"/>
    <w:multiLevelType w:val="hybridMultilevel"/>
    <w:lvl w:ilvl="0">
      <w:lvlJc w:val="left"/>
      <w:lvlText w:val="(%1)"/>
      <w:numFmt w:val="lowerRoman"/>
      <w:start w:val="1"/>
    </w:lvl>
  </w:abstractNum>
  <w:abstractNum w:abstractNumId="147">
    <w:nsid w:val="DCDF8F6"/>
    <w:multiLevelType w:val="hybridMultilevel"/>
    <w:lvl w:ilvl="0">
      <w:lvlJc w:val="left"/>
      <w:lvlText w:val="(%1)"/>
      <w:numFmt w:val="lowerRoman"/>
      <w:start w:val="2"/>
    </w:lvl>
  </w:abstractNum>
  <w:abstractNum w:abstractNumId="148">
    <w:nsid w:val="52D7B105"/>
    <w:multiLevelType w:val="hybridMultilevel"/>
    <w:lvl w:ilvl="0">
      <w:lvlJc w:val="left"/>
      <w:lvlText w:val="(%1)"/>
      <w:numFmt w:val="lowerRoman"/>
      <w:start w:val="1"/>
    </w:lvl>
    <w:lvl w:ilvl="1">
      <w:lvlJc w:val="left"/>
      <w:lvlText w:val="-"/>
      <w:numFmt w:val="bullet"/>
      <w:start w:val="1"/>
    </w:lvl>
  </w:abstractNum>
  <w:abstractNum w:abstractNumId="149">
    <w:nsid w:val="2E8A6394"/>
    <w:multiLevelType w:val="hybridMultilevel"/>
    <w:lvl w:ilvl="0">
      <w:lvlJc w:val="left"/>
      <w:lvlText w:val="(%1)"/>
      <w:numFmt w:val="lowerRoman"/>
      <w:start w:val="4"/>
    </w:lvl>
    <w:lvl w:ilvl="1">
      <w:lvlJc w:val="left"/>
      <w:lvlText w:val="-"/>
      <w:numFmt w:val="bullet"/>
      <w:start w:val="1"/>
    </w:lvl>
  </w:abstractNum>
  <w:abstractNum w:abstractNumId="150">
    <w:nsid w:val="24E60401"/>
    <w:multiLevelType w:val="hybridMultilevel"/>
    <w:lvl w:ilvl="0">
      <w:lvlJc w:val="left"/>
      <w:lvlText w:val="(%1)"/>
      <w:numFmt w:val="lowerRoman"/>
      <w:start w:val="6"/>
    </w:lvl>
  </w:abstractNum>
  <w:abstractNum w:abstractNumId="151">
    <w:nsid w:val="2A6AD9BE"/>
    <w:multiLevelType w:val="hybridMultilevel"/>
    <w:lvl w:ilvl="0">
      <w:lvlJc w:val="left"/>
      <w:lvlText w:val="(%1)"/>
      <w:numFmt w:val="lowerRoman"/>
      <w:start w:val="7"/>
    </w:lvl>
  </w:abstractNum>
  <w:abstractNum w:abstractNumId="152">
    <w:nsid w:val="BAAC1B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4"/>
    </w:lvl>
  </w:abstractNum>
  <w:abstractNum w:abstractNumId="153">
    <w:nsid w:val="36B2ACBC"/>
    <w:multiLevelType w:val="hybridMultilevel"/>
    <w:lvl w:ilvl="0">
      <w:lvlJc w:val="left"/>
      <w:lvlText w:val="(%1)"/>
      <w:numFmt w:val="lowerLetter"/>
      <w:start w:val="1"/>
    </w:lvl>
  </w:abstractNum>
  <w:abstractNum w:abstractNumId="154">
    <w:nsid w:val="779D8544"/>
    <w:multiLevelType w:val="hybridMultilevel"/>
    <w:lvl w:ilvl="0">
      <w:lvlJc w:val="left"/>
      <w:lvlText w:val="(%1)"/>
      <w:numFmt w:val="lowerLetter"/>
      <w:start w:val="2"/>
    </w:lvl>
  </w:abstractNum>
  <w:abstractNum w:abstractNumId="155">
    <w:nsid w:val="4AB26E78"/>
    <w:multiLevelType w:val="hybridMultilevel"/>
    <w:lvl w:ilvl="0">
      <w:lvlJc w:val="left"/>
      <w:lvlText w:val="(%1)"/>
      <w:numFmt w:val="lowerLetter"/>
      <w:start w:val="1"/>
    </w:lvl>
  </w:abstractNum>
  <w:abstractNum w:abstractNumId="156">
    <w:nsid w:val="21FAA2FA"/>
    <w:multiLevelType w:val="hybridMultilevel"/>
    <w:lvl w:ilvl="0">
      <w:lvlJc w:val="left"/>
      <w:lvlText w:val="(%1)"/>
      <w:numFmt w:val="lowerRoman"/>
      <w:start w:val="1"/>
    </w:lvl>
  </w:abstractNum>
  <w:abstractNum w:abstractNumId="157">
    <w:nsid w:val="5451CF49"/>
    <w:multiLevelType w:val="hybridMultilevel"/>
    <w:lvl w:ilvl="0">
      <w:lvlJc w:val="left"/>
      <w:lvlText w:val="(%1)"/>
      <w:numFmt w:val="lowerRoman"/>
      <w:start w:val="3"/>
    </w:lvl>
  </w:abstractNum>
  <w:abstractNum w:abstractNumId="158">
    <w:nsid w:val="6181EF69"/>
    <w:multiLevelType w:val="hybridMultilevel"/>
    <w:lvl w:ilvl="0">
      <w:lvlJc w:val="left"/>
      <w:lvlText w:val="(%1)"/>
      <w:numFmt w:val="lowerLetter"/>
      <w:start w:val="1"/>
    </w:lvl>
  </w:abstractNum>
  <w:abstractNum w:abstractNumId="159">
    <w:nsid w:val="3E6400E6"/>
    <w:multiLevelType w:val="hybridMultilevel"/>
    <w:lvl w:ilvl="0">
      <w:lvlJc w:val="left"/>
      <w:lvlText w:val="(%1)"/>
      <w:numFmt w:val="lowerLetter"/>
      <w:start w:val="1"/>
    </w:lvl>
  </w:abstractNum>
  <w:abstractNum w:abstractNumId="160">
    <w:nsid w:val="14217E23"/>
    <w:multiLevelType w:val="hybridMultilevel"/>
    <w:lvl w:ilvl="0">
      <w:lvlJc w:val="left"/>
      <w:lvlText w:val="%1."/>
      <w:numFmt w:val="decimal"/>
      <w:start w:val="5"/>
    </w:lvl>
  </w:abstractNum>
  <w:abstractNum w:abstractNumId="161">
    <w:nsid w:val="710757D0"/>
    <w:multiLevelType w:val="hybridMultilevel"/>
    <w:lvl w:ilvl="0">
      <w:lvlJc w:val="left"/>
      <w:lvlText w:val="%1."/>
      <w:numFmt w:val="decimal"/>
      <w:start w:val="6"/>
    </w:lvl>
  </w:abstractNum>
  <w:abstractNum w:abstractNumId="162">
    <w:nsid w:val="5015CD1A"/>
    <w:multiLevelType w:val="hybridMultilevel"/>
    <w:lvl w:ilvl="0">
      <w:lvlJc w:val="left"/>
      <w:lvlText w:val="%1."/>
      <w:numFmt w:val="decimal"/>
      <w:start w:val="7"/>
    </w:lvl>
  </w:abstractNum>
  <w:abstractNum w:abstractNumId="163">
    <w:nsid w:val="424479DA"/>
    <w:multiLevelType w:val="hybridMultilevel"/>
    <w:lvl w:ilvl="0">
      <w:lvlJc w:val="left"/>
      <w:lvlText w:val="(%1)"/>
      <w:numFmt w:val="upperLetter"/>
      <w:start w:val="1"/>
    </w:lvl>
  </w:abstractNum>
  <w:abstractNum w:abstractNumId="164">
    <w:nsid w:val="1A9A9E69"/>
    <w:multiLevelType w:val="hybridMultilevel"/>
    <w:lvl w:ilvl="0">
      <w:lvlJc w:val="left"/>
      <w:lvlText w:val="(%1)"/>
      <w:numFmt w:val="upperLetter"/>
      <w:start w:val="2"/>
    </w:lvl>
  </w:abstractNum>
  <w:abstractNum w:abstractNumId="165">
    <w:nsid w:val="475E256A"/>
    <w:multiLevelType w:val="hybridMultilevel"/>
    <w:lvl w:ilvl="0">
      <w:lvlJc w:val="left"/>
      <w:lvlText w:val="%1."/>
      <w:numFmt w:val="decimal"/>
      <w:start w:val="8"/>
    </w:lvl>
    <w:lvl w:ilvl="1">
      <w:lvlJc w:val="left"/>
      <w:lvlText w:val="(%2)"/>
      <w:numFmt w:val="lowerLetter"/>
      <w:start w:val="1"/>
    </w:lvl>
  </w:abstractNum>
  <w:abstractNum w:abstractNumId="166">
    <w:nsid w:val="368DB37E"/>
    <w:multiLevelType w:val="hybridMultilevel"/>
    <w:lvl w:ilvl="0">
      <w:lvlJc w:val="left"/>
      <w:lvlText w:val="(%1)"/>
      <w:numFmt w:val="lowerLetter"/>
      <w:start w:val="2"/>
    </w:lvl>
  </w:abstractNum>
  <w:abstractNum w:abstractNumId="167">
    <w:nsid w:val="6A3B714C"/>
    <w:multiLevelType w:val="hybridMultilevel"/>
    <w:lvl w:ilvl="0">
      <w:lvlJc w:val="left"/>
      <w:lvlText w:val="%1."/>
      <w:numFmt w:val="decimal"/>
      <w:start w:val="9"/>
    </w:lvl>
  </w:abstractNum>
  <w:abstractNum w:abstractNumId="168">
    <w:nsid w:val="327B517E"/>
    <w:multiLevelType w:val="hybridMultilevel"/>
    <w:lvl w:ilvl="0">
      <w:lvlJc w:val="left"/>
      <w:lvlText w:val="(%1)"/>
      <w:numFmt w:val="lowerRoman"/>
      <w:start w:val="1"/>
    </w:lvl>
  </w:abstractNum>
  <w:abstractNum w:abstractNumId="169">
    <w:nsid w:val="1F461B51"/>
    <w:multiLevelType w:val="hybridMultilevel"/>
    <w:lvl w:ilvl="0">
      <w:lvlJc w:val="left"/>
      <w:lvlText w:val="■"/>
      <w:numFmt w:val="bullet"/>
      <w:start w:val="1"/>
    </w:lvl>
  </w:abstractNum>
  <w:abstractNum w:abstractNumId="170">
    <w:nsid w:val="29BACF25"/>
    <w:multiLevelType w:val="hybridMultilevel"/>
    <w:lvl w:ilvl="0">
      <w:lvlJc w:val="left"/>
      <w:lvlText w:val="%1."/>
      <w:numFmt w:val="decimal"/>
      <w:start w:val="10"/>
    </w:lvl>
  </w:abstractNum>
  <w:abstractNum w:abstractNumId="171">
    <w:nsid w:val="5D5BABB3"/>
    <w:multiLevelType w:val="hybridMultilevel"/>
    <w:lvl w:ilvl="0">
      <w:lvlJc w:val="left"/>
      <w:lvlText w:val="(%1)"/>
      <w:numFmt w:val="lowerRoman"/>
      <w:start w:val="1"/>
    </w:lvl>
  </w:abstractNum>
  <w:abstractNum w:abstractNumId="172">
    <w:nsid w:val="51BF6B48"/>
    <w:multiLevelType w:val="hybridMultilevel"/>
    <w:lvl w:ilvl="0">
      <w:lvlJc w:val="left"/>
      <w:lvlText w:val="(%1)"/>
      <w:numFmt w:val="lowerLetter"/>
      <w:start w:val="1"/>
    </w:lvl>
    <w:lvl w:ilvl="1">
      <w:lvlJc w:val="left"/>
      <w:lvlText w:val="(%2)"/>
      <w:numFmt w:val="lowerRoman"/>
      <w:start w:val="1"/>
    </w:lvl>
  </w:abstractNum>
  <w:abstractNum w:abstractNumId="173">
    <w:nsid w:val="7E0F6384"/>
    <w:multiLevelType w:val="hybridMultilevel"/>
    <w:lvl w:ilvl="0">
      <w:lvlJc w:val="left"/>
      <w:lvlText w:val="(%1)"/>
      <w:numFmt w:val="lowerLetter"/>
      <w:start w:val="24"/>
    </w:lvl>
  </w:abstractNum>
  <w:abstractNum w:abstractNumId="174">
    <w:nsid w:val="2B4B8B53"/>
    <w:multiLevelType w:val="hybridMultilevel"/>
    <w:lvl w:ilvl="0">
      <w:lvlJc w:val="left"/>
      <w:lvlText w:val="○"/>
      <w:numFmt w:val="bullet"/>
      <w:start w:val="1"/>
    </w:lvl>
    <w:lvl w:ilvl="1">
      <w:lvlJc w:val="left"/>
      <w:lvlText w:val="■"/>
      <w:numFmt w:val="bullet"/>
      <w:start w:val="1"/>
    </w:lvl>
  </w:abstractNum>
  <w:abstractNum w:abstractNumId="175">
    <w:nsid w:val="72E3413A"/>
    <w:multiLevelType w:val="hybridMultilevel"/>
    <w:lvl w:ilvl="0">
      <w:lvlJc w:val="left"/>
      <w:lvlText w:val="(%1)"/>
      <w:numFmt w:val="lowerLetter"/>
      <w:start w:val="1"/>
    </w:lvl>
    <w:lvl w:ilvl="1">
      <w:lvlJc w:val="left"/>
      <w:lvlText w:val="○"/>
      <w:numFmt w:val="bullet"/>
      <w:start w:val="1"/>
    </w:lvl>
  </w:abstractNum>
  <w:abstractNum w:abstractNumId="176">
    <w:nsid w:val="116AE494"/>
    <w:multiLevelType w:val="hybridMultilevel"/>
    <w:lvl w:ilvl="0">
      <w:lvlJc w:val="left"/>
      <w:lvlText w:val="(%1)"/>
      <w:numFmt w:val="lowerRoman"/>
      <w:start w:val="2"/>
    </w:lvl>
  </w:abstractNum>
  <w:abstractNum w:abstractNumId="177">
    <w:nsid w:val="3494B2FB"/>
    <w:multiLevelType w:val="hybridMultilevel"/>
    <w:lvl w:ilvl="0">
      <w:lvlJc w:val="left"/>
      <w:lvlText w:val="(%1)"/>
      <w:numFmt w:val="lowerLetter"/>
      <w:start w:val="2"/>
    </w:lvl>
    <w:lvl w:ilvl="1">
      <w:lvlJc w:val="left"/>
      <w:lvlText w:val="○"/>
      <w:numFmt w:val="bullet"/>
      <w:start w:val="1"/>
    </w:lvl>
  </w:abstractNum>
  <w:abstractNum w:abstractNumId="178">
    <w:nsid w:val="B13A31"/>
    <w:multiLevelType w:val="hybridMultilevel"/>
    <w:lvl w:ilvl="0">
      <w:lvlJc w:val="left"/>
      <w:lvlText w:val="(%1)"/>
      <w:numFmt w:val="lowerLetter"/>
      <w:start w:val="1"/>
    </w:lvl>
  </w:abstractNum>
  <w:abstractNum w:abstractNumId="179">
    <w:nsid w:val="64429599"/>
    <w:multiLevelType w:val="hybridMultilevel"/>
    <w:lvl w:ilvl="0">
      <w:lvlJc w:val="left"/>
      <w:lvlText w:val="(%1)"/>
      <w:numFmt w:val="lowerLetter"/>
      <w:start w:val="2"/>
    </w:lvl>
  </w:abstractNum>
  <w:abstractNum w:abstractNumId="180">
    <w:nsid w:val="631F1690"/>
    <w:multiLevelType w:val="hybridMultilevel"/>
    <w:lvl w:ilvl="0">
      <w:lvlJc w:val="left"/>
      <w:lvlText w:val="(%1)"/>
      <w:numFmt w:val="lowerLetter"/>
      <w:start w:val="1"/>
    </w:lvl>
  </w:abstractNum>
  <w:abstractNum w:abstractNumId="181">
    <w:nsid w:val="25973E32"/>
    <w:multiLevelType w:val="hybridMultilevel"/>
    <w:lvl w:ilvl="0">
      <w:lvlJc w:val="left"/>
      <w:lvlText w:val="(%1)"/>
      <w:numFmt w:val="lowerLetter"/>
      <w:start w:val="4"/>
    </w:lvl>
  </w:abstractNum>
  <w:abstractNum w:abstractNumId="182">
    <w:nsid w:val="EAD6F57"/>
    <w:multiLevelType w:val="hybridMultilevel"/>
    <w:lvl w:ilvl="0">
      <w:lvlJc w:val="left"/>
      <w:lvlText w:val="(%1)"/>
      <w:numFmt w:val="lowerLetter"/>
      <w:start w:val="6"/>
    </w:lvl>
  </w:abstractNum>
  <w:abstractNum w:abstractNumId="183">
    <w:nsid w:val="6EC9D844"/>
    <w:multiLevelType w:val="hybridMultilevel"/>
    <w:lvl w:ilvl="0">
      <w:lvlJc w:val="left"/>
      <w:lvlText w:val="%1."/>
      <w:numFmt w:val="decimal"/>
      <w:start w:val="11"/>
    </w:lvl>
    <w:lvl w:ilvl="1">
      <w:lvlJc w:val="left"/>
      <w:lvlText w:val="(%2)"/>
      <w:numFmt w:val="lowerLetter"/>
      <w:start w:val="1"/>
    </w:lvl>
  </w:abstractNum>
  <w:abstractNum w:abstractNumId="184">
    <w:nsid w:val="5C49EAEE"/>
    <w:multiLevelType w:val="hybridMultilevel"/>
    <w:lvl w:ilvl="0">
      <w:lvlJc w:val="left"/>
      <w:lvlText w:val="(%1)"/>
      <w:numFmt w:val="lowerLetter"/>
      <w:start w:val="1"/>
    </w:lvl>
  </w:abstractNum>
  <w:abstractNum w:abstractNumId="185">
    <w:nsid w:val="64AF49B"/>
    <w:multiLevelType w:val="hybridMultilevel"/>
    <w:lvl w:ilvl="0">
      <w:lvlJc w:val="left"/>
      <w:lvlText w:val="%1"/>
      <w:numFmt w:val="decimal"/>
      <w:start w:val="1"/>
    </w:lvl>
    <w:lvl w:ilvl="1">
      <w:lvlJc w:val="left"/>
      <w:lvlText w:val="(%2)"/>
      <w:numFmt w:val="lowerLetter"/>
      <w:start w:val="1"/>
    </w:lvl>
  </w:abstractNum>
  <w:abstractNum w:abstractNumId="186">
    <w:nsid w:val="397C46BC"/>
    <w:multiLevelType w:val="hybridMultilevel"/>
    <w:lvl w:ilvl="0">
      <w:lvlJc w:val="left"/>
      <w:lvlText w:val="%1."/>
      <w:numFmt w:val="decimal"/>
      <w:start w:val="12"/>
    </w:lvl>
    <w:lvl w:ilvl="1">
      <w:lvlJc w:val="left"/>
      <w:lvlText w:val="(%2)"/>
      <w:numFmt w:val="lowerLetter"/>
      <w:start w:val="1"/>
    </w:lvl>
  </w:abstractNum>
  <w:abstractNum w:abstractNumId="187">
    <w:nsid w:val="7E448DE9"/>
    <w:multiLevelType w:val="hybridMultilevel"/>
    <w:lvl w:ilvl="0">
      <w:lvlJc w:val="left"/>
      <w:lvlText w:val="%1."/>
      <w:numFmt w:val="decimal"/>
      <w:start w:val="13"/>
    </w:lvl>
  </w:abstractNum>
  <w:abstractNum w:abstractNumId="188">
    <w:nsid w:val="5A9CC3E5"/>
    <w:multiLevelType w:val="hybridMultilevel"/>
    <w:lvl w:ilvl="0">
      <w:lvlJc w:val="left"/>
      <w:lvlText w:val="%1."/>
      <w:numFmt w:val="decimal"/>
      <w:start w:val="16"/>
    </w:lvl>
  </w:abstractNum>
  <w:abstractNum w:abstractNumId="189">
    <w:nsid w:val="1AFE3625"/>
    <w:multiLevelType w:val="hybridMultilevel"/>
    <w:lvl w:ilvl="0">
      <w:lvlJc w:val="left"/>
      <w:lvlText w:val="%1."/>
      <w:numFmt w:val="decimal"/>
      <w:start w:val="1"/>
    </w:lvl>
  </w:abstractNum>
  <w:abstractNum w:abstractNumId="190">
    <w:nsid w:val="3CA88ECF"/>
    <w:multiLevelType w:val="hybridMultilevel"/>
    <w:lvl w:ilvl="0">
      <w:lvlJc w:val="left"/>
      <w:lvlText w:val="%1."/>
      <w:numFmt w:val="decimal"/>
      <w:start w:val="2"/>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lvl w:ilvl="1">
      <w:lvlJc w:val="left"/>
      <w:lvlText w:val="%2."/>
      <w:numFmt w:val="lowerLetter"/>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jpeg"/><Relationship Id="rId262" Type="http://schemas.openxmlformats.org/officeDocument/2006/relationships/image" Target="media/image233.png"/><Relationship Id="rId263" Type="http://schemas.openxmlformats.org/officeDocument/2006/relationships/image" Target="media/image234.jpeg"/><Relationship Id="rId264" Type="http://schemas.openxmlformats.org/officeDocument/2006/relationships/image" Target="media/image235.jpeg"/><Relationship Id="rId265" Type="http://schemas.openxmlformats.org/officeDocument/2006/relationships/image" Target="media/image236.png"/><Relationship Id="rId266" Type="http://schemas.openxmlformats.org/officeDocument/2006/relationships/image" Target="media/image237.jpeg"/><Relationship Id="rId267" Type="http://schemas.openxmlformats.org/officeDocument/2006/relationships/image" Target="media/image238.jpeg"/><Relationship Id="rId268" Type="http://schemas.openxmlformats.org/officeDocument/2006/relationships/image" Target="media/image239.png"/><Relationship Id="rId269" Type="http://schemas.openxmlformats.org/officeDocument/2006/relationships/image" Target="media/image240.jpeg"/><Relationship Id="rId270" Type="http://schemas.openxmlformats.org/officeDocument/2006/relationships/image" Target="media/image241.jpeg"/><Relationship Id="rId271" Type="http://schemas.openxmlformats.org/officeDocument/2006/relationships/image" Target="media/image242.png"/><Relationship Id="rId272" Type="http://schemas.openxmlformats.org/officeDocument/2006/relationships/image" Target="media/image243.jpeg"/><Relationship Id="rId273" Type="http://schemas.openxmlformats.org/officeDocument/2006/relationships/image" Target="media/image244.jpeg"/><Relationship Id="rId274" Type="http://schemas.openxmlformats.org/officeDocument/2006/relationships/image" Target="media/image245.png"/><Relationship Id="rId275" Type="http://schemas.openxmlformats.org/officeDocument/2006/relationships/image" Target="media/image246.jpeg"/><Relationship Id="rId276" Type="http://schemas.openxmlformats.org/officeDocument/2006/relationships/image" Target="media/image247.jpeg"/><Relationship Id="rId277" Type="http://schemas.openxmlformats.org/officeDocument/2006/relationships/image" Target="media/image248.png"/><Relationship Id="rId278" Type="http://schemas.openxmlformats.org/officeDocument/2006/relationships/image" Target="media/image249.jpeg"/><Relationship Id="rId279" Type="http://schemas.openxmlformats.org/officeDocument/2006/relationships/image" Target="media/image250.jpeg"/><Relationship Id="rId280" Type="http://schemas.openxmlformats.org/officeDocument/2006/relationships/image" Target="media/image251.png"/><Relationship Id="rId281" Type="http://schemas.openxmlformats.org/officeDocument/2006/relationships/image" Target="media/image252.jpeg"/><Relationship Id="rId282" Type="http://schemas.openxmlformats.org/officeDocument/2006/relationships/image" Target="media/image253.jpeg"/><Relationship Id="rId283" Type="http://schemas.openxmlformats.org/officeDocument/2006/relationships/image" Target="media/image254.png"/><Relationship Id="rId284" Type="http://schemas.openxmlformats.org/officeDocument/2006/relationships/image" Target="media/image255.jpeg"/><Relationship Id="rId285" Type="http://schemas.openxmlformats.org/officeDocument/2006/relationships/image" Target="media/image256.jpeg"/><Relationship Id="rId286" Type="http://schemas.openxmlformats.org/officeDocument/2006/relationships/image" Target="media/image257.png"/><Relationship Id="rId287" Type="http://schemas.openxmlformats.org/officeDocument/2006/relationships/image" Target="media/image258.jpeg"/><Relationship Id="rId288" Type="http://schemas.openxmlformats.org/officeDocument/2006/relationships/image" Target="media/image259.jpeg"/><Relationship Id="rId289" Type="http://schemas.openxmlformats.org/officeDocument/2006/relationships/image" Target="media/image260.png"/><Relationship Id="rId290" Type="http://schemas.openxmlformats.org/officeDocument/2006/relationships/image" Target="media/image261.jpeg"/><Relationship Id="rId291" Type="http://schemas.openxmlformats.org/officeDocument/2006/relationships/image" Target="media/image262.jpeg"/><Relationship Id="rId292" Type="http://schemas.openxmlformats.org/officeDocument/2006/relationships/image" Target="media/image263.png"/><Relationship Id="rId293" Type="http://schemas.openxmlformats.org/officeDocument/2006/relationships/image" Target="media/image264.jpeg"/><Relationship Id="rId294" Type="http://schemas.openxmlformats.org/officeDocument/2006/relationships/image" Target="media/image265.jpeg"/><Relationship Id="rId295" Type="http://schemas.openxmlformats.org/officeDocument/2006/relationships/image" Target="media/image266.png"/><Relationship Id="rId296" Type="http://schemas.openxmlformats.org/officeDocument/2006/relationships/image" Target="media/image267.jpeg"/><Relationship Id="rId297" Type="http://schemas.openxmlformats.org/officeDocument/2006/relationships/image" Target="media/image268.jpeg"/><Relationship Id="rId298" Type="http://schemas.openxmlformats.org/officeDocument/2006/relationships/image" Target="media/image269.png"/><Relationship Id="rId299" Type="http://schemas.openxmlformats.org/officeDocument/2006/relationships/image" Target="media/image270.jpeg"/><Relationship Id="rId300" Type="http://schemas.openxmlformats.org/officeDocument/2006/relationships/image" Target="media/image271.jpeg"/><Relationship Id="rId301" Type="http://schemas.openxmlformats.org/officeDocument/2006/relationships/image" Target="media/image272.png"/><Relationship Id="rId302" Type="http://schemas.openxmlformats.org/officeDocument/2006/relationships/image" Target="media/image273.jpeg"/><Relationship Id="rId303" Type="http://schemas.openxmlformats.org/officeDocument/2006/relationships/image" Target="media/image274.jpeg"/><Relationship Id="rId304" Type="http://schemas.openxmlformats.org/officeDocument/2006/relationships/image" Target="media/image275.png"/><Relationship Id="rId305" Type="http://schemas.openxmlformats.org/officeDocument/2006/relationships/image" Target="media/image276.jpe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jpeg"/><Relationship Id="rId359" Type="http://schemas.openxmlformats.org/officeDocument/2006/relationships/image" Target="media/image330.png"/><Relationship Id="rId360" Type="http://schemas.openxmlformats.org/officeDocument/2006/relationships/image" Target="media/image331.jpe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177" Type="http://schemas.openxmlformats.org/officeDocument/2006/relationships/hyperlink" Target="https://www.sec.gov/Archives/edgar/data/1838716/000149315222011671/ex2-4.htm" TargetMode="External"/><Relationship Id="rId178" Type="http://schemas.openxmlformats.org/officeDocument/2006/relationships/hyperlink" Target="https://www.sec.gov/Archives/edgar/data/1838716/000149315221027683/ex3-1.htm" TargetMode="External"/><Relationship Id="rId179" Type="http://schemas.openxmlformats.org/officeDocument/2006/relationships/hyperlink" Target="https://www.sec.gov/Archives/edgar/data/1838716/000149315221027683/ex4-1.htm" TargetMode="External"/><Relationship Id="rId180" Type="http://schemas.openxmlformats.org/officeDocument/2006/relationships/hyperlink" Target="https://www.sec.gov/Archives/edgar/data/1838716/000149315222011671/ex4-3.htm" TargetMode="External"/><Relationship Id="rId181" Type="http://schemas.openxmlformats.org/officeDocument/2006/relationships/hyperlink" Target="https://www.sec.gov/Archives/edgar/data/1838716/000149315221027683/ex10-1.htm" TargetMode="External"/><Relationship Id="rId182" Type="http://schemas.openxmlformats.org/officeDocument/2006/relationships/hyperlink" Target="https://www.sec.gov/Archives/edgar/data/1838716/000149315221027683/ex10-2.htm" TargetMode="External"/><Relationship Id="rId183" Type="http://schemas.openxmlformats.org/officeDocument/2006/relationships/hyperlink" Target="https://www.sec.gov/Archives/edgar/data/1838716/000149315221027683/ex10-3.htm" TargetMode="External"/><Relationship Id="rId184" Type="http://schemas.openxmlformats.org/officeDocument/2006/relationships/hyperlink" Target="https://www.sec.gov/Archives/edgar/data/1838716/000149315221027683/ex10-4.htm" TargetMode="External"/><Relationship Id="rId185" Type="http://schemas.openxmlformats.org/officeDocument/2006/relationships/hyperlink" Target="https://www.sec.gov/Archives/edgar/data/1838716/000149315221027683/ex10-12.htm" TargetMode="External"/><Relationship Id="rId186" Type="http://schemas.openxmlformats.org/officeDocument/2006/relationships/hyperlink" Target="https://www.sec.gov/Archives/edgar/data/1838716/000149315221027683/ex10-5.htm" TargetMode="External"/><Relationship Id="rId187" Type="http://schemas.openxmlformats.org/officeDocument/2006/relationships/hyperlink" Target="https://www.sec.gov/Archives/edgar/data/1838716/000149315221027683/ex10-6.htm" TargetMode="External"/><Relationship Id="rId188" Type="http://schemas.openxmlformats.org/officeDocument/2006/relationships/hyperlink" Target="https://www.sec.gov/Archives/edgar/data/1838716/000149315221027683/ex10-7.htm" TargetMode="External"/><Relationship Id="rId189" Type="http://schemas.openxmlformats.org/officeDocument/2006/relationships/hyperlink" Target="https://www.sec.gov/Archives/edgar/data/1838716/000149315221027683/ex10-8.htm" TargetMode="External"/><Relationship Id="rId190" Type="http://schemas.openxmlformats.org/officeDocument/2006/relationships/hyperlink" Target="https://www.sec.gov/Archives/edgar/data/1838716/000149315221027683/ex10-9.htm" TargetMode="External"/><Relationship Id="rId191" Type="http://schemas.openxmlformats.org/officeDocument/2006/relationships/hyperlink" Target="https://www.sec.gov/Archives/edgar/data/1838716/000149315221027683/ex10-10.htm" TargetMode="External"/><Relationship Id="rId192" Type="http://schemas.openxmlformats.org/officeDocument/2006/relationships/hyperlink" Target="https://www.sec.gov/Archives/edgar/data/1838716/000149315221027683/ex10-11.htm" TargetMode="External"/><Relationship Id="rId193" Type="http://schemas.openxmlformats.org/officeDocument/2006/relationships/hyperlink" Target="https://www.sec.gov/Archives/edgar/data/1838716/000149315222011671/ex10-13.htm" TargetMode="External"/><Relationship Id="rId194" Type="http://schemas.openxmlformats.org/officeDocument/2006/relationships/hyperlink" Target="https://www.sec.gov/Archives/edgar/data/1838716/000149315222027315/ex99-1.htm" TargetMode="External"/><Relationship Id="rId195" Type="http://schemas.openxmlformats.org/officeDocument/2006/relationships/hyperlink" Target="https://www.sec.gov/Archives/edgar/data/1838716/000149315222036299/ex99-1.htm" TargetMode="External"/><Relationship Id="rId196" Type="http://schemas.openxmlformats.org/officeDocument/2006/relationships/hyperlink" Target="https://www.sec.gov/Archives/edgar/data/1838716/000149315223003331/ex10-1.htm" TargetMode="External"/><Relationship Id="rId197" Type="http://schemas.openxmlformats.org/officeDocument/2006/relationships/hyperlink" Target="https://www.sec.gov/Archives/edgar/data/1838716/000149315222011671/ex11-1.htm" TargetMode="External"/><Relationship Id="rId198" Type="http://schemas.openxmlformats.org/officeDocument/2006/relationships/hyperlink" Target="https://www.sec.gov/Archives/edgar/data/1838716/000149315222035561/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2023-04-21T16:34:03Z</dcterms:created>
  <dcterms:modified xsi:type="dcterms:W3CDTF">2023-04-21T16:34:03Z</dcterms:modified>
</cp:coreProperties>
</file>