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7, 2021.</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[X]</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ind w:left="8980"/>
        <w:spacing w:after="0"/>
        <w:rPr>
          <w:sz w:val="20"/>
          <w:szCs w:val="20"/>
          <w:color w:val="auto"/>
        </w:rPr>
      </w:pPr>
      <w:r>
        <w:rPr>
          <w:rFonts w:ascii="Arial" w:cs="Arial" w:eastAsia="Arial" w:hAnsi="Arial"/>
          <w:sz w:val="16"/>
          <w:szCs w:val="16"/>
          <w:color w:val="auto"/>
        </w:rPr>
        <w:t>Emerging growth company [X]</w:t>
      </w:r>
    </w:p>
    <w:p>
      <w:pPr>
        <w:spacing w:after="0" w:line="261"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7"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79"/>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Genenta Science S.p.A. is filing this Amendment No. 2 to its registration statement on Form F-1 (File No. 333-260923) as an exhibit-only filing. Accordingly, this Amendment consists only of the facing page, this explanatory note, Item 8 of Part II of the Registration Statement, the signature page to the Registration Statement and the filed exhibit.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679"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40" w:type="dxa"/>
            <w:vAlign w:val="bottom"/>
            <w:gridSpan w:val="13"/>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4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0" w:type="dxa"/>
            <w:vAlign w:val="bottom"/>
            <w:tcBorders>
              <w:bottom w:val="single" w:sz="8" w:color="0000EE"/>
            </w:tcBorders>
          </w:tcPr>
          <w:p>
            <w:pPr>
              <w:spacing w:after="0"/>
              <w:rPr>
                <w:rFonts w:ascii="Arial" w:cs="Arial" w:eastAsia="Arial" w:hAnsi="Arial"/>
                <w:sz w:val="18"/>
                <w:szCs w:val="18"/>
                <w:color w:val="0000EE"/>
                <w:w w:val="95"/>
              </w:rPr>
            </w:pPr>
            <w:hyperlink r:id="rId14">
              <w:r>
                <w:rPr>
                  <w:rFonts w:ascii="Arial" w:cs="Arial" w:eastAsia="Arial" w:hAnsi="Arial"/>
                  <w:sz w:val="18"/>
                  <w:szCs w:val="18"/>
                  <w:color w:val="0000EE"/>
                  <w:w w:val="95"/>
                </w:rPr>
                <w:t>Underwriting Agreement**</w:t>
              </w:r>
            </w:hyperlink>
          </w:p>
        </w:tc>
        <w:tc>
          <w:tcPr>
            <w:tcW w:w="81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Deed of Incorporation of Genenta Science S.p.A.**</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By-laws of Genenta Science S.p.A.**</w:t>
              </w:r>
            </w:hyperlink>
          </w:p>
        </w:tc>
        <w:tc>
          <w:tcPr>
            <w:tcW w:w="6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7">
              <w:r>
                <w:rPr>
                  <w:rFonts w:ascii="Arial" w:cs="Arial" w:eastAsia="Arial" w:hAnsi="Arial"/>
                  <w:sz w:val="18"/>
                  <w:szCs w:val="18"/>
                  <w:color w:val="0000EE"/>
                  <w:w w:val="93"/>
                </w:rPr>
                <w:t>Form of Deposit Agreement**</w:t>
              </w:r>
            </w:hyperlink>
          </w:p>
        </w:tc>
        <w:tc>
          <w:tcPr>
            <w:tcW w:w="500" w:type="dxa"/>
            <w:vAlign w:val="bottom"/>
            <w:tcBorders>
              <w:top w:val="single" w:sz="8" w:color="0000EE"/>
            </w:tcBorders>
            <w:gridSpan w:val="2"/>
          </w:tcPr>
          <w:p>
            <w:pPr>
              <w:spacing w:after="0"/>
              <w:rPr>
                <w:sz w:val="17"/>
                <w:szCs w:val="17"/>
                <w:color w:val="auto"/>
              </w:rPr>
            </w:pPr>
          </w:p>
        </w:tc>
        <w:tc>
          <w:tcPr>
            <w:tcW w:w="74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7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7">
              <w:r>
                <w:rPr>
                  <w:rFonts w:ascii="Arial" w:cs="Arial" w:eastAsia="Arial" w:hAnsi="Arial"/>
                  <w:sz w:val="18"/>
                  <w:szCs w:val="18"/>
                  <w:color w:val="0000EE"/>
                  <w:w w:val="93"/>
                </w:rPr>
                <w:t>Form of American Depositary Receipt (included in exhibit 4.1)**</w:t>
              </w:r>
            </w:hyperlink>
          </w:p>
        </w:tc>
        <w:tc>
          <w:tcPr>
            <w:tcW w:w="5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Form of Underwriter’s Warrant**</w:t>
              </w:r>
            </w:hyperlink>
          </w:p>
        </w:tc>
        <w:tc>
          <w:tcPr>
            <w:tcW w:w="7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4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Form of Subscription Agreement for Reserved Offering**</w:t>
              </w:r>
            </w:hyperlink>
          </w:p>
        </w:tc>
        <w:tc>
          <w:tcPr>
            <w:tcW w:w="5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Opinion of Giovanelli and Associates, Italian counsel to Genenta**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License Agreement between Ospedale San Raffaele S.r.l. and Genenta Science S.r.l. dated December 15, 2014 (OSR License Agreement)**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First Amendment to the OSR License Agreement dated March 16, 2017**</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5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Second Amendment to the OSR License Agreement dated February 1, 2019**</w:t>
              </w:r>
            </w:hyperlink>
          </w:p>
        </w:tc>
        <w:tc>
          <w:tcPr>
            <w:tcW w:w="4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Third Amendment to the OSR License Agreement dated December 23, 2020**</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Sponsored Research Agreement with OSR dated February 12, 2021**</w:t>
              </w:r>
            </w:hyperlink>
          </w:p>
        </w:tc>
        <w:tc>
          <w:tcPr>
            <w:tcW w:w="640" w:type="dxa"/>
            <w:vAlign w:val="bottom"/>
            <w:tcBorders>
              <w:top w:val="single" w:sz="8" w:color="0000EE"/>
            </w:tcBorders>
            <w:gridSpan w:val="3"/>
          </w:tcPr>
          <w:p>
            <w:pPr>
              <w:spacing w:after="0"/>
              <w:rPr>
                <w:sz w:val="17"/>
                <w:szCs w:val="17"/>
                <w:color w:val="auto"/>
              </w:rPr>
            </w:pPr>
          </w:p>
        </w:tc>
        <w:tc>
          <w:tcPr>
            <w:tcW w:w="4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61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Know-How License Agreement with Fondazione Telethon dated February 2, 2016**</w:t>
              </w:r>
            </w:hyperlink>
          </w:p>
        </w:tc>
        <w:tc>
          <w:tcPr>
            <w:tcW w:w="4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 #</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Master Service Agreement dated March 6, 2019 between Molecular Medicine S.p.A. and Genenta Science S.r.l.*</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8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Form of 2021-2025 Genenta Science Employee Share Option Plan with Chairman Sub-Plan**</w:t>
              </w:r>
            </w:hyperlink>
          </w:p>
        </w:tc>
        <w:tc>
          <w:tcPr>
            <w:tcW w:w="2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6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Form of Employment Agreement of Pierluigi Paracchi**</w:t>
              </w:r>
            </w:hyperlink>
          </w:p>
        </w:tc>
        <w:tc>
          <w:tcPr>
            <w:tcW w:w="3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4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Form of Employment Agreement of Carlo Russo**</w:t>
              </w:r>
            </w:hyperlink>
          </w:p>
        </w:tc>
        <w:tc>
          <w:tcPr>
            <w:tcW w:w="6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Form of Employment Agreement of Richard Slansky**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58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Fourth Amendment to the OSR License Agreement dated September 28, 2021**</w:t>
              </w:r>
            </w:hyperlink>
          </w:p>
        </w:tc>
        <w:tc>
          <w:tcPr>
            <w:tcW w:w="4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Consent of Mayer Hoffman McCann, P.C. **</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28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7"/>
                <w:szCs w:val="17"/>
                <w:color w:val="auto"/>
              </w:rPr>
            </w:pPr>
          </w:p>
        </w:tc>
        <w:tc>
          <w:tcPr>
            <w:tcW w:w="10140" w:type="dxa"/>
            <w:vAlign w:val="bottom"/>
            <w:gridSpan w:val="23"/>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Consent of Giovanelli and Associates, Italian counsel to Genenta (included in Exhibit 5.1).**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Power of Attorney (included on the signature page of this Registration Statement).**</w:t>
              </w:r>
            </w:hyperlink>
          </w:p>
        </w:tc>
        <w:tc>
          <w:tcPr>
            <w:tcW w:w="600" w:type="dxa"/>
            <w:vAlign w:val="bottom"/>
            <w:tcBorders>
              <w:top w:val="single" w:sz="8" w:color="0000EE"/>
            </w:tcBorders>
          </w:tcPr>
          <w:p>
            <w:pPr>
              <w:spacing w:after="0"/>
              <w:rPr>
                <w:sz w:val="17"/>
                <w:szCs w:val="17"/>
                <w:color w:val="auto"/>
              </w:rPr>
            </w:pPr>
          </w:p>
        </w:tc>
        <w:tc>
          <w:tcPr>
            <w:tcW w:w="3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right="9200" w:firstLine="8"/>
        <w:spacing w:after="0" w:line="239" w:lineRule="auto"/>
        <w:tabs>
          <w:tab w:leader="none" w:pos="648" w:val="left"/>
        </w:tabs>
        <w:numPr>
          <w:ilvl w:val="0"/>
          <w:numId w:val="1"/>
        </w:numPr>
        <w:rPr>
          <w:rFonts w:ascii="Arial" w:cs="Arial" w:eastAsia="Arial" w:hAnsi="Arial"/>
          <w:sz w:val="22"/>
          <w:szCs w:val="22"/>
          <w:color w:val="auto"/>
        </w:rPr>
      </w:pPr>
      <w:r>
        <w:rPr>
          <w:rFonts w:ascii="Arial" w:cs="Arial" w:eastAsia="Arial" w:hAnsi="Arial"/>
          <w:sz w:val="22"/>
          <w:szCs w:val="22"/>
          <w:color w:val="auto"/>
        </w:rPr>
        <w:t>Filed herewith ** Previously filed</w:t>
      </w:r>
    </w:p>
    <w:p>
      <w:pPr>
        <w:ind w:left="660" w:right="220" w:hanging="648"/>
        <w:spacing w:after="0" w:line="236" w:lineRule="auto"/>
        <w:rPr>
          <w:rFonts w:ascii="Arial" w:cs="Arial" w:eastAsia="Arial" w:hAnsi="Arial"/>
          <w:sz w:val="22"/>
          <w:szCs w:val="22"/>
          <w:color w:val="auto"/>
        </w:rPr>
      </w:pPr>
      <w:r>
        <w:rPr>
          <w:rFonts w:ascii="Arial" w:cs="Arial" w:eastAsia="Arial" w:hAnsi="Arial"/>
          <w:sz w:val="22"/>
          <w:szCs w:val="22"/>
          <w:color w:val="auto"/>
        </w:rPr>
        <w:t>#Portions of this exhibit (indicated by markouts) have been redacted in compliance with Regulation S-K Item 601(b)(10)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in Milan, Italy on December 7, 2021.</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Pierluigi Paracchi</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50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22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w:t>
            </w:r>
          </w:p>
        </w:tc>
      </w:tr>
      <w:tr>
        <w:trPr>
          <w:trHeight w:val="466"/>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Pierluigi Paracchi</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Vice Chairman</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Pierluigi Paracchi</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7"/>
                <w:szCs w:val="17"/>
                <w:color w:val="auto"/>
              </w:rPr>
            </w:pPr>
          </w:p>
        </w:tc>
      </w:tr>
      <w:tr>
        <w:trPr>
          <w:trHeight w:val="237"/>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Richard Slansky</w:t>
            </w: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Richard Slansky</w:t>
            </w:r>
          </w:p>
        </w:tc>
        <w:tc>
          <w:tcPr>
            <w:tcW w:w="494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Roger Abravanel</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Daniela Bellomo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Guido Guidi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Luca Guidotti</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 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02"/>
        </w:trPr>
        <w:tc>
          <w:tcPr>
            <w:tcW w:w="4060" w:type="dxa"/>
            <w:vAlign w:val="bottom"/>
            <w:gridSpan w:val="2"/>
          </w:tcPr>
          <w:p>
            <w:pPr>
              <w:spacing w:after="0" w:line="201" w:lineRule="exact"/>
              <w:rPr>
                <w:sz w:val="20"/>
                <w:szCs w:val="20"/>
                <w:color w:val="auto"/>
              </w:rPr>
            </w:pPr>
            <w:r>
              <w:rPr>
                <w:rFonts w:ascii="Arial" w:cs="Arial" w:eastAsia="Arial" w:hAnsi="Arial"/>
                <w:sz w:val="18"/>
                <w:szCs w:val="18"/>
                <w:color w:val="auto"/>
              </w:rPr>
              <w:t>Stephen Squinto</w:t>
            </w:r>
          </w:p>
        </w:tc>
        <w:tc>
          <w:tcPr>
            <w:tcW w:w="2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7"/>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7,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65"/>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Pierluigi Paracchi</w:t>
            </w: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Cogency Global Inc., the duly authorized representative in the United States of Genenta Science S.p.A., has signed this registration statement on December 7, 2021.</w:t>
      </w:r>
    </w:p>
    <w:p>
      <w:pPr>
        <w:spacing w:after="0" w:line="19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Colleen A. De Vries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6" w:name="page7"/>
    <w:bookmarkEnd w:id="6"/>
    <w:p>
      <w:pPr>
        <w:ind w:left="9900"/>
        <w:spacing w:after="0"/>
        <w:rPr>
          <w:sz w:val="20"/>
          <w:szCs w:val="20"/>
          <w:color w:val="auto"/>
        </w:rPr>
      </w:pPr>
      <w:r>
        <w:rPr>
          <w:rFonts w:ascii="Arial" w:cs="Arial" w:eastAsia="Arial" w:hAnsi="Arial"/>
          <w:sz w:val="19"/>
          <w:szCs w:val="19"/>
          <w:b w:val="1"/>
          <w:bCs w:val="1"/>
          <w:color w:val="auto"/>
        </w:rPr>
        <w:t>Exhibit 10.7</w:t>
      </w:r>
    </w:p>
    <w:p>
      <w:pPr>
        <w:spacing w:after="0" w:line="274" w:lineRule="exact"/>
        <w:rPr>
          <w:sz w:val="20"/>
          <w:szCs w:val="20"/>
          <w:color w:val="auto"/>
        </w:rPr>
      </w:pPr>
    </w:p>
    <w:p>
      <w:pPr>
        <w:jc w:val="center"/>
        <w:ind w:right="220"/>
        <w:spacing w:after="0" w:line="250" w:lineRule="auto"/>
        <w:rPr>
          <w:sz w:val="20"/>
          <w:szCs w:val="20"/>
          <w:color w:val="auto"/>
        </w:rPr>
      </w:pPr>
      <w:r>
        <w:rPr>
          <w:rFonts w:ascii="Arial" w:cs="Arial" w:eastAsia="Arial" w:hAnsi="Arial"/>
          <w:sz w:val="22"/>
          <w:szCs w:val="22"/>
          <w:b w:val="1"/>
          <w:bCs w:val="1"/>
          <w:i w:val="1"/>
          <w:iCs w:val="1"/>
          <w:color w:val="auto"/>
        </w:rPr>
        <w:t>Certain information in this document indicated with “Redacted” or “***” has been omitted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7132320" cy="8564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0" w:num="1">
            <w:col w:w="11020"/>
          </w:cols>
          <w:pgMar w:left="540" w:top="355"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7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32320" cy="8597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3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32320" cy="8443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98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132320" cy="8598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44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32320" cy="8444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564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409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2320" cy="8409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4320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564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85642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14" Type="http://schemas.openxmlformats.org/officeDocument/2006/relationships/hyperlink" Target="https://www.sec.gov/Archives/edgar/data/1838716/000149315221029876/ex1-1.htm" TargetMode="External"/><Relationship Id="rId15" Type="http://schemas.openxmlformats.org/officeDocument/2006/relationships/hyperlink" Target="https://www.sec.gov/Archives/edgar/data/1838716/000149315221027683/ex3-1.htm" TargetMode="External"/><Relationship Id="rId16" Type="http://schemas.openxmlformats.org/officeDocument/2006/relationships/hyperlink" Target="https://www.sec.gov/Archives/edgar/data/1838716/000149315221027683/ex3-2.htm" TargetMode="External"/><Relationship Id="rId17" Type="http://schemas.openxmlformats.org/officeDocument/2006/relationships/hyperlink" Target="https://www.sec.gov/Archives/edgar/data/1838716/000149315221027683/ex4-1.htm" TargetMode="External"/><Relationship Id="rId18" Type="http://schemas.openxmlformats.org/officeDocument/2006/relationships/hyperlink" Target="https://www.sec.gov/Archives/edgar/data/1838716/000149315221027683/ex4-3.htm" TargetMode="External"/><Relationship Id="rId19" Type="http://schemas.openxmlformats.org/officeDocument/2006/relationships/hyperlink" Target="https://www.sec.gov/Archives/edgar/data/1838716/000149315221029876/ex4-4.htm" TargetMode="External"/><Relationship Id="rId20" Type="http://schemas.openxmlformats.org/officeDocument/2006/relationships/hyperlink" Target="https://www.sec.gov/Archives/edgar/data/1838716/000149315221027683/ex5-1.htm" TargetMode="External"/><Relationship Id="rId21" Type="http://schemas.openxmlformats.org/officeDocument/2006/relationships/hyperlink" Target="https://www.sec.gov/Archives/edgar/data/1838716/000149315221029876/ex10-1.htm" TargetMode="External"/><Relationship Id="rId22" Type="http://schemas.openxmlformats.org/officeDocument/2006/relationships/hyperlink" Target="https://www.sec.gov/Archives/edgar/data/1838716/000149315221029876/ex10-2.htm" TargetMode="External"/><Relationship Id="rId23" Type="http://schemas.openxmlformats.org/officeDocument/2006/relationships/hyperlink" Target="https://www.sec.gov/Archives/edgar/data/1838716/000149315221029876/ex10-3.htm" TargetMode="External"/><Relationship Id="rId24" Type="http://schemas.openxmlformats.org/officeDocument/2006/relationships/hyperlink" Target="https://www.sec.gov/Archives/edgar/data/1838716/000149315221029876/ex10-4.htm" TargetMode="External"/><Relationship Id="rId25" Type="http://schemas.openxmlformats.org/officeDocument/2006/relationships/hyperlink" Target="https://www.sec.gov/Archives/edgar/data/1838716/000149315221029876/ex10-5.htm" TargetMode="External"/><Relationship Id="rId26" Type="http://schemas.openxmlformats.org/officeDocument/2006/relationships/hyperlink" Target="https://www.sec.gov/Archives/edgar/data/1838716/000149315221027683/ex10-6.htm" TargetMode="External"/><Relationship Id="rId27" Type="http://schemas.openxmlformats.org/officeDocument/2006/relationships/hyperlink" Target="https://www.sec.gov/Archives/edgar/data/1838716/000149315221027683/ex10-8.htm" TargetMode="External"/><Relationship Id="rId28" Type="http://schemas.openxmlformats.org/officeDocument/2006/relationships/hyperlink" Target="https://www.sec.gov/Archives/edgar/data/1838716/000149315221027683/ex10-9.htm" TargetMode="External"/><Relationship Id="rId29" Type="http://schemas.openxmlformats.org/officeDocument/2006/relationships/hyperlink" Target="https://www.sec.gov/Archives/edgar/data/1838716/000149315221027683/ex10-10.htm" TargetMode="External"/><Relationship Id="rId30" Type="http://schemas.openxmlformats.org/officeDocument/2006/relationships/hyperlink" Target="https://www.sec.gov/Archives/edgar/data/1838716/000149315221027683/ex10-11.htm" TargetMode="External"/><Relationship Id="rId31" Type="http://schemas.openxmlformats.org/officeDocument/2006/relationships/hyperlink" Target="https://www.sec.gov/Archives/edgar/data/1838716/000149315221027683/ex10-12.htm" TargetMode="External"/><Relationship Id="rId32" Type="http://schemas.openxmlformats.org/officeDocument/2006/relationships/hyperlink" Target="https://www.sec.gov/Archives/edgar/data/1838716/000149315221027683/ex23-1.htm" TargetMode="External"/><Relationship Id="rId33" Type="http://schemas.openxmlformats.org/officeDocument/2006/relationships/hyperlink" Target="https://www.sec.gov/Archives/edgar/data/1838716/000149315221027683/formf-1.htm#poa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2021-12-07T05:13:50Z</dcterms:created>
  <dcterms:modified xsi:type="dcterms:W3CDTF">2021-12-07T05:13:50Z</dcterms:modified>
</cp:coreProperties>
</file>