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Georgia" w:cs="Georgia" w:eastAsia="Georgia" w:hAnsi="Georgia"/>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Georgia" w:cs="Georgia" w:eastAsia="Georgia" w:hAnsi="Georgia"/>
          <w:sz w:val="32"/>
          <w:szCs w:val="32"/>
          <w:b w:val="1"/>
          <w:bCs w:val="1"/>
          <w:color w:val="auto"/>
        </w:rPr>
        <w:t>SECURITIES AND EXCHANGE COMMISSION</w:t>
      </w:r>
    </w:p>
    <w:p>
      <w:pPr>
        <w:jc w:val="center"/>
        <w:spacing w:after="0"/>
        <w:rPr>
          <w:sz w:val="20"/>
          <w:szCs w:val="20"/>
          <w:color w:val="auto"/>
        </w:rPr>
      </w:pPr>
      <w:r>
        <w:rPr>
          <w:rFonts w:ascii="Georgia" w:cs="Georgia" w:eastAsia="Georgia" w:hAnsi="Georgia"/>
          <w:sz w:val="22"/>
          <w:szCs w:val="22"/>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Georgia" w:cs="Georgia" w:eastAsia="Georgia" w:hAnsi="Georgia"/>
          <w:sz w:val="32"/>
          <w:szCs w:val="32"/>
          <w:b w:val="1"/>
          <w:bCs w:val="1"/>
          <w:color w:val="auto"/>
        </w:rPr>
        <w:t>FORM 20-F</w:t>
      </w:r>
    </w:p>
    <w:p>
      <w:pPr>
        <w:spacing w:after="0" w:line="199" w:lineRule="exact"/>
        <w:rPr>
          <w:sz w:val="24"/>
          <w:szCs w:val="24"/>
          <w:color w:val="auto"/>
        </w:rPr>
      </w:pPr>
    </w:p>
    <w:p>
      <w:pPr>
        <w:spacing w:after="0"/>
        <w:rPr>
          <w:sz w:val="20"/>
          <w:szCs w:val="20"/>
          <w:color w:val="auto"/>
        </w:rPr>
      </w:pPr>
      <w:r>
        <w:rPr>
          <w:rFonts w:ascii="Georgia" w:cs="Georgia" w:eastAsia="Georgia" w:hAnsi="Georgia"/>
          <w:sz w:val="18"/>
          <w:szCs w:val="18"/>
          <w:color w:val="auto"/>
        </w:rPr>
        <w:t>(Mark one)</w:t>
      </w:r>
    </w:p>
    <w:p>
      <w:pPr>
        <w:spacing w:after="0" w:line="202" w:lineRule="exact"/>
        <w:rPr>
          <w:sz w:val="24"/>
          <w:szCs w:val="24"/>
          <w:color w:val="auto"/>
        </w:rPr>
      </w:pPr>
    </w:p>
    <w:p>
      <w:pPr>
        <w:ind w:left="660" w:right="300" w:hanging="652"/>
        <w:spacing w:after="0" w:line="237" w:lineRule="auto"/>
        <w:tabs>
          <w:tab w:leader="none" w:pos="660" w:val="left"/>
        </w:tabs>
        <w:numPr>
          <w:ilvl w:val="0"/>
          <w:numId w:val="1"/>
        </w:numPr>
        <w:rPr>
          <w:rFonts w:ascii="MS PGothic" w:cs="MS PGothic" w:eastAsia="MS PGothic" w:hAnsi="MS PGothic"/>
          <w:sz w:val="18"/>
          <w:szCs w:val="18"/>
          <w:color w:val="auto"/>
        </w:rPr>
      </w:pPr>
      <w:r>
        <w:rPr>
          <w:rFonts w:ascii="Georgia" w:cs="Georgia" w:eastAsia="Georgia" w:hAnsi="Georgia"/>
          <w:sz w:val="18"/>
          <w:szCs w:val="18"/>
          <w:b w:val="1"/>
          <w:bCs w:val="1"/>
          <w:color w:val="auto"/>
        </w:rPr>
        <w:t>REGISTRATION STATEMENT PURSUANT TO SECTION 12(b) OR (g) OF THE SECURITIES EXCHANGE ACT OF 1934</w:t>
      </w:r>
    </w:p>
    <w:p>
      <w:pPr>
        <w:spacing w:after="0" w:line="202" w:lineRule="exact"/>
        <w:rPr>
          <w:sz w:val="24"/>
          <w:szCs w:val="24"/>
          <w:color w:val="auto"/>
        </w:rPr>
      </w:pPr>
    </w:p>
    <w:p>
      <w:pPr>
        <w:jc w:val="center"/>
        <w:spacing w:after="0"/>
        <w:rPr>
          <w:sz w:val="20"/>
          <w:szCs w:val="20"/>
          <w:color w:val="auto"/>
        </w:rPr>
      </w:pPr>
      <w:r>
        <w:rPr>
          <w:rFonts w:ascii="Georgia" w:cs="Georgia" w:eastAsia="Georgia" w:hAnsi="Georgia"/>
          <w:sz w:val="18"/>
          <w:szCs w:val="18"/>
          <w:color w:val="auto"/>
        </w:rPr>
        <w:t>OR</w:t>
      </w:r>
    </w:p>
    <w:p>
      <w:pPr>
        <w:spacing w:after="0" w:line="202" w:lineRule="exact"/>
        <w:rPr>
          <w:sz w:val="24"/>
          <w:szCs w:val="24"/>
          <w:color w:val="auto"/>
        </w:rPr>
      </w:pPr>
    </w:p>
    <w:p>
      <w:pPr>
        <w:ind w:left="660" w:right="960" w:hanging="652"/>
        <w:spacing w:after="0" w:line="473" w:lineRule="auto"/>
        <w:tabs>
          <w:tab w:leader="none" w:pos="660" w:val="left"/>
        </w:tabs>
        <w:numPr>
          <w:ilvl w:val="0"/>
          <w:numId w:val="2"/>
        </w:numPr>
        <w:rPr>
          <w:rFonts w:ascii="MS PGothic" w:cs="MS PGothic" w:eastAsia="MS PGothic" w:hAnsi="MS PGothic"/>
          <w:sz w:val="18"/>
          <w:szCs w:val="18"/>
          <w:color w:val="auto"/>
        </w:rPr>
      </w:pPr>
      <w:r>
        <w:rPr>
          <w:rFonts w:ascii="Georgia" w:cs="Georgia" w:eastAsia="Georgia" w:hAnsi="Georgia"/>
          <w:sz w:val="18"/>
          <w:szCs w:val="18"/>
          <w:b w:val="1"/>
          <w:bCs w:val="1"/>
          <w:color w:val="auto"/>
        </w:rPr>
        <w:t>ANNUAL REPORT PURSUANT TO SECTION 13 OR 15(d) OF THE SECURITIES EXCHANGE ACT OF 1934 For the fiscal year ended December 31, 2021</w:t>
      </w:r>
    </w:p>
    <w:p>
      <w:pPr>
        <w:spacing w:after="0" w:line="2" w:lineRule="exact"/>
        <w:rPr>
          <w:sz w:val="24"/>
          <w:szCs w:val="24"/>
          <w:color w:val="auto"/>
        </w:rPr>
      </w:pPr>
    </w:p>
    <w:p>
      <w:pPr>
        <w:jc w:val="center"/>
        <w:spacing w:after="0"/>
        <w:rPr>
          <w:sz w:val="20"/>
          <w:szCs w:val="20"/>
          <w:color w:val="auto"/>
        </w:rPr>
      </w:pPr>
      <w:r>
        <w:rPr>
          <w:rFonts w:ascii="Georgia" w:cs="Georgia" w:eastAsia="Georgia" w:hAnsi="Georgia"/>
          <w:sz w:val="18"/>
          <w:szCs w:val="18"/>
          <w:color w:val="auto"/>
        </w:rPr>
        <w:t>OR</w:t>
      </w:r>
    </w:p>
    <w:p>
      <w:pPr>
        <w:spacing w:after="0" w:line="202" w:lineRule="exact"/>
        <w:rPr>
          <w:sz w:val="24"/>
          <w:szCs w:val="24"/>
          <w:color w:val="auto"/>
        </w:rPr>
      </w:pPr>
    </w:p>
    <w:p>
      <w:pPr>
        <w:ind w:left="660" w:right="560" w:hanging="652"/>
        <w:spacing w:after="0" w:line="473" w:lineRule="auto"/>
        <w:tabs>
          <w:tab w:leader="none" w:pos="660" w:val="left"/>
        </w:tabs>
        <w:numPr>
          <w:ilvl w:val="0"/>
          <w:numId w:val="3"/>
        </w:numPr>
        <w:rPr>
          <w:rFonts w:ascii="MS PGothic" w:cs="MS PGothic" w:eastAsia="MS PGothic" w:hAnsi="MS PGothic"/>
          <w:sz w:val="18"/>
          <w:szCs w:val="18"/>
          <w:color w:val="auto"/>
        </w:rPr>
      </w:pPr>
      <w:r>
        <w:rPr>
          <w:rFonts w:ascii="Georgia" w:cs="Georgia" w:eastAsia="Georgia" w:hAnsi="Georgia"/>
          <w:sz w:val="18"/>
          <w:szCs w:val="18"/>
          <w:b w:val="1"/>
          <w:bCs w:val="1"/>
          <w:color w:val="auto"/>
        </w:rPr>
        <w:t>TRANSITION REPORT PURSUANT TO SECTION 13 OR 15(d) OF THE SECURITIES EXCHANGE ACT OF 1934 For the transition period from __________ to _________</w:t>
      </w:r>
    </w:p>
    <w:p>
      <w:pPr>
        <w:spacing w:after="0" w:line="2" w:lineRule="exact"/>
        <w:rPr>
          <w:sz w:val="24"/>
          <w:szCs w:val="24"/>
          <w:color w:val="auto"/>
        </w:rPr>
      </w:pPr>
    </w:p>
    <w:p>
      <w:pPr>
        <w:jc w:val="center"/>
        <w:spacing w:after="0"/>
        <w:rPr>
          <w:sz w:val="20"/>
          <w:szCs w:val="20"/>
          <w:color w:val="auto"/>
        </w:rPr>
      </w:pPr>
      <w:r>
        <w:rPr>
          <w:rFonts w:ascii="Georgia" w:cs="Georgia" w:eastAsia="Georgia" w:hAnsi="Georgia"/>
          <w:sz w:val="18"/>
          <w:szCs w:val="18"/>
          <w:color w:val="auto"/>
        </w:rPr>
        <w:t>OR</w:t>
      </w:r>
    </w:p>
    <w:p>
      <w:pPr>
        <w:spacing w:after="0" w:line="202" w:lineRule="exact"/>
        <w:rPr>
          <w:sz w:val="24"/>
          <w:szCs w:val="24"/>
          <w:color w:val="auto"/>
        </w:rPr>
      </w:pPr>
    </w:p>
    <w:p>
      <w:pPr>
        <w:ind w:left="660" w:right="100" w:hanging="652"/>
        <w:spacing w:after="0" w:line="473" w:lineRule="auto"/>
        <w:tabs>
          <w:tab w:leader="none" w:pos="660" w:val="left"/>
        </w:tabs>
        <w:numPr>
          <w:ilvl w:val="0"/>
          <w:numId w:val="4"/>
        </w:numPr>
        <w:rPr>
          <w:rFonts w:ascii="MS PGothic" w:cs="MS PGothic" w:eastAsia="MS PGothic" w:hAnsi="MS PGothic"/>
          <w:sz w:val="18"/>
          <w:szCs w:val="18"/>
          <w:color w:val="auto"/>
        </w:rPr>
      </w:pPr>
      <w:r>
        <w:rPr>
          <w:rFonts w:ascii="Georgia" w:cs="Georgia" w:eastAsia="Georgia" w:hAnsi="Georgia"/>
          <w:sz w:val="18"/>
          <w:szCs w:val="18"/>
          <w:b w:val="1"/>
          <w:bCs w:val="1"/>
          <w:color w:val="auto"/>
        </w:rPr>
        <w:t>SHELL COMPANY REPORT PURSUANT TO SECTION 13 OR 15(d) OF THE SECURITIES EXCHANGE ACT OF 1934 Date of event requiring this shell company report __________</w:t>
      </w:r>
    </w:p>
    <w:p>
      <w:pPr>
        <w:spacing w:after="0" w:line="2" w:lineRule="exact"/>
        <w:rPr>
          <w:sz w:val="24"/>
          <w:szCs w:val="24"/>
          <w:color w:val="auto"/>
        </w:rPr>
      </w:pPr>
    </w:p>
    <w:p>
      <w:pPr>
        <w:jc w:val="center"/>
        <w:spacing w:after="0"/>
        <w:rPr>
          <w:sz w:val="20"/>
          <w:szCs w:val="20"/>
          <w:color w:val="auto"/>
        </w:rPr>
      </w:pPr>
      <w:r>
        <w:rPr>
          <w:rFonts w:ascii="Georgia" w:cs="Georgia" w:eastAsia="Georgia" w:hAnsi="Georgia"/>
          <w:sz w:val="18"/>
          <w:szCs w:val="18"/>
          <w:color w:val="auto"/>
        </w:rPr>
        <w:t xml:space="preserve">Commission file number </w:t>
      </w:r>
      <w:r>
        <w:rPr>
          <w:rFonts w:ascii="Georgia" w:cs="Georgia" w:eastAsia="Georgia" w:hAnsi="Georgia"/>
          <w:sz w:val="18"/>
          <w:szCs w:val="18"/>
          <w:b w:val="1"/>
          <w:bCs w:val="1"/>
          <w:color w:val="auto"/>
        </w:rPr>
        <w:t>001-41115</w:t>
      </w:r>
    </w:p>
    <w:p>
      <w:pPr>
        <w:spacing w:after="0" w:line="205" w:lineRule="exact"/>
        <w:rPr>
          <w:sz w:val="24"/>
          <w:szCs w:val="24"/>
          <w:color w:val="auto"/>
        </w:rPr>
      </w:pPr>
    </w:p>
    <w:p>
      <w:pPr>
        <w:jc w:val="center"/>
        <w:spacing w:after="0"/>
        <w:rPr>
          <w:sz w:val="20"/>
          <w:szCs w:val="20"/>
          <w:color w:val="auto"/>
        </w:rPr>
      </w:pPr>
      <w:r>
        <w:rPr>
          <w:rFonts w:ascii="Georgia" w:cs="Georgia" w:eastAsia="Georgia" w:hAnsi="Georgia"/>
          <w:sz w:val="32"/>
          <w:szCs w:val="32"/>
          <w:b w:val="1"/>
          <w:bCs w:val="1"/>
          <w:color w:val="auto"/>
        </w:rPr>
        <w:t>Genenta Science S.p.A.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283845</wp:posOffset>
            </wp:positionV>
            <wp:extent cx="46291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9150" cy="1714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Georgia" w:cs="Georgia" w:eastAsia="Georgia" w:hAnsi="Georgia"/>
          <w:sz w:val="18"/>
          <w:szCs w:val="18"/>
          <w:color w:val="auto"/>
        </w:rPr>
        <w:t>(Exact name of the Registrant as specified in its charter)</w:t>
      </w:r>
    </w:p>
    <w:p>
      <w:pPr>
        <w:spacing w:after="0" w:line="200" w:lineRule="exact"/>
        <w:rPr>
          <w:sz w:val="24"/>
          <w:szCs w:val="24"/>
          <w:color w:val="auto"/>
        </w:rPr>
      </w:pPr>
    </w:p>
    <w:p>
      <w:pPr>
        <w:jc w:val="center"/>
        <w:spacing w:after="0"/>
        <w:rPr>
          <w:sz w:val="20"/>
          <w:szCs w:val="20"/>
          <w:color w:val="auto"/>
        </w:rPr>
      </w:pPr>
      <w:r>
        <w:rPr>
          <w:rFonts w:ascii="Georgia" w:cs="Georgia" w:eastAsia="Georgia" w:hAnsi="Georgia"/>
          <w:sz w:val="18"/>
          <w:szCs w:val="18"/>
          <w:color w:val="auto"/>
        </w:rPr>
        <w:t>Italy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130175</wp:posOffset>
            </wp:positionV>
            <wp:extent cx="46291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9150" cy="17145"/>
                    </a:xfrm>
                    <a:prstGeom prst="rect">
                      <a:avLst/>
                    </a:prstGeom>
                    <a:noFill/>
                  </pic:spPr>
                </pic:pic>
              </a:graphicData>
            </a:graphic>
          </wp:anchor>
        </w:drawing>
      </w:r>
    </w:p>
    <w:p>
      <w:pPr>
        <w:spacing w:after="0" w:line="207" w:lineRule="exact"/>
        <w:rPr>
          <w:sz w:val="24"/>
          <w:szCs w:val="24"/>
          <w:color w:val="auto"/>
        </w:rPr>
      </w:pPr>
    </w:p>
    <w:p>
      <w:pPr>
        <w:ind w:left="3780"/>
        <w:spacing w:after="0"/>
        <w:rPr>
          <w:sz w:val="20"/>
          <w:szCs w:val="20"/>
          <w:color w:val="auto"/>
        </w:rPr>
      </w:pPr>
      <w:r>
        <w:rPr>
          <w:rFonts w:ascii="Georgia" w:cs="Georgia" w:eastAsia="Georgia" w:hAnsi="Georgia"/>
          <w:sz w:val="18"/>
          <w:szCs w:val="18"/>
          <w:color w:val="auto"/>
        </w:rPr>
        <w:t>(Jurisdiction of incorporation or organization)</w:t>
      </w:r>
    </w:p>
    <w:p>
      <w:pPr>
        <w:spacing w:after="0" w:line="200" w:lineRule="exact"/>
        <w:rPr>
          <w:sz w:val="24"/>
          <w:szCs w:val="24"/>
          <w:color w:val="auto"/>
        </w:rPr>
      </w:pPr>
    </w:p>
    <w:p>
      <w:pPr>
        <w:ind w:left="4820"/>
        <w:spacing w:after="0"/>
        <w:rPr>
          <w:sz w:val="20"/>
          <w:szCs w:val="20"/>
          <w:color w:val="auto"/>
        </w:rPr>
      </w:pPr>
      <w:r>
        <w:rPr>
          <w:rFonts w:ascii="Georgia" w:cs="Georgia" w:eastAsia="Georgia" w:hAnsi="Georgia"/>
          <w:sz w:val="18"/>
          <w:szCs w:val="18"/>
          <w:color w:val="auto"/>
        </w:rPr>
        <w:t>Via Olgettina No. 58</w:t>
      </w:r>
    </w:p>
    <w:p>
      <w:pPr>
        <w:jc w:val="center"/>
        <w:spacing w:after="0" w:line="238" w:lineRule="auto"/>
        <w:rPr>
          <w:sz w:val="20"/>
          <w:szCs w:val="20"/>
          <w:color w:val="auto"/>
        </w:rPr>
      </w:pPr>
      <w:r>
        <w:rPr>
          <w:rFonts w:ascii="Georgia" w:cs="Georgia" w:eastAsia="Georgia" w:hAnsi="Georgia"/>
          <w:sz w:val="18"/>
          <w:szCs w:val="18"/>
          <w:color w:val="auto"/>
        </w:rPr>
        <w:t>20132 Milan, Italy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130175</wp:posOffset>
            </wp:positionV>
            <wp:extent cx="46291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29150" cy="17145"/>
                    </a:xfrm>
                    <a:prstGeom prst="rect">
                      <a:avLst/>
                    </a:prstGeom>
                    <a:noFill/>
                  </pic:spPr>
                </pic:pic>
              </a:graphicData>
            </a:graphic>
          </wp:anchor>
        </w:drawing>
      </w:r>
    </w:p>
    <w:p>
      <w:pPr>
        <w:spacing w:after="0" w:line="208" w:lineRule="exact"/>
        <w:rPr>
          <w:sz w:val="24"/>
          <w:szCs w:val="24"/>
          <w:color w:val="auto"/>
        </w:rPr>
      </w:pPr>
    </w:p>
    <w:p>
      <w:pPr>
        <w:ind w:left="4080"/>
        <w:spacing w:after="0"/>
        <w:rPr>
          <w:sz w:val="20"/>
          <w:szCs w:val="20"/>
          <w:color w:val="auto"/>
        </w:rPr>
      </w:pPr>
      <w:r>
        <w:rPr>
          <w:rFonts w:ascii="Georgia" w:cs="Georgia" w:eastAsia="Georgia" w:hAnsi="Georgia"/>
          <w:sz w:val="18"/>
          <w:szCs w:val="18"/>
          <w:color w:val="auto"/>
        </w:rPr>
        <w:t>(Address of principal executive offices)</w:t>
      </w:r>
    </w:p>
    <w:p>
      <w:pPr>
        <w:spacing w:after="0" w:line="200" w:lineRule="exact"/>
        <w:rPr>
          <w:sz w:val="24"/>
          <w:szCs w:val="24"/>
          <w:color w:val="auto"/>
        </w:rPr>
      </w:pPr>
    </w:p>
    <w:p>
      <w:pPr>
        <w:ind w:left="4820"/>
        <w:spacing w:after="0"/>
        <w:rPr>
          <w:sz w:val="20"/>
          <w:szCs w:val="20"/>
          <w:color w:val="auto"/>
        </w:rPr>
      </w:pPr>
      <w:r>
        <w:rPr>
          <w:rFonts w:ascii="Georgia" w:cs="Georgia" w:eastAsia="Georgia" w:hAnsi="Georgia"/>
          <w:sz w:val="18"/>
          <w:szCs w:val="18"/>
          <w:color w:val="auto"/>
        </w:rPr>
        <w:t>Via Olgettina No. 58</w:t>
      </w:r>
    </w:p>
    <w:p>
      <w:pPr>
        <w:jc w:val="center"/>
        <w:spacing w:after="0" w:line="237" w:lineRule="auto"/>
        <w:rPr>
          <w:sz w:val="20"/>
          <w:szCs w:val="20"/>
          <w:color w:val="auto"/>
        </w:rPr>
      </w:pPr>
      <w:r>
        <w:rPr>
          <w:rFonts w:ascii="Georgia" w:cs="Georgia" w:eastAsia="Georgia" w:hAnsi="Georgia"/>
          <w:sz w:val="18"/>
          <w:szCs w:val="18"/>
          <w:color w:val="auto"/>
        </w:rPr>
        <w:t>20132 Milan, Italy</w:t>
      </w:r>
    </w:p>
    <w:p>
      <w:pPr>
        <w:jc w:val="center"/>
        <w:spacing w:after="0" w:line="238" w:lineRule="auto"/>
        <w:rPr>
          <w:sz w:val="20"/>
          <w:szCs w:val="20"/>
          <w:color w:val="auto"/>
        </w:rPr>
      </w:pPr>
      <w:r>
        <w:rPr>
          <w:rFonts w:ascii="Georgia" w:cs="Georgia" w:eastAsia="Georgia" w:hAnsi="Georgia"/>
          <w:sz w:val="18"/>
          <w:szCs w:val="18"/>
          <w:color w:val="auto"/>
        </w:rPr>
        <w:t>Attn: Pierluigi Paracchi</w:t>
      </w:r>
    </w:p>
    <w:p>
      <w:pPr>
        <w:jc w:val="center"/>
        <w:spacing w:after="0" w:line="237" w:lineRule="auto"/>
        <w:rPr>
          <w:sz w:val="20"/>
          <w:szCs w:val="20"/>
          <w:color w:val="auto"/>
        </w:rPr>
      </w:pPr>
      <w:r>
        <w:rPr>
          <w:rFonts w:ascii="Georgia" w:cs="Georgia" w:eastAsia="Georgia" w:hAnsi="Georgia"/>
          <w:sz w:val="18"/>
          <w:szCs w:val="18"/>
          <w:color w:val="auto"/>
        </w:rPr>
        <w:t>Tel: +39-02-2643-4681</w:t>
      </w:r>
    </w:p>
    <w:p>
      <w:pPr>
        <w:jc w:val="center"/>
        <w:spacing w:after="0"/>
        <w:rPr>
          <w:sz w:val="20"/>
          <w:szCs w:val="20"/>
          <w:color w:val="auto"/>
        </w:rPr>
      </w:pPr>
      <w:r>
        <w:rPr>
          <w:rFonts w:ascii="Georgia" w:cs="Georgia" w:eastAsia="Georgia" w:hAnsi="Georgia"/>
          <w:sz w:val="18"/>
          <w:szCs w:val="18"/>
          <w:color w:val="auto"/>
        </w:rPr>
        <w:t>Email: Pierluigi.paracchi@genenta.com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129540</wp:posOffset>
            </wp:positionV>
            <wp:extent cx="46291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29150" cy="17145"/>
                    </a:xfrm>
                    <a:prstGeom prst="rect">
                      <a:avLst/>
                    </a:prstGeom>
                    <a:noFill/>
                  </pic:spPr>
                </pic:pic>
              </a:graphicData>
            </a:graphic>
          </wp:anchor>
        </w:drawing>
      </w:r>
    </w:p>
    <w:p>
      <w:pPr>
        <w:spacing w:after="0" w:line="206" w:lineRule="exact"/>
        <w:rPr>
          <w:sz w:val="24"/>
          <w:szCs w:val="24"/>
          <w:color w:val="auto"/>
        </w:rPr>
      </w:pPr>
    </w:p>
    <w:p>
      <w:pPr>
        <w:ind w:left="4280"/>
        <w:spacing w:after="0"/>
        <w:rPr>
          <w:sz w:val="20"/>
          <w:szCs w:val="20"/>
          <w:color w:val="auto"/>
        </w:rPr>
      </w:pPr>
      <w:r>
        <w:rPr>
          <w:rFonts w:ascii="Georgia" w:cs="Georgia" w:eastAsia="Georgia" w:hAnsi="Georgia"/>
          <w:sz w:val="18"/>
          <w:szCs w:val="18"/>
          <w:color w:val="auto"/>
        </w:rPr>
        <w:t>(Name, Telephone, E-mail and/or</w:t>
      </w:r>
    </w:p>
    <w:p>
      <w:pPr>
        <w:ind w:left="4400"/>
        <w:spacing w:after="0" w:line="237" w:lineRule="auto"/>
        <w:rPr>
          <w:sz w:val="20"/>
          <w:szCs w:val="20"/>
          <w:color w:val="auto"/>
        </w:rPr>
      </w:pPr>
      <w:r>
        <w:rPr>
          <w:rFonts w:ascii="Georgia" w:cs="Georgia" w:eastAsia="Georgia" w:hAnsi="Georgia"/>
          <w:sz w:val="18"/>
          <w:szCs w:val="18"/>
          <w:color w:val="auto"/>
        </w:rPr>
        <w:t>Facsimile number and Address</w:t>
      </w:r>
    </w:p>
    <w:p>
      <w:pPr>
        <w:ind w:left="4480"/>
        <w:spacing w:after="0"/>
        <w:rPr>
          <w:sz w:val="20"/>
          <w:szCs w:val="20"/>
          <w:color w:val="auto"/>
        </w:rPr>
      </w:pPr>
      <w:r>
        <w:rPr>
          <w:rFonts w:ascii="Georgia" w:cs="Georgia" w:eastAsia="Georgia" w:hAnsi="Georgia"/>
          <w:sz w:val="18"/>
          <w:szCs w:val="18"/>
          <w:color w:val="auto"/>
        </w:rPr>
        <w:t>of Company Contact Person)</w:t>
      </w:r>
    </w:p>
    <w:p>
      <w:pPr>
        <w:spacing w:after="0" w:line="200" w:lineRule="exact"/>
        <w:rPr>
          <w:sz w:val="24"/>
          <w:szCs w:val="24"/>
          <w:color w:val="auto"/>
        </w:rPr>
      </w:pPr>
    </w:p>
    <w:p>
      <w:pPr>
        <w:jc w:val="center"/>
        <w:spacing w:after="0"/>
        <w:rPr>
          <w:sz w:val="20"/>
          <w:szCs w:val="20"/>
          <w:color w:val="auto"/>
        </w:rPr>
      </w:pPr>
      <w:r>
        <w:rPr>
          <w:rFonts w:ascii="Georgia" w:cs="Georgia" w:eastAsia="Georgia" w:hAnsi="Georgia"/>
          <w:sz w:val="18"/>
          <w:szCs w:val="18"/>
          <w:color w:val="auto"/>
        </w:rPr>
        <w:t>Securities registered or to be registered pursuant to Section 12(b) of the Act: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20" w:type="dxa"/>
            <w:vAlign w:val="bottom"/>
            <w:gridSpan w:val="2"/>
          </w:tcPr>
          <w:p>
            <w:pPr>
              <w:jc w:val="center"/>
              <w:ind w:right="220"/>
              <w:spacing w:after="0"/>
              <w:rPr>
                <w:sz w:val="20"/>
                <w:szCs w:val="20"/>
                <w:color w:val="auto"/>
              </w:rPr>
            </w:pPr>
            <w:r>
              <w:rPr>
                <w:rFonts w:ascii="Georgia" w:cs="Georgia" w:eastAsia="Georgia" w:hAnsi="Georgia"/>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Georgia" w:cs="Georgia" w:eastAsia="Georgia" w:hAnsi="Georgia"/>
                <w:sz w:val="18"/>
                <w:szCs w:val="18"/>
                <w:b w:val="1"/>
                <w:bCs w:val="1"/>
                <w:color w:val="auto"/>
              </w:rPr>
              <w:t>Trading Symbol</w:t>
            </w:r>
          </w:p>
        </w:tc>
        <w:tc>
          <w:tcPr>
            <w:tcW w:w="4260" w:type="dxa"/>
            <w:vAlign w:val="bottom"/>
          </w:tcPr>
          <w:p>
            <w:pPr>
              <w:jc w:val="center"/>
              <w:spacing w:after="0"/>
              <w:rPr>
                <w:sz w:val="20"/>
                <w:szCs w:val="20"/>
                <w:color w:val="auto"/>
              </w:rPr>
            </w:pPr>
            <w:r>
              <w:rPr>
                <w:rFonts w:ascii="Georgia" w:cs="Georgia" w:eastAsia="Georgia" w:hAnsi="Georgia"/>
                <w:sz w:val="18"/>
                <w:szCs w:val="18"/>
                <w:b w:val="1"/>
                <w:bCs w:val="1"/>
                <w:color w:val="auto"/>
                <w:w w:val="99"/>
              </w:rPr>
              <w:t>Name of each exchange on which registered</w:t>
            </w:r>
          </w:p>
        </w:tc>
      </w:tr>
      <w:tr>
        <w:trPr>
          <w:trHeight w:val="194"/>
        </w:trPr>
        <w:tc>
          <w:tcPr>
            <w:tcW w:w="4280" w:type="dxa"/>
            <w:vAlign w:val="bottom"/>
            <w:tcBorders>
              <w:top w:val="single" w:sz="8" w:color="auto"/>
            </w:tcBorders>
          </w:tcPr>
          <w:p>
            <w:pPr>
              <w:jc w:val="center"/>
              <w:spacing w:after="0" w:line="194" w:lineRule="exact"/>
              <w:rPr>
                <w:sz w:val="20"/>
                <w:szCs w:val="20"/>
                <w:color w:val="auto"/>
              </w:rPr>
            </w:pPr>
            <w:r>
              <w:rPr>
                <w:rFonts w:ascii="Georgia" w:cs="Georgia" w:eastAsia="Georgia" w:hAnsi="Georgia"/>
                <w:sz w:val="18"/>
                <w:szCs w:val="18"/>
                <w:color w:val="auto"/>
                <w:w w:val="99"/>
              </w:rPr>
              <w:t>American Depositary Shares</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4" w:lineRule="exact"/>
              <w:rPr>
                <w:sz w:val="20"/>
                <w:szCs w:val="20"/>
                <w:color w:val="auto"/>
              </w:rPr>
            </w:pPr>
            <w:r>
              <w:rPr>
                <w:rFonts w:ascii="Georgia" w:cs="Georgia" w:eastAsia="Georgia" w:hAnsi="Georgia"/>
                <w:sz w:val="18"/>
                <w:szCs w:val="18"/>
                <w:color w:val="auto"/>
                <w:w w:val="99"/>
              </w:rPr>
              <w:t>GNTA</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4" w:lineRule="exact"/>
              <w:rPr>
                <w:sz w:val="20"/>
                <w:szCs w:val="20"/>
                <w:color w:val="auto"/>
              </w:rPr>
            </w:pPr>
            <w:r>
              <w:rPr>
                <w:rFonts w:ascii="Georgia" w:cs="Georgia" w:eastAsia="Georgia" w:hAnsi="Georgia"/>
                <w:sz w:val="18"/>
                <w:szCs w:val="18"/>
                <w:color w:val="auto"/>
                <w:w w:val="99"/>
              </w:rPr>
              <w:t>The Nasdaq Stock Market, LLC</w:t>
            </w:r>
          </w:p>
        </w:tc>
      </w:tr>
      <w:tr>
        <w:trPr>
          <w:trHeight w:val="203"/>
        </w:trPr>
        <w:tc>
          <w:tcPr>
            <w:tcW w:w="4520" w:type="dxa"/>
            <w:vAlign w:val="bottom"/>
            <w:gridSpan w:val="2"/>
          </w:tcPr>
          <w:p>
            <w:pPr>
              <w:jc w:val="center"/>
              <w:ind w:right="220"/>
              <w:spacing w:after="0" w:line="203" w:lineRule="exact"/>
              <w:rPr>
                <w:sz w:val="20"/>
                <w:szCs w:val="20"/>
                <w:color w:val="auto"/>
              </w:rPr>
            </w:pPr>
            <w:r>
              <w:rPr>
                <w:rFonts w:ascii="Georgia" w:cs="Georgia" w:eastAsia="Georgia" w:hAnsi="Georgia"/>
                <w:sz w:val="18"/>
                <w:szCs w:val="18"/>
                <w:color w:val="auto"/>
              </w:rPr>
              <w:t>Ordinary Shares, no par value*</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r>
    </w:tbl>
    <w:p>
      <w:pPr>
        <w:spacing w:after="0" w:line="202" w:lineRule="exact"/>
        <w:rPr>
          <w:sz w:val="24"/>
          <w:szCs w:val="24"/>
          <w:color w:val="auto"/>
        </w:rPr>
      </w:pPr>
    </w:p>
    <w:p>
      <w:pPr>
        <w:jc w:val="center"/>
        <w:ind w:left="2620" w:right="640" w:hanging="1979"/>
        <w:spacing w:after="0" w:line="473" w:lineRule="auto"/>
        <w:tabs>
          <w:tab w:leader="none" w:pos="771" w:val="left"/>
        </w:tabs>
        <w:numPr>
          <w:ilvl w:val="0"/>
          <w:numId w:val="5"/>
        </w:numPr>
        <w:rPr>
          <w:rFonts w:ascii="Georgia" w:cs="Georgia" w:eastAsia="Georgia" w:hAnsi="Georgia"/>
          <w:sz w:val="18"/>
          <w:szCs w:val="18"/>
          <w:color w:val="auto"/>
        </w:rPr>
      </w:pPr>
      <w:r>
        <w:rPr>
          <w:rFonts w:ascii="Georgia" w:cs="Georgia" w:eastAsia="Georgia" w:hAnsi="Georgia"/>
          <w:sz w:val="18"/>
          <w:szCs w:val="18"/>
          <w:color w:val="auto"/>
        </w:rPr>
        <w:t>Not for trading, but only in connection with the quotation of the American Depositary Shares on The Nasdaq Capital Market Securities registered or to be registered pursuant to Section 12(g) of the Act:</w:t>
      </w:r>
    </w:p>
    <w:p>
      <w:pPr>
        <w:spacing w:after="0" w:line="2" w:lineRule="exact"/>
        <w:rPr>
          <w:sz w:val="24"/>
          <w:szCs w:val="24"/>
          <w:color w:val="auto"/>
        </w:rPr>
      </w:pPr>
    </w:p>
    <w:p>
      <w:pPr>
        <w:ind w:left="4900"/>
        <w:spacing w:after="0"/>
        <w:rPr>
          <w:sz w:val="20"/>
          <w:szCs w:val="20"/>
          <w:color w:val="auto"/>
        </w:rPr>
      </w:pPr>
      <w:r>
        <w:rPr>
          <w:rFonts w:ascii="Georgia" w:cs="Georgia" w:eastAsia="Georgia" w:hAnsi="Georgia"/>
          <w:sz w:val="18"/>
          <w:szCs w:val="18"/>
          <w:u w:val="single" w:color="auto"/>
          <w:color w:val="auto"/>
        </w:rPr>
        <w:t>Title of Each Class</w:t>
      </w:r>
    </w:p>
    <w:p>
      <w:pPr>
        <w:spacing w:after="0" w:line="200" w:lineRule="exact"/>
        <w:rPr>
          <w:sz w:val="24"/>
          <w:szCs w:val="24"/>
          <w:color w:val="auto"/>
        </w:rPr>
      </w:pPr>
    </w:p>
    <w:p>
      <w:pPr>
        <w:ind w:left="5400"/>
        <w:spacing w:after="0"/>
        <w:rPr>
          <w:sz w:val="20"/>
          <w:szCs w:val="20"/>
          <w:color w:val="auto"/>
        </w:rPr>
      </w:pPr>
      <w:r>
        <w:rPr>
          <w:rFonts w:ascii="Georgia" w:cs="Georgia" w:eastAsia="Georgia" w:hAnsi="Georgia"/>
          <w:sz w:val="18"/>
          <w:szCs w:val="18"/>
          <w:color w:val="auto"/>
        </w:rPr>
        <w:t>None</w:t>
      </w:r>
    </w:p>
    <w:p>
      <w:pPr>
        <w:spacing w:after="0" w:line="200" w:lineRule="exact"/>
        <w:rPr>
          <w:sz w:val="24"/>
          <w:szCs w:val="24"/>
          <w:color w:val="auto"/>
        </w:rPr>
      </w:pPr>
    </w:p>
    <w:p>
      <w:pPr>
        <w:spacing w:after="0"/>
        <w:rPr>
          <w:sz w:val="20"/>
          <w:szCs w:val="20"/>
          <w:color w:val="auto"/>
        </w:rPr>
      </w:pPr>
      <w:r>
        <w:rPr>
          <w:rFonts w:ascii="Georgia" w:cs="Georgia" w:eastAsia="Georgia" w:hAnsi="Georgia"/>
          <w:sz w:val="18"/>
          <w:szCs w:val="18"/>
          <w:color w:val="auto"/>
        </w:rPr>
        <w:t>Securities for which there is a reporting obligation pursuant to Section 15(d) of the Act: None</w:t>
      </w:r>
    </w:p>
    <w:p>
      <w:pPr>
        <w:spacing w:after="0" w:line="200" w:lineRule="exact"/>
        <w:rPr>
          <w:sz w:val="24"/>
          <w:szCs w:val="24"/>
          <w:color w:val="auto"/>
        </w:rPr>
      </w:pPr>
    </w:p>
    <w:p>
      <w:pPr>
        <w:spacing w:after="0"/>
        <w:rPr>
          <w:sz w:val="20"/>
          <w:szCs w:val="20"/>
          <w:color w:val="auto"/>
        </w:rPr>
      </w:pPr>
      <w:r>
        <w:rPr>
          <w:rFonts w:ascii="Georgia" w:cs="Georgia" w:eastAsia="Georgia" w:hAnsi="Georgia"/>
          <w:sz w:val="18"/>
          <w:szCs w:val="18"/>
          <w:color w:val="auto"/>
        </w:rPr>
        <w:t>On April 26, 2022, the registrant had 18,216,858, ordinary shares outstanding.</w:t>
      </w:r>
    </w:p>
    <w:p>
      <w:pPr>
        <w:spacing w:after="0" w:line="200" w:lineRule="exact"/>
        <w:rPr>
          <w:sz w:val="24"/>
          <w:szCs w:val="24"/>
          <w:color w:val="auto"/>
        </w:rPr>
      </w:pPr>
    </w:p>
    <w:p>
      <w:pPr>
        <w:spacing w:after="0"/>
        <w:rPr>
          <w:sz w:val="20"/>
          <w:szCs w:val="20"/>
          <w:color w:val="auto"/>
        </w:rPr>
      </w:pPr>
      <w:r>
        <w:rPr>
          <w:rFonts w:ascii="Georgia" w:cs="Georgia" w:eastAsia="Georgia" w:hAnsi="Georgia"/>
          <w:sz w:val="18"/>
          <w:szCs w:val="18"/>
          <w:color w:val="auto"/>
        </w:rPr>
        <w:t>Indicate by check mark if the registrant is a well-known seasoned issuer, as defined in Rule 405 of the Securities Act.</w:t>
      </w:r>
    </w:p>
    <w:p>
      <w:pPr>
        <w:sectPr>
          <w:pgSz w:w="11900" w:h="16838" w:orient="portrait"/>
          <w:cols w:equalWidth="0" w:num="1">
            <w:col w:w="11240"/>
          </w:cols>
          <w:pgMar w:left="320" w:top="760" w:right="339" w:bottom="0" w:gutter="0" w:footer="0" w:header="0"/>
        </w:sectPr>
      </w:pPr>
    </w:p>
    <w:bookmarkStart w:id="1" w:name="page2"/>
    <w:bookmarkEnd w:id="1"/>
    <w:p>
      <w:pPr>
        <w:ind w:left="9420"/>
        <w:spacing w:after="0" w:line="205" w:lineRule="exact"/>
        <w:tabs>
          <w:tab w:leader="none" w:pos="10780" w:val="left"/>
        </w:tabs>
        <w:rPr>
          <w:sz w:val="20"/>
          <w:szCs w:val="20"/>
          <w:color w:val="auto"/>
        </w:rPr>
      </w:pPr>
      <w:r>
        <w:rPr>
          <w:rFonts w:ascii="MS PGothic" w:cs="MS PGothic" w:eastAsia="MS PGothic" w:hAnsi="MS PGothic"/>
          <w:sz w:val="18"/>
          <w:szCs w:val="18"/>
          <w:color w:val="auto"/>
        </w:rPr>
        <w:t>☐</w:t>
      </w:r>
      <w:r>
        <w:rPr>
          <w:rFonts w:ascii="Georgia" w:cs="Georgia" w:eastAsia="Georgia" w:hAnsi="Georgia"/>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Georgia" w:cs="Georgia" w:eastAsia="Georgia" w:hAnsi="Georgia"/>
          <w:sz w:val="16"/>
          <w:szCs w:val="16"/>
          <w:color w:val="auto"/>
        </w:rPr>
        <w:t>No</w:t>
      </w:r>
    </w:p>
    <w:p>
      <w:pPr>
        <w:spacing w:after="0" w:line="244"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If this report is an annual or transition report, indicate by check mark if the registrant is not required to file reports pursuant to Section 13 or 15(d) of the Securities Exchange Act of 1934.</w:t>
      </w:r>
    </w:p>
    <w:p>
      <w:pPr>
        <w:spacing w:after="0" w:line="160" w:lineRule="exact"/>
        <w:rPr>
          <w:sz w:val="20"/>
          <w:szCs w:val="20"/>
          <w:color w:val="auto"/>
        </w:rPr>
      </w:pPr>
    </w:p>
    <w:p>
      <w:pPr>
        <w:ind w:left="9420"/>
        <w:spacing w:after="0" w:line="205" w:lineRule="exact"/>
        <w:tabs>
          <w:tab w:leader="none" w:pos="10780" w:val="left"/>
        </w:tabs>
        <w:rPr>
          <w:sz w:val="20"/>
          <w:szCs w:val="20"/>
          <w:color w:val="auto"/>
        </w:rPr>
      </w:pPr>
      <w:r>
        <w:rPr>
          <w:rFonts w:ascii="MS PGothic" w:cs="MS PGothic" w:eastAsia="MS PGothic" w:hAnsi="MS PGothic"/>
          <w:sz w:val="18"/>
          <w:szCs w:val="18"/>
          <w:color w:val="auto"/>
        </w:rPr>
        <w:t>☐</w:t>
      </w:r>
      <w:r>
        <w:rPr>
          <w:rFonts w:ascii="Georgia" w:cs="Georgia" w:eastAsia="Georgia" w:hAnsi="Georgia"/>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Georgia" w:cs="Georgia" w:eastAsia="Georgia" w:hAnsi="Georgia"/>
          <w:sz w:val="16"/>
          <w:szCs w:val="16"/>
          <w:color w:val="auto"/>
        </w:rPr>
        <w:t>No</w:t>
      </w:r>
    </w:p>
    <w:p>
      <w:pPr>
        <w:spacing w:after="0" w:line="24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0" w:lineRule="exact"/>
        <w:rPr>
          <w:sz w:val="20"/>
          <w:szCs w:val="20"/>
          <w:color w:val="auto"/>
        </w:rPr>
      </w:pPr>
    </w:p>
    <w:p>
      <w:pPr>
        <w:jc w:val="right"/>
        <w:spacing w:after="0" w:line="205" w:lineRule="exact"/>
        <w:tabs>
          <w:tab w:leader="none" w:pos="420" w:val="left"/>
        </w:tabs>
        <w:rPr>
          <w:sz w:val="20"/>
          <w:szCs w:val="20"/>
          <w:color w:val="auto"/>
        </w:rPr>
      </w:pPr>
      <w:r>
        <w:rPr>
          <w:rFonts w:ascii="MS PGothic" w:cs="MS PGothic" w:eastAsia="MS PGothic" w:hAnsi="MS PGothic"/>
          <w:sz w:val="18"/>
          <w:szCs w:val="18"/>
          <w:color w:val="auto"/>
        </w:rPr>
        <w:t>☒</w:t>
      </w:r>
      <w:r>
        <w:rPr>
          <w:rFonts w:ascii="Georgia" w:cs="Georgia" w:eastAsia="Georgia" w:hAnsi="Georgia"/>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Georgia" w:cs="Georgia" w:eastAsia="Georgia" w:hAnsi="Georgia"/>
          <w:sz w:val="16"/>
          <w:szCs w:val="16"/>
          <w:color w:val="auto"/>
        </w:rPr>
        <w:t>No</w:t>
      </w:r>
    </w:p>
    <w:p>
      <w:pPr>
        <w:spacing w:after="0" w:line="244"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60" w:lineRule="exact"/>
        <w:rPr>
          <w:sz w:val="20"/>
          <w:szCs w:val="20"/>
          <w:color w:val="auto"/>
        </w:rPr>
      </w:pPr>
    </w:p>
    <w:p>
      <w:pPr>
        <w:jc w:val="right"/>
        <w:spacing w:after="0" w:line="205" w:lineRule="exact"/>
        <w:tabs>
          <w:tab w:leader="none" w:pos="420" w:val="left"/>
        </w:tabs>
        <w:rPr>
          <w:sz w:val="20"/>
          <w:szCs w:val="20"/>
          <w:color w:val="auto"/>
        </w:rPr>
      </w:pPr>
      <w:r>
        <w:rPr>
          <w:rFonts w:ascii="MS PGothic" w:cs="MS PGothic" w:eastAsia="MS PGothic" w:hAnsi="MS PGothic"/>
          <w:sz w:val="18"/>
          <w:szCs w:val="18"/>
          <w:color w:val="auto"/>
        </w:rPr>
        <w:t>☒</w:t>
      </w:r>
      <w:r>
        <w:rPr>
          <w:rFonts w:ascii="Georgia" w:cs="Georgia" w:eastAsia="Georgia" w:hAnsi="Georgia"/>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Georgia" w:cs="Georgia" w:eastAsia="Georgia" w:hAnsi="Georgia"/>
          <w:sz w:val="16"/>
          <w:szCs w:val="16"/>
          <w:color w:val="auto"/>
        </w:rPr>
        <w:t>No</w:t>
      </w:r>
    </w:p>
    <w:p>
      <w:pPr>
        <w:spacing w:after="0" w:line="244" w:lineRule="exact"/>
        <w:rPr>
          <w:sz w:val="20"/>
          <w:szCs w:val="20"/>
          <w:color w:val="auto"/>
        </w:rPr>
      </w:pPr>
    </w:p>
    <w:p>
      <w:pPr>
        <w:ind w:right="500"/>
        <w:spacing w:after="0" w:line="237" w:lineRule="auto"/>
        <w:rPr>
          <w:sz w:val="20"/>
          <w:szCs w:val="20"/>
          <w:color w:val="auto"/>
        </w:rPr>
      </w:pPr>
      <w:r>
        <w:rPr>
          <w:rFonts w:ascii="Georgia" w:cs="Georgia" w:eastAsia="Georgia" w:hAnsi="Georgia"/>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40"/>
          </w:cols>
          <w:pgMar w:left="320" w:top="295" w:right="339" w:bottom="1440" w:gutter="0" w:footer="0" w:header="0"/>
        </w:sectPr>
      </w:pPr>
    </w:p>
    <w:p>
      <w:pPr>
        <w:spacing w:after="0" w:line="160" w:lineRule="exact"/>
        <w:rPr>
          <w:sz w:val="20"/>
          <w:szCs w:val="20"/>
          <w:color w:val="auto"/>
        </w:rPr>
      </w:pPr>
    </w:p>
    <w:p>
      <w:pPr>
        <w:ind w:left="8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Georgia" w:cs="Georgia" w:eastAsia="Georgia" w:hAnsi="Georgia"/>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Georgia" w:cs="Georgia" w:eastAsia="Georgia" w:hAnsi="Georgia"/>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640"/>
        <w:spacing w:after="0" w:line="205" w:lineRule="exact"/>
        <w:rPr>
          <w:sz w:val="20"/>
          <w:szCs w:val="20"/>
          <w:color w:val="auto"/>
        </w:rPr>
      </w:pPr>
      <w:r>
        <w:rPr>
          <w:rFonts w:ascii="MS PGothic" w:cs="MS PGothic" w:eastAsia="MS PGothic" w:hAnsi="MS PGothic"/>
          <w:sz w:val="18"/>
          <w:szCs w:val="18"/>
          <w:color w:val="auto"/>
        </w:rPr>
        <w:t>☒</w:t>
      </w:r>
      <w:r>
        <w:rPr>
          <w:rFonts w:ascii="Georgia" w:cs="Georgia" w:eastAsia="Georgia" w:hAnsi="Georgia"/>
          <w:sz w:val="18"/>
          <w:szCs w:val="18"/>
          <w:color w:val="auto"/>
        </w:rPr>
        <w:t xml:space="preserve"> Non-accelerated filer</w:t>
      </w:r>
    </w:p>
    <w:p>
      <w:pPr>
        <w:spacing w:after="0" w:line="42" w:lineRule="exact"/>
        <w:rPr>
          <w:sz w:val="20"/>
          <w:szCs w:val="20"/>
          <w:color w:val="auto"/>
        </w:rPr>
      </w:pPr>
    </w:p>
    <w:p>
      <w:pPr>
        <w:jc w:val="center"/>
        <w:ind w:right="640"/>
        <w:spacing w:after="0" w:line="194" w:lineRule="exact"/>
        <w:rPr>
          <w:sz w:val="20"/>
          <w:szCs w:val="20"/>
          <w:color w:val="auto"/>
        </w:rPr>
      </w:pPr>
      <w:r>
        <w:rPr>
          <w:rFonts w:ascii="MS PGothic" w:cs="MS PGothic" w:eastAsia="MS PGothic" w:hAnsi="MS PGothic"/>
          <w:sz w:val="17"/>
          <w:szCs w:val="17"/>
          <w:color w:val="auto"/>
        </w:rPr>
        <w:t>☒</w:t>
      </w:r>
      <w:r>
        <w:rPr>
          <w:rFonts w:ascii="Georgia" w:cs="Georgia" w:eastAsia="Georgia" w:hAnsi="Georgia"/>
          <w:sz w:val="17"/>
          <w:szCs w:val="17"/>
          <w:color w:val="auto"/>
        </w:rPr>
        <w:t xml:space="preserve"> Emerging Growth Company</w:t>
      </w:r>
    </w:p>
    <w:p>
      <w:pPr>
        <w:spacing w:after="0" w:line="200" w:lineRule="exact"/>
        <w:rPr>
          <w:sz w:val="20"/>
          <w:szCs w:val="20"/>
          <w:color w:val="auto"/>
        </w:rPr>
      </w:pPr>
    </w:p>
    <w:p>
      <w:pPr>
        <w:sectPr>
          <w:pgSz w:w="11900" w:h="16838" w:orient="portrait"/>
          <w:cols w:equalWidth="0" w:num="5">
            <w:col w:w="1020" w:space="60"/>
            <w:col w:w="3080" w:space="720"/>
            <w:col w:w="160" w:space="40"/>
            <w:col w:w="2380" w:space="720"/>
            <w:col w:w="3060"/>
          </w:cols>
          <w:pgMar w:left="320" w:top="295"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Georgia" w:cs="Georgia" w:eastAsia="Georgia" w:hAnsi="Georgia"/>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295" w:right="339" w:bottom="1440" w:gutter="0" w:footer="0" w:header="0"/>
          <w:type w:val="continuous"/>
        </w:sectPr>
      </w:pPr>
    </w:p>
    <w:p>
      <w:pPr>
        <w:spacing w:after="0" w:line="158" w:lineRule="exact"/>
        <w:rPr>
          <w:sz w:val="20"/>
          <w:szCs w:val="20"/>
          <w:color w:val="auto"/>
        </w:rPr>
      </w:pPr>
    </w:p>
    <w:p>
      <w:pPr>
        <w:ind w:left="1340"/>
        <w:spacing w:after="0" w:line="194" w:lineRule="exact"/>
        <w:rPr>
          <w:sz w:val="20"/>
          <w:szCs w:val="20"/>
          <w:color w:val="auto"/>
        </w:rPr>
      </w:pPr>
      <w:r>
        <w:rPr>
          <w:rFonts w:ascii="MS PGothic" w:cs="MS PGothic" w:eastAsia="MS PGothic" w:hAnsi="MS PGothic"/>
          <w:sz w:val="17"/>
          <w:szCs w:val="17"/>
          <w:color w:val="auto"/>
        </w:rPr>
        <w:t>☒</w:t>
      </w:r>
      <w:r>
        <w:rPr>
          <w:rFonts w:ascii="Georgia" w:cs="Georgia" w:eastAsia="Georgia" w:hAnsi="Georgia"/>
          <w:sz w:val="17"/>
          <w:szCs w:val="17"/>
          <w:color w:val="auto"/>
        </w:rPr>
        <w:t xml:space="preserve"> U.S. GAAP</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60"/>
        <w:spacing w:after="0" w:line="194" w:lineRule="exact"/>
        <w:rPr>
          <w:sz w:val="20"/>
          <w:szCs w:val="20"/>
          <w:color w:val="auto"/>
        </w:rPr>
      </w:pPr>
      <w:r>
        <w:rPr>
          <w:rFonts w:ascii="MS PGothic" w:cs="MS PGothic" w:eastAsia="MS PGothic" w:hAnsi="MS PGothic"/>
          <w:sz w:val="17"/>
          <w:szCs w:val="17"/>
          <w:color w:val="auto"/>
        </w:rPr>
        <w:t>☐</w:t>
      </w:r>
      <w:r>
        <w:rPr>
          <w:rFonts w:ascii="Georgia" w:cs="Georgia" w:eastAsia="Georgia" w:hAnsi="Georgia"/>
          <w:sz w:val="17"/>
          <w:szCs w:val="17"/>
          <w:color w:val="auto"/>
        </w:rPr>
        <w:t xml:space="preserve"> International Financial Reporting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Georgia" w:cs="Georgia" w:eastAsia="Georgia" w:hAnsi="Georgia"/>
          <w:sz w:val="17"/>
          <w:szCs w:val="17"/>
          <w:color w:val="auto"/>
        </w:rPr>
        <w:t>Other</w:t>
      </w:r>
    </w:p>
    <w:p>
      <w:pPr>
        <w:spacing w:after="0" w:line="19" w:lineRule="exact"/>
        <w:rPr>
          <w:sz w:val="20"/>
          <w:szCs w:val="20"/>
          <w:color w:val="auto"/>
        </w:rPr>
      </w:pPr>
    </w:p>
    <w:p>
      <w:pPr>
        <w:sectPr>
          <w:pgSz w:w="11900" w:h="16838" w:orient="portrait"/>
          <w:cols w:equalWidth="0" w:num="4">
            <w:col w:w="3460" w:space="720"/>
            <w:col w:w="4160" w:space="720"/>
            <w:col w:w="160" w:space="40"/>
            <w:col w:w="1980"/>
          </w:cols>
          <w:pgMar w:left="320" w:top="295" w:right="339" w:bottom="1440" w:gutter="0" w:footer="0" w:header="0"/>
          <w:type w:val="continuous"/>
        </w:sectPr>
      </w:pPr>
    </w:p>
    <w:p>
      <w:pPr>
        <w:jc w:val="center"/>
        <w:ind w:right="-19"/>
        <w:spacing w:after="0"/>
        <w:rPr>
          <w:sz w:val="20"/>
          <w:szCs w:val="20"/>
          <w:color w:val="auto"/>
        </w:rPr>
      </w:pPr>
      <w:r>
        <w:rPr>
          <w:rFonts w:ascii="Georgia" w:cs="Georgia" w:eastAsia="Georgia" w:hAnsi="Georgia"/>
          <w:sz w:val="17"/>
          <w:szCs w:val="17"/>
          <w:color w:val="auto"/>
        </w:rPr>
        <w:t>Standards as issued by the International</w:t>
      </w:r>
    </w:p>
    <w:p>
      <w:pPr>
        <w:jc w:val="center"/>
        <w:ind w:right="-19"/>
        <w:spacing w:after="0" w:line="238" w:lineRule="auto"/>
        <w:rPr>
          <w:sz w:val="20"/>
          <w:szCs w:val="20"/>
          <w:color w:val="auto"/>
        </w:rPr>
      </w:pPr>
      <w:r>
        <w:rPr>
          <w:rFonts w:ascii="Georgia" w:cs="Georgia" w:eastAsia="Georgia" w:hAnsi="Georgia"/>
          <w:sz w:val="18"/>
          <w:szCs w:val="18"/>
          <w:color w:val="auto"/>
        </w:rPr>
        <w:t>Accounting Standards Board</w:t>
      </w:r>
    </w:p>
    <w:p>
      <w:pPr>
        <w:sectPr>
          <w:pgSz w:w="11900" w:h="16838" w:orient="portrait"/>
          <w:cols w:equalWidth="0" w:num="1">
            <w:col w:w="11240"/>
          </w:cols>
          <w:pgMar w:left="320" w:top="295" w:right="339" w:bottom="1440" w:gutter="0" w:footer="0" w:header="0"/>
          <w:type w:val="continuous"/>
        </w:sectPr>
      </w:pPr>
    </w:p>
    <w:p>
      <w:pPr>
        <w:spacing w:after="0" w:line="202" w:lineRule="exact"/>
        <w:rPr>
          <w:sz w:val="20"/>
          <w:szCs w:val="20"/>
          <w:color w:val="auto"/>
        </w:rPr>
      </w:pPr>
    </w:p>
    <w:p>
      <w:pPr>
        <w:ind w:right="80"/>
        <w:spacing w:after="0" w:line="214" w:lineRule="exact"/>
        <w:rPr>
          <w:sz w:val="20"/>
          <w:szCs w:val="20"/>
          <w:color w:val="auto"/>
        </w:rPr>
      </w:pPr>
      <w:r>
        <w:rPr>
          <w:rFonts w:ascii="Georgia" w:cs="Georgia" w:eastAsia="Georgia" w:hAnsi="Georgia"/>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7"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________________________________________</w:t>
      </w:r>
    </w:p>
    <w:p>
      <w:pPr>
        <w:spacing w:after="0" w:line="202" w:lineRule="exact"/>
        <w:rPr>
          <w:sz w:val="20"/>
          <w:szCs w:val="20"/>
          <w:color w:val="auto"/>
        </w:rPr>
      </w:pPr>
    </w:p>
    <w:p>
      <w:pPr>
        <w:ind w:right="380" w:firstLine="8"/>
        <w:spacing w:after="0" w:line="237" w:lineRule="auto"/>
        <w:tabs>
          <w:tab w:leader="none" w:pos="128" w:val="left"/>
        </w:tabs>
        <w:numPr>
          <w:ilvl w:val="0"/>
          <w:numId w:val="6"/>
        </w:numPr>
        <w:rPr>
          <w:rFonts w:ascii="Georgia" w:cs="Georgia" w:eastAsia="Georgia" w:hAnsi="Georgia"/>
          <w:sz w:val="18"/>
          <w:szCs w:val="18"/>
          <w:color w:val="auto"/>
        </w:rPr>
      </w:pPr>
      <w:r>
        <w:rPr>
          <w:rFonts w:ascii="Georgia" w:cs="Georgia" w:eastAsia="Georgia" w:hAnsi="Georgia"/>
          <w:sz w:val="18"/>
          <w:szCs w:val="18"/>
          <w:color w:val="auto"/>
        </w:rPr>
        <w:t>The term “new or revised financial accounting standard” refers to any update issued by the Financial Accounting Standards Board to its Accounting Standards Codification after April 5, 2012.</w:t>
      </w:r>
    </w:p>
    <w:p>
      <w:pPr>
        <w:spacing w:after="0" w:line="204"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If “Other” has been checked in response to the previous question, indicate by check mark which financial statement item the registrant has elected to follow.</w:t>
      </w:r>
    </w:p>
    <w:p>
      <w:pPr>
        <w:spacing w:after="0" w:line="160" w:lineRule="exact"/>
        <w:rPr>
          <w:sz w:val="20"/>
          <w:szCs w:val="20"/>
          <w:color w:val="auto"/>
        </w:rPr>
      </w:pPr>
    </w:p>
    <w:p>
      <w:pPr>
        <w:ind w:left="8660"/>
        <w:spacing w:after="0" w:line="205" w:lineRule="exact"/>
        <w:tabs>
          <w:tab w:leader="none" w:pos="10400" w:val="left"/>
        </w:tabs>
        <w:rPr>
          <w:sz w:val="20"/>
          <w:szCs w:val="20"/>
          <w:color w:val="auto"/>
        </w:rPr>
      </w:pPr>
      <w:r>
        <w:rPr>
          <w:rFonts w:ascii="MS PGothic" w:cs="MS PGothic" w:eastAsia="MS PGothic" w:hAnsi="MS PGothic"/>
          <w:sz w:val="18"/>
          <w:szCs w:val="18"/>
          <w:color w:val="auto"/>
        </w:rPr>
        <w:t>☐</w:t>
      </w:r>
      <w:r>
        <w:rPr>
          <w:rFonts w:ascii="Georgia" w:cs="Georgia" w:eastAsia="Georgia" w:hAnsi="Georgia"/>
          <w:sz w:val="18"/>
          <w:szCs w:val="18"/>
          <w:color w:val="auto"/>
        </w:rPr>
        <w:t xml:space="preserve"> Item 17</w:t>
      </w:r>
      <w:r>
        <w:rPr>
          <w:sz w:val="20"/>
          <w:szCs w:val="20"/>
          <w:color w:val="auto"/>
        </w:rPr>
        <w:tab/>
      </w:r>
      <w:r>
        <w:rPr>
          <w:rFonts w:ascii="MS PGothic" w:cs="MS PGothic" w:eastAsia="MS PGothic" w:hAnsi="MS PGothic"/>
          <w:sz w:val="17"/>
          <w:szCs w:val="17"/>
          <w:color w:val="auto"/>
        </w:rPr>
        <w:t xml:space="preserve">☐ </w:t>
      </w:r>
      <w:r>
        <w:rPr>
          <w:rFonts w:ascii="Georgia" w:cs="Georgia" w:eastAsia="Georgia" w:hAnsi="Georgia"/>
          <w:sz w:val="17"/>
          <w:szCs w:val="17"/>
          <w:color w:val="auto"/>
        </w:rPr>
        <w:t>Item 18</w:t>
      </w:r>
    </w:p>
    <w:p>
      <w:pPr>
        <w:spacing w:after="0" w:line="244"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0" w:lineRule="exact"/>
        <w:rPr>
          <w:sz w:val="20"/>
          <w:szCs w:val="20"/>
          <w:color w:val="auto"/>
        </w:rPr>
      </w:pPr>
    </w:p>
    <w:p>
      <w:pPr>
        <w:ind w:left="9420"/>
        <w:spacing w:after="0" w:line="205" w:lineRule="exact"/>
        <w:tabs>
          <w:tab w:leader="none" w:pos="10780" w:val="left"/>
        </w:tabs>
        <w:rPr>
          <w:sz w:val="20"/>
          <w:szCs w:val="20"/>
          <w:color w:val="auto"/>
        </w:rPr>
      </w:pPr>
      <w:r>
        <w:rPr>
          <w:rFonts w:ascii="MS PGothic" w:cs="MS PGothic" w:eastAsia="MS PGothic" w:hAnsi="MS PGothic"/>
          <w:sz w:val="18"/>
          <w:szCs w:val="18"/>
          <w:color w:val="auto"/>
        </w:rPr>
        <w:t>☐</w:t>
      </w:r>
      <w:r>
        <w:rPr>
          <w:rFonts w:ascii="Georgia" w:cs="Georgia" w:eastAsia="Georgia" w:hAnsi="Georgia"/>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Georgia" w:cs="Georgia" w:eastAsia="Georgia" w:hAnsi="Georgia"/>
          <w:sz w:val="16"/>
          <w:szCs w:val="16"/>
          <w:color w:val="auto"/>
        </w:rPr>
        <w:t>No</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color w:val="auto"/>
        </w:rPr>
        <w:t>If this is an annual report, indicate by check mark whether the registrant is a shell company (as defined in Rule 12b-2 of the Exchange Act).</w:t>
      </w:r>
    </w:p>
    <w:p>
      <w:pPr>
        <w:spacing w:after="0" w:line="158" w:lineRule="exact"/>
        <w:rPr>
          <w:sz w:val="20"/>
          <w:szCs w:val="20"/>
          <w:color w:val="auto"/>
        </w:rPr>
      </w:pPr>
    </w:p>
    <w:p>
      <w:pPr>
        <w:ind w:left="9420"/>
        <w:spacing w:after="0" w:line="205" w:lineRule="exact"/>
        <w:tabs>
          <w:tab w:leader="none" w:pos="10780" w:val="left"/>
        </w:tabs>
        <w:rPr>
          <w:sz w:val="20"/>
          <w:szCs w:val="20"/>
          <w:color w:val="auto"/>
        </w:rPr>
      </w:pPr>
      <w:r>
        <w:rPr>
          <w:rFonts w:ascii="MS PGothic" w:cs="MS PGothic" w:eastAsia="MS PGothic" w:hAnsi="MS PGothic"/>
          <w:sz w:val="18"/>
          <w:szCs w:val="18"/>
          <w:color w:val="auto"/>
        </w:rPr>
        <w:t>☐</w:t>
      </w:r>
      <w:r>
        <w:rPr>
          <w:rFonts w:ascii="Georgia" w:cs="Georgia" w:eastAsia="Georgia" w:hAnsi="Georgia"/>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Georgia" w:cs="Georgia" w:eastAsia="Georgia" w:hAnsi="Georgia"/>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40" w:type="dxa"/>
            <w:vAlign w:val="bottom"/>
            <w:gridSpan w:val="7"/>
          </w:tcPr>
          <w:p>
            <w:pPr>
              <w:jc w:val="center"/>
              <w:ind w:right="3720"/>
              <w:spacing w:after="0"/>
              <w:rPr>
                <w:sz w:val="20"/>
                <w:szCs w:val="20"/>
                <w:color w:val="auto"/>
              </w:rPr>
            </w:pPr>
            <w:r>
              <w:rPr>
                <w:rFonts w:ascii="Georgia" w:cs="Georgia" w:eastAsia="Georgia" w:hAnsi="Georgia"/>
                <w:sz w:val="18"/>
                <w:szCs w:val="18"/>
                <w:b w:val="1"/>
                <w:bCs w:val="1"/>
                <w:color w:val="auto"/>
                <w:w w:val="99"/>
              </w:rPr>
              <w:t>TABLE OF CONTENTS</w:t>
            </w:r>
          </w:p>
        </w:tc>
        <w:tc>
          <w:tcPr>
            <w:tcW w:w="640" w:type="dxa"/>
            <w:vAlign w:val="bottom"/>
          </w:tcPr>
          <w:p>
            <w:pPr>
              <w:spacing w:after="0"/>
              <w:rPr>
                <w:sz w:val="17"/>
                <w:szCs w:val="17"/>
                <w:color w:val="auto"/>
              </w:rPr>
            </w:pPr>
          </w:p>
        </w:tc>
      </w:tr>
      <w:tr>
        <w:trPr>
          <w:trHeight w:val="428"/>
        </w:trPr>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6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Georgia" w:cs="Georgia" w:eastAsia="Georgia" w:hAnsi="Georgia"/>
                <w:sz w:val="18"/>
                <w:szCs w:val="18"/>
                <w:b w:val="1"/>
                <w:bCs w:val="1"/>
                <w:color w:val="auto"/>
              </w:rPr>
              <w:t>Page</w:t>
            </w:r>
          </w:p>
        </w:tc>
      </w:tr>
      <w:tr>
        <w:trPr>
          <w:trHeight w:val="169"/>
        </w:trPr>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60" w:type="dxa"/>
            <w:vAlign w:val="bottom"/>
            <w:gridSpan w:val="4"/>
            <w:shd w:val="clear" w:color="auto" w:fill="CCEEFF"/>
          </w:tcPr>
          <w:p>
            <w:pPr>
              <w:jc w:val="center"/>
              <w:ind w:right="4680"/>
              <w:spacing w:after="0" w:line="162" w:lineRule="exact"/>
              <w:rPr>
                <w:sz w:val="20"/>
                <w:szCs w:val="20"/>
                <w:color w:val="auto"/>
              </w:rPr>
            </w:pPr>
            <w:r>
              <w:rPr>
                <w:rFonts w:ascii="Georgia" w:cs="Georgia" w:eastAsia="Georgia" w:hAnsi="Georgia"/>
                <w:sz w:val="18"/>
                <w:szCs w:val="18"/>
                <w:color w:val="0000EE"/>
                <w:w w:val="99"/>
              </w:rPr>
              <w:t>PART I</w:t>
            </w:r>
          </w:p>
        </w:tc>
        <w:tc>
          <w:tcPr>
            <w:tcW w:w="640" w:type="dxa"/>
            <w:vAlign w:val="bottom"/>
            <w:shd w:val="clear" w:color="auto" w:fill="CCEEFF"/>
          </w:tcPr>
          <w:p>
            <w:pPr>
              <w:spacing w:after="0"/>
              <w:rPr>
                <w:sz w:val="14"/>
                <w:szCs w:val="14"/>
                <w:color w:val="auto"/>
              </w:rPr>
            </w:pPr>
          </w:p>
        </w:tc>
      </w:tr>
      <w:tr>
        <w:trPr>
          <w:trHeight w:val="203"/>
        </w:trPr>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r>
      <w:tr>
        <w:trPr>
          <w:trHeight w:val="183"/>
        </w:trPr>
        <w:tc>
          <w:tcPr>
            <w:tcW w:w="800" w:type="dxa"/>
            <w:vAlign w:val="bottom"/>
            <w:shd w:val="clear" w:color="auto" w:fill="CCEEFF"/>
          </w:tcPr>
          <w:p>
            <w:pPr>
              <w:spacing w:after="0" w:line="175" w:lineRule="exact"/>
              <w:rPr>
                <w:sz w:val="20"/>
                <w:szCs w:val="20"/>
                <w:color w:val="auto"/>
              </w:rPr>
            </w:pPr>
            <w:r>
              <w:rPr>
                <w:rFonts w:ascii="Georgia" w:cs="Georgia" w:eastAsia="Georgia" w:hAnsi="Georgia"/>
                <w:sz w:val="18"/>
                <w:szCs w:val="18"/>
                <w:color w:val="auto"/>
              </w:rPr>
              <w:t>Item 1.</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color w:val="0000EE"/>
              </w:rPr>
              <w:t>Identity Of Directors, Senior Management And Advisers</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3</w:t>
            </w:r>
          </w:p>
        </w:tc>
      </w:tr>
      <w:tr>
        <w:trPr>
          <w:trHeight w:val="203"/>
        </w:trPr>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r>
      <w:tr>
        <w:trPr>
          <w:trHeight w:val="183"/>
        </w:trPr>
        <w:tc>
          <w:tcPr>
            <w:tcW w:w="800" w:type="dxa"/>
            <w:vAlign w:val="bottom"/>
            <w:shd w:val="clear" w:color="auto" w:fill="CCEEFF"/>
          </w:tcPr>
          <w:p>
            <w:pPr>
              <w:spacing w:after="0" w:line="175" w:lineRule="exact"/>
              <w:rPr>
                <w:sz w:val="20"/>
                <w:szCs w:val="20"/>
                <w:color w:val="auto"/>
              </w:rPr>
            </w:pPr>
            <w:r>
              <w:rPr>
                <w:rFonts w:ascii="Georgia" w:cs="Georgia" w:eastAsia="Georgia" w:hAnsi="Georgia"/>
                <w:sz w:val="18"/>
                <w:szCs w:val="18"/>
                <w:color w:val="auto"/>
              </w:rPr>
              <w:t>Item 2.</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color w:val="0000EE"/>
              </w:rPr>
              <w:t>Offer Statistics and Expected Timetable</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3</w:t>
            </w:r>
          </w:p>
        </w:tc>
      </w:tr>
      <w:tr>
        <w:trPr>
          <w:trHeight w:val="203"/>
        </w:trPr>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r>
      <w:tr>
        <w:trPr>
          <w:trHeight w:val="175"/>
        </w:trPr>
        <w:tc>
          <w:tcPr>
            <w:tcW w:w="800" w:type="dxa"/>
            <w:vAlign w:val="bottom"/>
            <w:shd w:val="clear" w:color="auto" w:fill="CCEEFF"/>
          </w:tcPr>
          <w:p>
            <w:pPr>
              <w:spacing w:after="0" w:line="175" w:lineRule="exact"/>
              <w:rPr>
                <w:sz w:val="20"/>
                <w:szCs w:val="20"/>
                <w:color w:val="auto"/>
              </w:rPr>
            </w:pPr>
            <w:r>
              <w:rPr>
                <w:rFonts w:ascii="Georgia" w:cs="Georgia" w:eastAsia="Georgia" w:hAnsi="Georgia"/>
                <w:sz w:val="18"/>
                <w:szCs w:val="18"/>
                <w:color w:val="auto"/>
              </w:rPr>
              <w:t>Item 3.</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color w:val="0000EE"/>
              </w:rPr>
              <w:t>Key Information</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3</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75"/>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A.</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[Reserved]</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3</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B.</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Capitalization and indebtedness</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3</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75"/>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C.</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Reasons for the offer and use of proceeds</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3</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D.</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Risk factors</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3</w:t>
            </w:r>
          </w:p>
        </w:tc>
      </w:tr>
      <w:tr>
        <w:trPr>
          <w:trHeight w:val="203"/>
        </w:trPr>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r>
      <w:tr>
        <w:trPr>
          <w:trHeight w:val="175"/>
        </w:trPr>
        <w:tc>
          <w:tcPr>
            <w:tcW w:w="800" w:type="dxa"/>
            <w:vAlign w:val="bottom"/>
            <w:shd w:val="clear" w:color="auto" w:fill="CCEEFF"/>
          </w:tcPr>
          <w:p>
            <w:pPr>
              <w:spacing w:after="0" w:line="175" w:lineRule="exact"/>
              <w:rPr>
                <w:sz w:val="20"/>
                <w:szCs w:val="20"/>
                <w:color w:val="auto"/>
              </w:rPr>
            </w:pPr>
            <w:r>
              <w:rPr>
                <w:rFonts w:ascii="Georgia" w:cs="Georgia" w:eastAsia="Georgia" w:hAnsi="Georgia"/>
                <w:sz w:val="18"/>
                <w:szCs w:val="18"/>
                <w:color w:val="auto"/>
              </w:rPr>
              <w:t>Item 4.</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color w:val="0000EE"/>
              </w:rPr>
              <w:t>Information On The Company</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54</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75"/>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A.</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History and Development of The Company</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54</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B.</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Business overview</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54</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83"/>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D.</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Property, plants and equipment</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w w:val="96"/>
              </w:rPr>
              <w:t>102</w:t>
            </w:r>
          </w:p>
        </w:tc>
      </w:tr>
      <w:tr>
        <w:trPr>
          <w:trHeight w:val="203"/>
        </w:trPr>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3"/>
        </w:trPr>
        <w:tc>
          <w:tcPr>
            <w:tcW w:w="800" w:type="dxa"/>
            <w:vAlign w:val="bottom"/>
          </w:tcPr>
          <w:p>
            <w:pPr>
              <w:spacing w:after="0" w:line="175" w:lineRule="exact"/>
              <w:rPr>
                <w:sz w:val="20"/>
                <w:szCs w:val="20"/>
                <w:color w:val="auto"/>
              </w:rPr>
            </w:pPr>
            <w:r>
              <w:rPr>
                <w:rFonts w:ascii="Georgia" w:cs="Georgia" w:eastAsia="Georgia" w:hAnsi="Georgia"/>
                <w:sz w:val="18"/>
                <w:szCs w:val="18"/>
                <w:color w:val="auto"/>
              </w:rPr>
              <w:t>Item 4A.</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color w:val="0000EE"/>
              </w:rPr>
              <w:t>Unresolved Staff Comments</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w w:val="96"/>
              </w:rPr>
              <w:t>102</w:t>
            </w:r>
          </w:p>
        </w:tc>
      </w:tr>
      <w:tr>
        <w:trPr>
          <w:trHeight w:val="203"/>
        </w:trPr>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3"/>
        </w:trPr>
        <w:tc>
          <w:tcPr>
            <w:tcW w:w="800" w:type="dxa"/>
            <w:vAlign w:val="bottom"/>
          </w:tcPr>
          <w:p>
            <w:pPr>
              <w:spacing w:after="0" w:line="175" w:lineRule="exact"/>
              <w:rPr>
                <w:sz w:val="20"/>
                <w:szCs w:val="20"/>
                <w:color w:val="auto"/>
              </w:rPr>
            </w:pPr>
            <w:r>
              <w:rPr>
                <w:rFonts w:ascii="Georgia" w:cs="Georgia" w:eastAsia="Georgia" w:hAnsi="Georgia"/>
                <w:sz w:val="18"/>
                <w:szCs w:val="18"/>
                <w:color w:val="auto"/>
              </w:rPr>
              <w:t>Item 5.</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color w:val="0000EE"/>
              </w:rPr>
              <w:t>Operating and Financial Review and Prospects</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w w:val="97"/>
              </w:rPr>
              <w:t>103</w:t>
            </w:r>
          </w:p>
        </w:tc>
      </w:tr>
      <w:tr>
        <w:trPr>
          <w:trHeight w:val="203"/>
        </w:trPr>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75"/>
        </w:trPr>
        <w:tc>
          <w:tcPr>
            <w:tcW w:w="800" w:type="dxa"/>
            <w:vAlign w:val="bottom"/>
          </w:tcPr>
          <w:p>
            <w:pPr>
              <w:spacing w:after="0" w:line="175" w:lineRule="exact"/>
              <w:rPr>
                <w:sz w:val="20"/>
                <w:szCs w:val="20"/>
                <w:color w:val="auto"/>
              </w:rPr>
            </w:pPr>
            <w:r>
              <w:rPr>
                <w:rFonts w:ascii="Georgia" w:cs="Georgia" w:eastAsia="Georgia" w:hAnsi="Georgia"/>
                <w:sz w:val="18"/>
                <w:szCs w:val="18"/>
                <w:color w:val="auto"/>
              </w:rPr>
              <w:t>Item 6.</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color w:val="0000EE"/>
              </w:rPr>
              <w:t>Directors, Senior Management And Employees</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112</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A.</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Directors and senior management</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112</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76"/>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B.</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Compensation</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113</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C.</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Board practices</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116</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CCEEFF"/>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76"/>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D.</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Employees</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w w:val="99"/>
              </w:rPr>
              <w:t>118</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E.</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Share ownership</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w w:val="99"/>
              </w:rPr>
              <w:t>118</w:t>
            </w:r>
          </w:p>
        </w:tc>
      </w:tr>
      <w:tr>
        <w:trPr>
          <w:trHeight w:val="203"/>
        </w:trPr>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r>
      <w:tr>
        <w:trPr>
          <w:trHeight w:val="175"/>
        </w:trPr>
        <w:tc>
          <w:tcPr>
            <w:tcW w:w="800" w:type="dxa"/>
            <w:vAlign w:val="bottom"/>
            <w:shd w:val="clear" w:color="auto" w:fill="CCEEFF"/>
          </w:tcPr>
          <w:p>
            <w:pPr>
              <w:spacing w:after="0" w:line="175" w:lineRule="exact"/>
              <w:rPr>
                <w:sz w:val="20"/>
                <w:szCs w:val="20"/>
                <w:color w:val="auto"/>
              </w:rPr>
            </w:pPr>
            <w:r>
              <w:rPr>
                <w:rFonts w:ascii="Georgia" w:cs="Georgia" w:eastAsia="Georgia" w:hAnsi="Georgia"/>
                <w:sz w:val="18"/>
                <w:szCs w:val="18"/>
                <w:color w:val="auto"/>
              </w:rPr>
              <w:t>Item 7.</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color w:val="0000EE"/>
              </w:rPr>
              <w:t>Major Shareholders and Related Party Transactions</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w w:val="99"/>
              </w:rPr>
              <w:t>118</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75"/>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A.</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Major shareholders</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w w:val="99"/>
              </w:rPr>
              <w:t>118</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B.</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Related party transactions</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w w:val="96"/>
              </w:rPr>
              <w:t>120</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83"/>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C.</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Interests of experts and counsel</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121</w:t>
            </w:r>
          </w:p>
        </w:tc>
      </w:tr>
      <w:tr>
        <w:trPr>
          <w:trHeight w:val="203"/>
        </w:trPr>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75"/>
        </w:trPr>
        <w:tc>
          <w:tcPr>
            <w:tcW w:w="800" w:type="dxa"/>
            <w:vAlign w:val="bottom"/>
          </w:tcPr>
          <w:p>
            <w:pPr>
              <w:spacing w:after="0" w:line="175" w:lineRule="exact"/>
              <w:rPr>
                <w:sz w:val="20"/>
                <w:szCs w:val="20"/>
                <w:color w:val="auto"/>
              </w:rPr>
            </w:pPr>
            <w:r>
              <w:rPr>
                <w:rFonts w:ascii="Georgia" w:cs="Georgia" w:eastAsia="Georgia" w:hAnsi="Georgia"/>
                <w:sz w:val="18"/>
                <w:szCs w:val="18"/>
                <w:color w:val="auto"/>
              </w:rPr>
              <w:t>Item 8.</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color w:val="0000EE"/>
              </w:rPr>
              <w:t>Financial Information</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122</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A.</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Consolidated Statements and Other Financial Information</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122</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82"/>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B.</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Significant Changes</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122</w:t>
            </w:r>
          </w:p>
        </w:tc>
      </w:tr>
      <w:tr>
        <w:trPr>
          <w:trHeight w:val="203"/>
        </w:trPr>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76"/>
        </w:trPr>
        <w:tc>
          <w:tcPr>
            <w:tcW w:w="800" w:type="dxa"/>
            <w:vAlign w:val="bottom"/>
          </w:tcPr>
          <w:p>
            <w:pPr>
              <w:spacing w:after="0" w:line="175" w:lineRule="exact"/>
              <w:rPr>
                <w:sz w:val="20"/>
                <w:szCs w:val="20"/>
                <w:color w:val="auto"/>
              </w:rPr>
            </w:pPr>
            <w:r>
              <w:rPr>
                <w:rFonts w:ascii="Georgia" w:cs="Georgia" w:eastAsia="Georgia" w:hAnsi="Georgia"/>
                <w:sz w:val="18"/>
                <w:szCs w:val="18"/>
                <w:color w:val="auto"/>
              </w:rPr>
              <w:t>Item 9.</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color w:val="0000EE"/>
              </w:rPr>
              <w:t>The Offer and Listing</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122</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A.</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Offer and listing details</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122</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76"/>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B.</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Plan of distribution</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122</w:t>
            </w: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800" w:type="dxa"/>
            <w:vAlign w:val="bottom"/>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C.</w:t>
            </w:r>
          </w:p>
        </w:tc>
        <w:tc>
          <w:tcPr>
            <w:tcW w:w="9800" w:type="dxa"/>
            <w:vAlign w:val="bottom"/>
            <w:gridSpan w:val="25"/>
            <w:shd w:val="clear" w:color="auto" w:fill="CCEEFF"/>
          </w:tcPr>
          <w:p>
            <w:pPr>
              <w:ind w:left="120"/>
              <w:spacing w:after="0" w:line="175" w:lineRule="exact"/>
              <w:rPr>
                <w:sz w:val="20"/>
                <w:szCs w:val="20"/>
                <w:color w:val="auto"/>
              </w:rPr>
            </w:pPr>
            <w:r>
              <w:rPr>
                <w:rFonts w:ascii="Georgia" w:cs="Georgia" w:eastAsia="Georgia" w:hAnsi="Georgia"/>
                <w:sz w:val="18"/>
                <w:szCs w:val="18"/>
                <w:i w:val="1"/>
                <w:iCs w:val="1"/>
                <w:color w:val="0000EE"/>
              </w:rPr>
              <w:t>Markets</w:t>
            </w:r>
          </w:p>
        </w:tc>
        <w:tc>
          <w:tcPr>
            <w:tcW w:w="64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122</w:t>
            </w:r>
          </w:p>
        </w:tc>
      </w:tr>
      <w:tr>
        <w:trPr>
          <w:trHeight w:val="27"/>
        </w:trPr>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r>
        <w:trPr>
          <w:trHeight w:val="175"/>
        </w:trPr>
        <w:tc>
          <w:tcPr>
            <w:tcW w:w="800" w:type="dxa"/>
            <w:vAlign w:val="bottom"/>
          </w:tcPr>
          <w:p>
            <w:pPr>
              <w:ind w:left="360"/>
              <w:spacing w:after="0" w:line="175" w:lineRule="exact"/>
              <w:rPr>
                <w:sz w:val="20"/>
                <w:szCs w:val="20"/>
                <w:color w:val="auto"/>
              </w:rPr>
            </w:pPr>
            <w:r>
              <w:rPr>
                <w:rFonts w:ascii="Georgia" w:cs="Georgia" w:eastAsia="Georgia" w:hAnsi="Georgia"/>
                <w:sz w:val="18"/>
                <w:szCs w:val="18"/>
                <w:i w:val="1"/>
                <w:iCs w:val="1"/>
                <w:color w:val="auto"/>
              </w:rPr>
              <w:t>D.</w:t>
            </w:r>
          </w:p>
        </w:tc>
        <w:tc>
          <w:tcPr>
            <w:tcW w:w="9800" w:type="dxa"/>
            <w:vAlign w:val="bottom"/>
            <w:gridSpan w:val="25"/>
          </w:tcPr>
          <w:p>
            <w:pPr>
              <w:ind w:left="120"/>
              <w:spacing w:after="0" w:line="175" w:lineRule="exact"/>
              <w:rPr>
                <w:sz w:val="20"/>
                <w:szCs w:val="20"/>
                <w:color w:val="auto"/>
              </w:rPr>
            </w:pPr>
            <w:r>
              <w:rPr>
                <w:rFonts w:ascii="Georgia" w:cs="Georgia" w:eastAsia="Georgia" w:hAnsi="Georgia"/>
                <w:sz w:val="18"/>
                <w:szCs w:val="18"/>
                <w:i w:val="1"/>
                <w:iCs w:val="1"/>
                <w:color w:val="0000EE"/>
              </w:rPr>
              <w:t>Selling shareholders</w:t>
            </w:r>
          </w:p>
        </w:tc>
        <w:tc>
          <w:tcPr>
            <w:tcW w:w="640" w:type="dxa"/>
            <w:vAlign w:val="bottom"/>
          </w:tcPr>
          <w:p>
            <w:pPr>
              <w:jc w:val="center"/>
              <w:spacing w:after="0" w:line="175" w:lineRule="exact"/>
              <w:rPr>
                <w:sz w:val="20"/>
                <w:szCs w:val="20"/>
                <w:color w:val="auto"/>
              </w:rPr>
            </w:pPr>
            <w:r>
              <w:rPr>
                <w:rFonts w:ascii="Georgia" w:cs="Georgia" w:eastAsia="Georgia" w:hAnsi="Georgia"/>
                <w:sz w:val="18"/>
                <w:szCs w:val="18"/>
                <w:color w:val="auto"/>
              </w:rPr>
              <w:t>123</w:t>
            </w:r>
          </w:p>
        </w:tc>
      </w:tr>
      <w:tr>
        <w:trPr>
          <w:trHeight w:val="433"/>
        </w:trPr>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Borders>
              <w:right w:val="single" w:sz="8" w:color="CCEEFF"/>
            </w:tcBorders>
            <w:gridSpan w:val="2"/>
            <w:shd w:val="clear" w:color="auto" w:fill="CCEEFF"/>
          </w:tcPr>
          <w:p>
            <w:pPr>
              <w:ind w:left="360"/>
              <w:spacing w:after="0"/>
              <w:rPr>
                <w:sz w:val="20"/>
                <w:szCs w:val="20"/>
                <w:color w:val="auto"/>
              </w:rPr>
            </w:pPr>
            <w:r>
              <w:rPr>
                <w:rFonts w:ascii="Georgia" w:cs="Georgia" w:eastAsia="Georgia" w:hAnsi="Georgia"/>
                <w:sz w:val="18"/>
                <w:szCs w:val="18"/>
                <w:i w:val="1"/>
                <w:iCs w:val="1"/>
                <w:color w:val="auto"/>
              </w:rPr>
              <w:t>E.</w:t>
            </w:r>
          </w:p>
        </w:tc>
        <w:tc>
          <w:tcPr>
            <w:tcW w:w="8060" w:type="dxa"/>
            <w:vAlign w:val="bottom"/>
            <w:gridSpan w:val="27"/>
            <w:shd w:val="clear" w:color="auto" w:fill="CCEEFF"/>
          </w:tcPr>
          <w:p>
            <w:pPr>
              <w:spacing w:after="0"/>
              <w:rPr>
                <w:sz w:val="20"/>
                <w:szCs w:val="20"/>
                <w:color w:val="auto"/>
              </w:rPr>
            </w:pPr>
            <w:r>
              <w:rPr>
                <w:rFonts w:ascii="Georgia" w:cs="Georgia" w:eastAsia="Georgia" w:hAnsi="Georgia"/>
                <w:sz w:val="18"/>
                <w:szCs w:val="18"/>
                <w:i w:val="1"/>
                <w:iCs w:val="1"/>
                <w:color w:val="0000EE"/>
              </w:rPr>
              <w:t>Dilution</w:t>
            </w:r>
          </w:p>
        </w:tc>
        <w:tc>
          <w:tcPr>
            <w:tcW w:w="2260" w:type="dxa"/>
            <w:vAlign w:val="bottom"/>
            <w:shd w:val="clear" w:color="auto" w:fill="CCEEFF"/>
          </w:tcPr>
          <w:p>
            <w:pPr>
              <w:jc w:val="center"/>
              <w:ind w:left="1530"/>
              <w:spacing w:after="0"/>
              <w:rPr>
                <w:sz w:val="20"/>
                <w:szCs w:val="20"/>
                <w:color w:val="auto"/>
              </w:rPr>
            </w:pPr>
            <w:r>
              <w:rPr>
                <w:rFonts w:ascii="Georgia" w:cs="Georgia" w:eastAsia="Georgia" w:hAnsi="Georgia"/>
                <w:sz w:val="18"/>
                <w:szCs w:val="18"/>
                <w:color w:val="auto"/>
              </w:rPr>
              <w:t>123</w:t>
            </w:r>
          </w:p>
        </w:tc>
      </w:tr>
      <w:tr>
        <w:trPr>
          <w:trHeight w:val="27"/>
        </w:trPr>
        <w:tc>
          <w:tcPr>
            <w:tcW w:w="8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CCEEFF"/>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183"/>
        </w:trPr>
        <w:tc>
          <w:tcPr>
            <w:tcW w:w="920" w:type="dxa"/>
            <w:vAlign w:val="bottom"/>
            <w:gridSpan w:val="2"/>
          </w:tcPr>
          <w:p>
            <w:pPr>
              <w:ind w:left="360"/>
              <w:spacing w:after="0" w:line="175" w:lineRule="exact"/>
              <w:rPr>
                <w:sz w:val="20"/>
                <w:szCs w:val="20"/>
                <w:color w:val="auto"/>
              </w:rPr>
            </w:pPr>
            <w:r>
              <w:rPr>
                <w:rFonts w:ascii="Georgia" w:cs="Georgia" w:eastAsia="Georgia" w:hAnsi="Georgia"/>
                <w:sz w:val="18"/>
                <w:szCs w:val="18"/>
                <w:i w:val="1"/>
                <w:iCs w:val="1"/>
                <w:color w:val="auto"/>
              </w:rPr>
              <w:t>F.</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i w:val="1"/>
                <w:iCs w:val="1"/>
                <w:color w:val="0000EE"/>
              </w:rPr>
              <w:t>Expenses of the issue</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123</w:t>
            </w:r>
          </w:p>
        </w:tc>
      </w:tr>
      <w:tr>
        <w:trPr>
          <w:trHeight w:val="202"/>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76"/>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10.</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Additional Information</w:t>
            </w:r>
          </w:p>
        </w:tc>
        <w:tc>
          <w:tcPr>
            <w:tcW w:w="2260" w:type="dxa"/>
            <w:vAlign w:val="bottom"/>
          </w:tcPr>
          <w:p>
            <w:pPr>
              <w:spacing w:after="0"/>
              <w:rPr>
                <w:sz w:val="15"/>
                <w:szCs w:val="15"/>
                <w:color w:val="auto"/>
              </w:rPr>
            </w:pPr>
          </w:p>
        </w:tc>
      </w:tr>
      <w:tr>
        <w:trPr>
          <w:trHeight w:val="27"/>
        </w:trPr>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176"/>
        </w:trPr>
        <w:tc>
          <w:tcPr>
            <w:tcW w:w="920" w:type="dxa"/>
            <w:vAlign w:val="bottom"/>
            <w:tcBorders>
              <w:right w:val="single" w:sz="8" w:color="CCEEFF"/>
            </w:tcBorders>
            <w:gridSpan w:val="2"/>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A.</w:t>
            </w:r>
          </w:p>
        </w:tc>
        <w:tc>
          <w:tcPr>
            <w:tcW w:w="8060" w:type="dxa"/>
            <w:vAlign w:val="bottom"/>
            <w:gridSpan w:val="27"/>
            <w:shd w:val="clear" w:color="auto" w:fill="CCEEFF"/>
          </w:tcPr>
          <w:p>
            <w:pPr>
              <w:spacing w:after="0" w:line="175" w:lineRule="exact"/>
              <w:rPr>
                <w:sz w:val="20"/>
                <w:szCs w:val="20"/>
                <w:color w:val="auto"/>
              </w:rPr>
            </w:pPr>
            <w:r>
              <w:rPr>
                <w:rFonts w:ascii="Georgia" w:cs="Georgia" w:eastAsia="Georgia" w:hAnsi="Georgia"/>
                <w:sz w:val="18"/>
                <w:szCs w:val="18"/>
                <w:i w:val="1"/>
                <w:iCs w:val="1"/>
                <w:color w:val="0000EE"/>
              </w:rPr>
              <w:t>Share capital</w:t>
            </w:r>
          </w:p>
        </w:tc>
        <w:tc>
          <w:tcPr>
            <w:tcW w:w="2260" w:type="dxa"/>
            <w:vAlign w:val="bottom"/>
            <w:shd w:val="clear" w:color="auto" w:fill="CCEEFF"/>
          </w:tcPr>
          <w:p>
            <w:pPr>
              <w:jc w:val="center"/>
              <w:ind w:left="1530"/>
              <w:spacing w:after="0" w:line="175" w:lineRule="exact"/>
              <w:rPr>
                <w:sz w:val="20"/>
                <w:szCs w:val="20"/>
                <w:color w:val="auto"/>
              </w:rPr>
            </w:pPr>
            <w:r>
              <w:rPr>
                <w:rFonts w:ascii="Georgia" w:cs="Georgia" w:eastAsia="Georgia" w:hAnsi="Georgia"/>
                <w:sz w:val="18"/>
                <w:szCs w:val="18"/>
                <w:color w:val="auto"/>
              </w:rPr>
              <w:t>123</w:t>
            </w:r>
          </w:p>
        </w:tc>
      </w:tr>
      <w:tr>
        <w:trPr>
          <w:trHeight w:val="27"/>
        </w:trPr>
        <w:tc>
          <w:tcPr>
            <w:tcW w:w="8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176"/>
        </w:trPr>
        <w:tc>
          <w:tcPr>
            <w:tcW w:w="920" w:type="dxa"/>
            <w:vAlign w:val="bottom"/>
            <w:gridSpan w:val="2"/>
          </w:tcPr>
          <w:p>
            <w:pPr>
              <w:ind w:left="360"/>
              <w:spacing w:after="0" w:line="175" w:lineRule="exact"/>
              <w:rPr>
                <w:sz w:val="20"/>
                <w:szCs w:val="20"/>
                <w:color w:val="auto"/>
              </w:rPr>
            </w:pPr>
            <w:r>
              <w:rPr>
                <w:rFonts w:ascii="Georgia" w:cs="Georgia" w:eastAsia="Georgia" w:hAnsi="Georgia"/>
                <w:sz w:val="18"/>
                <w:szCs w:val="18"/>
                <w:i w:val="1"/>
                <w:iCs w:val="1"/>
                <w:color w:val="auto"/>
              </w:rPr>
              <w:t>B.</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i w:val="1"/>
                <w:iCs w:val="1"/>
                <w:color w:val="0000EE"/>
              </w:rPr>
              <w:t>Memorandum and articles of association</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123</w:t>
            </w:r>
          </w:p>
        </w:tc>
      </w:tr>
      <w:tr>
        <w:trPr>
          <w:trHeight w:val="27"/>
        </w:trPr>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176"/>
        </w:trPr>
        <w:tc>
          <w:tcPr>
            <w:tcW w:w="920" w:type="dxa"/>
            <w:vAlign w:val="bottom"/>
            <w:tcBorders>
              <w:right w:val="single" w:sz="8" w:color="CCEEFF"/>
            </w:tcBorders>
            <w:gridSpan w:val="2"/>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C.</w:t>
            </w:r>
          </w:p>
        </w:tc>
        <w:tc>
          <w:tcPr>
            <w:tcW w:w="8060" w:type="dxa"/>
            <w:vAlign w:val="bottom"/>
            <w:gridSpan w:val="27"/>
            <w:shd w:val="clear" w:color="auto" w:fill="CCEEFF"/>
          </w:tcPr>
          <w:p>
            <w:pPr>
              <w:spacing w:after="0" w:line="175" w:lineRule="exact"/>
              <w:rPr>
                <w:sz w:val="20"/>
                <w:szCs w:val="20"/>
                <w:color w:val="auto"/>
              </w:rPr>
            </w:pPr>
            <w:r>
              <w:rPr>
                <w:rFonts w:ascii="Georgia" w:cs="Georgia" w:eastAsia="Georgia" w:hAnsi="Georgia"/>
                <w:sz w:val="18"/>
                <w:szCs w:val="18"/>
                <w:i w:val="1"/>
                <w:iCs w:val="1"/>
                <w:color w:val="0000EE"/>
              </w:rPr>
              <w:t>Material contracts</w:t>
            </w:r>
          </w:p>
        </w:tc>
        <w:tc>
          <w:tcPr>
            <w:tcW w:w="2260" w:type="dxa"/>
            <w:vAlign w:val="bottom"/>
            <w:shd w:val="clear" w:color="auto" w:fill="CCEEFF"/>
          </w:tcPr>
          <w:p>
            <w:pPr>
              <w:jc w:val="center"/>
              <w:ind w:left="1530"/>
              <w:spacing w:after="0" w:line="175" w:lineRule="exact"/>
              <w:rPr>
                <w:sz w:val="20"/>
                <w:szCs w:val="20"/>
                <w:color w:val="auto"/>
              </w:rPr>
            </w:pPr>
            <w:r>
              <w:rPr>
                <w:rFonts w:ascii="Georgia" w:cs="Georgia" w:eastAsia="Georgia" w:hAnsi="Georgia"/>
                <w:sz w:val="18"/>
                <w:szCs w:val="18"/>
                <w:color w:val="auto"/>
              </w:rPr>
              <w:t>123</w:t>
            </w:r>
          </w:p>
        </w:tc>
      </w:tr>
      <w:tr>
        <w:trPr>
          <w:trHeight w:val="27"/>
        </w:trPr>
        <w:tc>
          <w:tcPr>
            <w:tcW w:w="8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176"/>
        </w:trPr>
        <w:tc>
          <w:tcPr>
            <w:tcW w:w="920" w:type="dxa"/>
            <w:vAlign w:val="bottom"/>
            <w:gridSpan w:val="2"/>
          </w:tcPr>
          <w:p>
            <w:pPr>
              <w:ind w:left="360"/>
              <w:spacing w:after="0" w:line="175" w:lineRule="exact"/>
              <w:rPr>
                <w:sz w:val="20"/>
                <w:szCs w:val="20"/>
                <w:color w:val="auto"/>
              </w:rPr>
            </w:pPr>
            <w:r>
              <w:rPr>
                <w:rFonts w:ascii="Georgia" w:cs="Georgia" w:eastAsia="Georgia" w:hAnsi="Georgia"/>
                <w:sz w:val="18"/>
                <w:szCs w:val="18"/>
                <w:i w:val="1"/>
                <w:iCs w:val="1"/>
                <w:color w:val="auto"/>
              </w:rPr>
              <w:t>D.</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i w:val="1"/>
                <w:iCs w:val="1"/>
                <w:color w:val="0000EE"/>
              </w:rPr>
              <w:t>Exchange controls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123</w:t>
            </w:r>
          </w:p>
        </w:tc>
      </w:tr>
      <w:tr>
        <w:trPr>
          <w:trHeight w:val="27"/>
        </w:trPr>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176"/>
        </w:trPr>
        <w:tc>
          <w:tcPr>
            <w:tcW w:w="920" w:type="dxa"/>
            <w:vAlign w:val="bottom"/>
            <w:tcBorders>
              <w:right w:val="single" w:sz="8" w:color="CCEEFF"/>
            </w:tcBorders>
            <w:gridSpan w:val="2"/>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E.</w:t>
            </w:r>
          </w:p>
        </w:tc>
        <w:tc>
          <w:tcPr>
            <w:tcW w:w="8060" w:type="dxa"/>
            <w:vAlign w:val="bottom"/>
            <w:gridSpan w:val="27"/>
            <w:shd w:val="clear" w:color="auto" w:fill="CCEEFF"/>
          </w:tcPr>
          <w:p>
            <w:pPr>
              <w:spacing w:after="0" w:line="175" w:lineRule="exact"/>
              <w:rPr>
                <w:sz w:val="20"/>
                <w:szCs w:val="20"/>
                <w:color w:val="auto"/>
              </w:rPr>
            </w:pPr>
            <w:r>
              <w:rPr>
                <w:rFonts w:ascii="Georgia" w:cs="Georgia" w:eastAsia="Georgia" w:hAnsi="Georgia"/>
                <w:sz w:val="18"/>
                <w:szCs w:val="18"/>
                <w:i w:val="1"/>
                <w:iCs w:val="1"/>
                <w:color w:val="0000EE"/>
              </w:rPr>
              <w:t>Taxation</w:t>
            </w:r>
          </w:p>
        </w:tc>
        <w:tc>
          <w:tcPr>
            <w:tcW w:w="2260" w:type="dxa"/>
            <w:vAlign w:val="bottom"/>
            <w:shd w:val="clear" w:color="auto" w:fill="CCEEFF"/>
          </w:tcPr>
          <w:p>
            <w:pPr>
              <w:jc w:val="center"/>
              <w:ind w:left="1530"/>
              <w:spacing w:after="0" w:line="175" w:lineRule="exact"/>
              <w:rPr>
                <w:sz w:val="20"/>
                <w:szCs w:val="20"/>
                <w:color w:val="auto"/>
              </w:rPr>
            </w:pPr>
            <w:r>
              <w:rPr>
                <w:rFonts w:ascii="Georgia" w:cs="Georgia" w:eastAsia="Georgia" w:hAnsi="Georgia"/>
                <w:sz w:val="18"/>
                <w:szCs w:val="18"/>
                <w:color w:val="auto"/>
              </w:rPr>
              <w:t>123</w:t>
            </w:r>
          </w:p>
        </w:tc>
      </w:tr>
      <w:tr>
        <w:trPr>
          <w:trHeight w:val="27"/>
        </w:trPr>
        <w:tc>
          <w:tcPr>
            <w:tcW w:w="8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176"/>
        </w:trPr>
        <w:tc>
          <w:tcPr>
            <w:tcW w:w="920" w:type="dxa"/>
            <w:vAlign w:val="bottom"/>
            <w:gridSpan w:val="2"/>
          </w:tcPr>
          <w:p>
            <w:pPr>
              <w:ind w:left="360"/>
              <w:spacing w:after="0" w:line="175" w:lineRule="exact"/>
              <w:rPr>
                <w:sz w:val="20"/>
                <w:szCs w:val="20"/>
                <w:color w:val="auto"/>
              </w:rPr>
            </w:pPr>
            <w:r>
              <w:rPr>
                <w:rFonts w:ascii="Georgia" w:cs="Georgia" w:eastAsia="Georgia" w:hAnsi="Georgia"/>
                <w:sz w:val="18"/>
                <w:szCs w:val="18"/>
                <w:i w:val="1"/>
                <w:iCs w:val="1"/>
                <w:color w:val="auto"/>
              </w:rPr>
              <w:t>F.</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i w:val="1"/>
                <w:iCs w:val="1"/>
                <w:color w:val="0000EE"/>
              </w:rPr>
              <w:t>Dividends and paying agents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w w:val="97"/>
              </w:rPr>
              <w:t>128</w:t>
            </w:r>
          </w:p>
        </w:tc>
      </w:tr>
      <w:tr>
        <w:trPr>
          <w:trHeight w:val="27"/>
        </w:trPr>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176"/>
        </w:trPr>
        <w:tc>
          <w:tcPr>
            <w:tcW w:w="920" w:type="dxa"/>
            <w:vAlign w:val="bottom"/>
            <w:tcBorders>
              <w:right w:val="single" w:sz="8" w:color="CCEEFF"/>
            </w:tcBorders>
            <w:gridSpan w:val="2"/>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G.</w:t>
            </w:r>
          </w:p>
        </w:tc>
        <w:tc>
          <w:tcPr>
            <w:tcW w:w="8060" w:type="dxa"/>
            <w:vAlign w:val="bottom"/>
            <w:gridSpan w:val="27"/>
            <w:shd w:val="clear" w:color="auto" w:fill="CCEEFF"/>
          </w:tcPr>
          <w:p>
            <w:pPr>
              <w:spacing w:after="0" w:line="175" w:lineRule="exact"/>
              <w:rPr>
                <w:sz w:val="20"/>
                <w:szCs w:val="20"/>
                <w:color w:val="auto"/>
              </w:rPr>
            </w:pPr>
            <w:r>
              <w:rPr>
                <w:rFonts w:ascii="Georgia" w:cs="Georgia" w:eastAsia="Georgia" w:hAnsi="Georgia"/>
                <w:sz w:val="18"/>
                <w:szCs w:val="18"/>
                <w:i w:val="1"/>
                <w:iCs w:val="1"/>
                <w:color w:val="0000EE"/>
              </w:rPr>
              <w:t>Statement by experts</w:t>
            </w:r>
          </w:p>
        </w:tc>
        <w:tc>
          <w:tcPr>
            <w:tcW w:w="2260" w:type="dxa"/>
            <w:vAlign w:val="bottom"/>
            <w:shd w:val="clear" w:color="auto" w:fill="CCEEFF"/>
          </w:tcPr>
          <w:p>
            <w:pPr>
              <w:jc w:val="center"/>
              <w:ind w:left="1530"/>
              <w:spacing w:after="0" w:line="175" w:lineRule="exact"/>
              <w:rPr>
                <w:sz w:val="20"/>
                <w:szCs w:val="20"/>
                <w:color w:val="auto"/>
              </w:rPr>
            </w:pPr>
            <w:r>
              <w:rPr>
                <w:rFonts w:ascii="Georgia" w:cs="Georgia" w:eastAsia="Georgia" w:hAnsi="Georgia"/>
                <w:sz w:val="18"/>
                <w:szCs w:val="18"/>
                <w:color w:val="auto"/>
                <w:w w:val="97"/>
              </w:rPr>
              <w:t>128</w:t>
            </w:r>
          </w:p>
        </w:tc>
      </w:tr>
      <w:tr>
        <w:trPr>
          <w:trHeight w:val="27"/>
        </w:trPr>
        <w:tc>
          <w:tcPr>
            <w:tcW w:w="8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176"/>
        </w:trPr>
        <w:tc>
          <w:tcPr>
            <w:tcW w:w="920" w:type="dxa"/>
            <w:vAlign w:val="bottom"/>
            <w:gridSpan w:val="2"/>
          </w:tcPr>
          <w:p>
            <w:pPr>
              <w:ind w:left="360"/>
              <w:spacing w:after="0" w:line="175" w:lineRule="exact"/>
              <w:rPr>
                <w:sz w:val="20"/>
                <w:szCs w:val="20"/>
                <w:color w:val="auto"/>
              </w:rPr>
            </w:pPr>
            <w:r>
              <w:rPr>
                <w:rFonts w:ascii="Georgia" w:cs="Georgia" w:eastAsia="Georgia" w:hAnsi="Georgia"/>
                <w:sz w:val="18"/>
                <w:szCs w:val="18"/>
                <w:i w:val="1"/>
                <w:iCs w:val="1"/>
                <w:color w:val="auto"/>
              </w:rPr>
              <w:t>H.</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i w:val="1"/>
                <w:iCs w:val="1"/>
                <w:color w:val="0000EE"/>
              </w:rPr>
              <w:t>Documents on display</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w w:val="99"/>
              </w:rPr>
              <w:t>129</w:t>
            </w:r>
          </w:p>
        </w:tc>
      </w:tr>
      <w:tr>
        <w:trPr>
          <w:trHeight w:val="27"/>
        </w:trPr>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183"/>
        </w:trPr>
        <w:tc>
          <w:tcPr>
            <w:tcW w:w="920" w:type="dxa"/>
            <w:vAlign w:val="bottom"/>
            <w:tcBorders>
              <w:right w:val="single" w:sz="8" w:color="CCEEFF"/>
            </w:tcBorders>
            <w:gridSpan w:val="2"/>
            <w:shd w:val="clear" w:color="auto" w:fill="CCEEFF"/>
          </w:tcPr>
          <w:p>
            <w:pPr>
              <w:ind w:left="360"/>
              <w:spacing w:after="0" w:line="175" w:lineRule="exact"/>
              <w:rPr>
                <w:sz w:val="20"/>
                <w:szCs w:val="20"/>
                <w:color w:val="auto"/>
              </w:rPr>
            </w:pPr>
            <w:r>
              <w:rPr>
                <w:rFonts w:ascii="Georgia" w:cs="Georgia" w:eastAsia="Georgia" w:hAnsi="Georgia"/>
                <w:sz w:val="18"/>
                <w:szCs w:val="18"/>
                <w:i w:val="1"/>
                <w:iCs w:val="1"/>
                <w:color w:val="auto"/>
              </w:rPr>
              <w:t>I.</w:t>
            </w:r>
          </w:p>
        </w:tc>
        <w:tc>
          <w:tcPr>
            <w:tcW w:w="8060" w:type="dxa"/>
            <w:vAlign w:val="bottom"/>
            <w:gridSpan w:val="27"/>
            <w:shd w:val="clear" w:color="auto" w:fill="CCEEFF"/>
          </w:tcPr>
          <w:p>
            <w:pPr>
              <w:spacing w:after="0" w:line="175" w:lineRule="exact"/>
              <w:rPr>
                <w:sz w:val="20"/>
                <w:szCs w:val="20"/>
                <w:color w:val="auto"/>
              </w:rPr>
            </w:pPr>
            <w:r>
              <w:rPr>
                <w:rFonts w:ascii="Georgia" w:cs="Georgia" w:eastAsia="Georgia" w:hAnsi="Georgia"/>
                <w:sz w:val="18"/>
                <w:szCs w:val="18"/>
                <w:i w:val="1"/>
                <w:iCs w:val="1"/>
                <w:color w:val="0000EE"/>
              </w:rPr>
              <w:t>Subsidiary Information</w:t>
            </w:r>
          </w:p>
        </w:tc>
        <w:tc>
          <w:tcPr>
            <w:tcW w:w="2260" w:type="dxa"/>
            <w:vAlign w:val="bottom"/>
            <w:shd w:val="clear" w:color="auto" w:fill="CCEEFF"/>
          </w:tcPr>
          <w:p>
            <w:pPr>
              <w:jc w:val="center"/>
              <w:ind w:left="1530"/>
              <w:spacing w:after="0" w:line="175" w:lineRule="exact"/>
              <w:rPr>
                <w:sz w:val="20"/>
                <w:szCs w:val="20"/>
                <w:color w:val="auto"/>
              </w:rPr>
            </w:pPr>
            <w:r>
              <w:rPr>
                <w:rFonts w:ascii="Georgia" w:cs="Georgia" w:eastAsia="Georgia" w:hAnsi="Georgia"/>
                <w:sz w:val="18"/>
                <w:szCs w:val="18"/>
                <w:color w:val="auto"/>
                <w:w w:val="97"/>
              </w:rPr>
              <w:t>128</w:t>
            </w:r>
          </w:p>
        </w:tc>
      </w:tr>
      <w:tr>
        <w:trPr>
          <w:trHeight w:val="203"/>
        </w:trPr>
        <w:tc>
          <w:tcPr>
            <w:tcW w:w="8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r>
      <w:tr>
        <w:trPr>
          <w:trHeight w:val="183"/>
        </w:trPr>
        <w:tc>
          <w:tcPr>
            <w:tcW w:w="920" w:type="dxa"/>
            <w:vAlign w:val="bottom"/>
            <w:tcBorders>
              <w:right w:val="single" w:sz="8" w:color="CCEEFF"/>
            </w:tcBorders>
            <w:gridSpan w:val="2"/>
            <w:shd w:val="clear" w:color="auto" w:fill="CCEEFF"/>
          </w:tcPr>
          <w:p>
            <w:pPr>
              <w:spacing w:after="0" w:line="175" w:lineRule="exact"/>
              <w:rPr>
                <w:sz w:val="20"/>
                <w:szCs w:val="20"/>
                <w:color w:val="auto"/>
              </w:rPr>
            </w:pPr>
            <w:r>
              <w:rPr>
                <w:rFonts w:ascii="Georgia" w:cs="Georgia" w:eastAsia="Georgia" w:hAnsi="Georgia"/>
                <w:sz w:val="18"/>
                <w:szCs w:val="18"/>
                <w:color w:val="auto"/>
              </w:rPr>
              <w:t>Item 11.</w:t>
            </w:r>
          </w:p>
        </w:tc>
        <w:tc>
          <w:tcPr>
            <w:tcW w:w="8060" w:type="dxa"/>
            <w:vAlign w:val="bottom"/>
            <w:gridSpan w:val="27"/>
            <w:shd w:val="clear" w:color="auto" w:fill="CCEEFF"/>
          </w:tcPr>
          <w:p>
            <w:pPr>
              <w:spacing w:after="0" w:line="175" w:lineRule="exact"/>
              <w:rPr>
                <w:sz w:val="20"/>
                <w:szCs w:val="20"/>
                <w:color w:val="auto"/>
              </w:rPr>
            </w:pPr>
            <w:r>
              <w:rPr>
                <w:rFonts w:ascii="Georgia" w:cs="Georgia" w:eastAsia="Georgia" w:hAnsi="Georgia"/>
                <w:sz w:val="18"/>
                <w:szCs w:val="18"/>
                <w:color w:val="0000EE"/>
              </w:rPr>
              <w:t>Quantitative and Qualitative Disclosures About Market Risk</w:t>
            </w:r>
          </w:p>
        </w:tc>
        <w:tc>
          <w:tcPr>
            <w:tcW w:w="2260" w:type="dxa"/>
            <w:vAlign w:val="bottom"/>
            <w:shd w:val="clear" w:color="auto" w:fill="CCEEFF"/>
          </w:tcPr>
          <w:p>
            <w:pPr>
              <w:jc w:val="right"/>
              <w:ind w:right="110"/>
              <w:spacing w:after="0" w:line="175" w:lineRule="exact"/>
              <w:rPr>
                <w:sz w:val="20"/>
                <w:szCs w:val="20"/>
                <w:color w:val="auto"/>
              </w:rPr>
            </w:pPr>
            <w:r>
              <w:rPr>
                <w:rFonts w:ascii="Georgia" w:cs="Georgia" w:eastAsia="Georgia" w:hAnsi="Georgia"/>
                <w:sz w:val="18"/>
                <w:szCs w:val="18"/>
                <w:color w:val="auto"/>
              </w:rPr>
              <w:t>129</w:t>
            </w:r>
          </w:p>
        </w:tc>
      </w:tr>
      <w:tr>
        <w:trPr>
          <w:trHeight w:val="203"/>
        </w:trPr>
        <w:tc>
          <w:tcPr>
            <w:tcW w:w="8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r>
      <w:tr>
        <w:trPr>
          <w:trHeight w:val="176"/>
        </w:trPr>
        <w:tc>
          <w:tcPr>
            <w:tcW w:w="920" w:type="dxa"/>
            <w:vAlign w:val="bottom"/>
            <w:tcBorders>
              <w:right w:val="single" w:sz="8" w:color="CCEEFF"/>
            </w:tcBorders>
            <w:gridSpan w:val="2"/>
            <w:shd w:val="clear" w:color="auto" w:fill="CCEEFF"/>
          </w:tcPr>
          <w:p>
            <w:pPr>
              <w:spacing w:after="0" w:line="175" w:lineRule="exact"/>
              <w:rPr>
                <w:sz w:val="20"/>
                <w:szCs w:val="20"/>
                <w:color w:val="auto"/>
              </w:rPr>
            </w:pPr>
            <w:r>
              <w:rPr>
                <w:rFonts w:ascii="Georgia" w:cs="Georgia" w:eastAsia="Georgia" w:hAnsi="Georgia"/>
                <w:sz w:val="18"/>
                <w:szCs w:val="18"/>
                <w:color w:val="auto"/>
              </w:rPr>
              <w:t>Item 12.</w:t>
            </w:r>
          </w:p>
        </w:tc>
        <w:tc>
          <w:tcPr>
            <w:tcW w:w="8060" w:type="dxa"/>
            <w:vAlign w:val="bottom"/>
            <w:gridSpan w:val="27"/>
            <w:shd w:val="clear" w:color="auto" w:fill="CCEEFF"/>
          </w:tcPr>
          <w:p>
            <w:pPr>
              <w:spacing w:after="0" w:line="175" w:lineRule="exact"/>
              <w:rPr>
                <w:sz w:val="20"/>
                <w:szCs w:val="20"/>
                <w:color w:val="auto"/>
              </w:rPr>
            </w:pPr>
            <w:r>
              <w:rPr>
                <w:rFonts w:ascii="Georgia" w:cs="Georgia" w:eastAsia="Georgia" w:hAnsi="Georgia"/>
                <w:sz w:val="18"/>
                <w:szCs w:val="18"/>
                <w:color w:val="0000EE"/>
              </w:rPr>
              <w:t>Description of Securities Other Than Equity Securities</w:t>
            </w:r>
          </w:p>
        </w:tc>
        <w:tc>
          <w:tcPr>
            <w:tcW w:w="2260" w:type="dxa"/>
            <w:vAlign w:val="bottom"/>
            <w:shd w:val="clear" w:color="auto" w:fill="CCEEFF"/>
          </w:tcPr>
          <w:p>
            <w:pPr>
              <w:jc w:val="center"/>
              <w:ind w:left="1530"/>
              <w:spacing w:after="0" w:line="175" w:lineRule="exact"/>
              <w:rPr>
                <w:sz w:val="20"/>
                <w:szCs w:val="20"/>
                <w:color w:val="auto"/>
              </w:rPr>
            </w:pPr>
            <w:r>
              <w:rPr>
                <w:rFonts w:ascii="Georgia" w:cs="Georgia" w:eastAsia="Georgia" w:hAnsi="Georgia"/>
                <w:sz w:val="18"/>
                <w:szCs w:val="18"/>
                <w:color w:val="auto"/>
                <w:w w:val="99"/>
              </w:rPr>
              <w:t>129</w:t>
            </w:r>
          </w:p>
        </w:tc>
      </w:tr>
      <w:tr>
        <w:trPr>
          <w:trHeight w:val="27"/>
        </w:trPr>
        <w:tc>
          <w:tcPr>
            <w:tcW w:w="8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0" w:type="dxa"/>
            <w:vAlign w:val="bottom"/>
            <w:tcBorders>
              <w:right w:val="single" w:sz="8" w:color="CCEEFF"/>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183"/>
        </w:trPr>
        <w:tc>
          <w:tcPr>
            <w:tcW w:w="920" w:type="dxa"/>
            <w:vAlign w:val="bottom"/>
            <w:gridSpan w:val="2"/>
          </w:tcPr>
          <w:p>
            <w:pPr>
              <w:ind w:left="360"/>
              <w:spacing w:after="0" w:line="175" w:lineRule="exact"/>
              <w:rPr>
                <w:sz w:val="20"/>
                <w:szCs w:val="20"/>
                <w:color w:val="auto"/>
              </w:rPr>
            </w:pPr>
            <w:r>
              <w:rPr>
                <w:rFonts w:ascii="Georgia" w:cs="Georgia" w:eastAsia="Georgia" w:hAnsi="Georgia"/>
                <w:sz w:val="18"/>
                <w:szCs w:val="18"/>
                <w:i w:val="1"/>
                <w:iCs w:val="1"/>
                <w:color w:val="auto"/>
              </w:rPr>
              <w:t>D.</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i w:val="1"/>
                <w:iCs w:val="1"/>
                <w:color w:val="0000EE"/>
              </w:rPr>
              <w:t>American Depositary Shares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w w:val="99"/>
              </w:rPr>
              <w:t>129</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8"/>
          </w:tcPr>
          <w:p>
            <w:pPr>
              <w:spacing w:after="0" w:line="175" w:lineRule="exact"/>
              <w:rPr>
                <w:sz w:val="20"/>
                <w:szCs w:val="20"/>
                <w:color w:val="auto"/>
              </w:rPr>
            </w:pPr>
            <w:r>
              <w:rPr>
                <w:rFonts w:ascii="Georgia" w:cs="Georgia" w:eastAsia="Georgia" w:hAnsi="Georgia"/>
                <w:sz w:val="18"/>
                <w:szCs w:val="18"/>
                <w:color w:val="0000EE"/>
              </w:rPr>
              <w:t>PART II</w:t>
            </w:r>
          </w:p>
        </w:tc>
        <w:tc>
          <w:tcPr>
            <w:tcW w:w="2260" w:type="dxa"/>
            <w:vAlign w:val="bottom"/>
          </w:tcPr>
          <w:p>
            <w:pPr>
              <w:spacing w:after="0"/>
              <w:rPr>
                <w:sz w:val="15"/>
                <w:szCs w:val="15"/>
                <w:color w:val="auto"/>
              </w:rPr>
            </w:pP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13.</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Defaults, Dividend Arrearages And Delinquencies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w w:val="97"/>
              </w:rPr>
              <w:t>130</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14.</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Material Modifications To The Rights Of Security Holders And Use Of Proceeds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w w:val="97"/>
              </w:rPr>
              <w:t>130</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15.</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Controls and Procedures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w w:val="97"/>
              </w:rPr>
              <w:t>130</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[Reserved]</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132</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16A</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Audit Committee Financial Expert</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132</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16B</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Code of Ethics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133</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16C</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Principal Accountant Fees and Services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133</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16D</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Exemption from the Listing Standards for Audit Committees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133</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16E</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Purchases of Equity Securities by the Issuer and Affiliated Purchasers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133</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16F</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Change in Registrant’s Certifying Accountant</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133</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16G</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Corporate Governance</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134</w:t>
            </w:r>
          </w:p>
        </w:tc>
      </w:tr>
      <w:tr>
        <w:trPr>
          <w:trHeight w:val="202"/>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16H</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Mine Safety Disclosure</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134</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16I</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 Disclosure Regarding Foreign Jurisdictions that Prevent Inspections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134</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20" w:type="dxa"/>
            <w:vAlign w:val="bottom"/>
            <w:gridSpan w:val="9"/>
          </w:tcPr>
          <w:p>
            <w:pPr>
              <w:spacing w:after="0" w:line="175" w:lineRule="exact"/>
              <w:rPr>
                <w:sz w:val="20"/>
                <w:szCs w:val="20"/>
                <w:color w:val="auto"/>
              </w:rPr>
            </w:pPr>
            <w:r>
              <w:rPr>
                <w:rFonts w:ascii="Georgia" w:cs="Georgia" w:eastAsia="Georgia" w:hAnsi="Georgia"/>
                <w:sz w:val="18"/>
                <w:szCs w:val="18"/>
                <w:color w:val="0000EE"/>
              </w:rPr>
              <w:t>PART III</w:t>
            </w:r>
          </w:p>
        </w:tc>
        <w:tc>
          <w:tcPr>
            <w:tcW w:w="2260" w:type="dxa"/>
            <w:vAlign w:val="bottom"/>
          </w:tcPr>
          <w:p>
            <w:pPr>
              <w:spacing w:after="0"/>
              <w:rPr>
                <w:sz w:val="15"/>
                <w:szCs w:val="15"/>
                <w:color w:val="auto"/>
              </w:rPr>
            </w:pP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75"/>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17</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Consolidated Financial Statements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134</w:t>
            </w:r>
          </w:p>
        </w:tc>
      </w:tr>
      <w:tr>
        <w:trPr>
          <w:trHeight w:val="27"/>
        </w:trPr>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175"/>
        </w:trPr>
        <w:tc>
          <w:tcPr>
            <w:tcW w:w="920" w:type="dxa"/>
            <w:vAlign w:val="bottom"/>
            <w:tcBorders>
              <w:right w:val="single" w:sz="8" w:color="CCEEFF"/>
            </w:tcBorders>
            <w:gridSpan w:val="2"/>
            <w:shd w:val="clear" w:color="auto" w:fill="CCEEFF"/>
          </w:tcPr>
          <w:p>
            <w:pPr>
              <w:spacing w:after="0" w:line="175" w:lineRule="exact"/>
              <w:rPr>
                <w:sz w:val="20"/>
                <w:szCs w:val="20"/>
                <w:color w:val="auto"/>
              </w:rPr>
            </w:pPr>
            <w:r>
              <w:rPr>
                <w:rFonts w:ascii="Georgia" w:cs="Georgia" w:eastAsia="Georgia" w:hAnsi="Georgia"/>
                <w:sz w:val="18"/>
                <w:szCs w:val="18"/>
                <w:color w:val="auto"/>
              </w:rPr>
              <w:t>Item 18.</w:t>
            </w:r>
          </w:p>
        </w:tc>
        <w:tc>
          <w:tcPr>
            <w:tcW w:w="8060" w:type="dxa"/>
            <w:vAlign w:val="bottom"/>
            <w:gridSpan w:val="27"/>
            <w:shd w:val="clear" w:color="auto" w:fill="CCEEFF"/>
          </w:tcPr>
          <w:p>
            <w:pPr>
              <w:spacing w:after="0" w:line="175" w:lineRule="exact"/>
              <w:rPr>
                <w:sz w:val="20"/>
                <w:szCs w:val="20"/>
                <w:color w:val="auto"/>
              </w:rPr>
            </w:pPr>
            <w:r>
              <w:rPr>
                <w:rFonts w:ascii="Georgia" w:cs="Georgia" w:eastAsia="Georgia" w:hAnsi="Georgia"/>
                <w:sz w:val="18"/>
                <w:szCs w:val="18"/>
                <w:color w:val="0000EE"/>
              </w:rPr>
              <w:t>Consolidated Financial Statements</w:t>
            </w:r>
          </w:p>
        </w:tc>
        <w:tc>
          <w:tcPr>
            <w:tcW w:w="2260" w:type="dxa"/>
            <w:vAlign w:val="bottom"/>
            <w:shd w:val="clear" w:color="auto" w:fill="CCEEFF"/>
          </w:tcPr>
          <w:p>
            <w:pPr>
              <w:jc w:val="center"/>
              <w:ind w:left="1530"/>
              <w:spacing w:after="0" w:line="175" w:lineRule="exact"/>
              <w:rPr>
                <w:sz w:val="20"/>
                <w:szCs w:val="20"/>
                <w:color w:val="auto"/>
              </w:rPr>
            </w:pPr>
            <w:r>
              <w:rPr>
                <w:rFonts w:ascii="Georgia" w:cs="Georgia" w:eastAsia="Georgia" w:hAnsi="Georgia"/>
                <w:sz w:val="18"/>
                <w:szCs w:val="18"/>
                <w:color w:val="auto"/>
              </w:rPr>
              <w:t>134</w:t>
            </w:r>
          </w:p>
        </w:tc>
      </w:tr>
      <w:tr>
        <w:trPr>
          <w:trHeight w:val="27"/>
        </w:trPr>
        <w:tc>
          <w:tcPr>
            <w:tcW w:w="8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183"/>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auto"/>
              </w:rPr>
              <w:t>Item 19</w:t>
            </w:r>
          </w:p>
        </w:tc>
        <w:tc>
          <w:tcPr>
            <w:tcW w:w="8060" w:type="dxa"/>
            <w:vAlign w:val="bottom"/>
            <w:gridSpan w:val="27"/>
          </w:tcPr>
          <w:p>
            <w:pPr>
              <w:spacing w:after="0" w:line="175" w:lineRule="exact"/>
              <w:rPr>
                <w:sz w:val="20"/>
                <w:szCs w:val="20"/>
                <w:color w:val="auto"/>
              </w:rPr>
            </w:pPr>
            <w:r>
              <w:rPr>
                <w:rFonts w:ascii="Georgia" w:cs="Georgia" w:eastAsia="Georgia" w:hAnsi="Georgia"/>
                <w:sz w:val="18"/>
                <w:szCs w:val="18"/>
                <w:color w:val="0000EE"/>
              </w:rPr>
              <w:t>Exhibits</w:t>
            </w: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134</w:t>
            </w:r>
          </w:p>
        </w:tc>
      </w:tr>
      <w:tr>
        <w:trPr>
          <w:trHeight w:val="203"/>
        </w:trPr>
        <w:tc>
          <w:tcPr>
            <w:tcW w:w="8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0000EE"/>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75"/>
        </w:trPr>
        <w:tc>
          <w:tcPr>
            <w:tcW w:w="920" w:type="dxa"/>
            <w:vAlign w:val="bottom"/>
            <w:gridSpan w:val="2"/>
          </w:tcPr>
          <w:p>
            <w:pPr>
              <w:spacing w:after="0" w:line="175" w:lineRule="exact"/>
              <w:rPr>
                <w:sz w:val="20"/>
                <w:szCs w:val="20"/>
                <w:color w:val="auto"/>
              </w:rPr>
            </w:pPr>
            <w:r>
              <w:rPr>
                <w:rFonts w:ascii="Georgia" w:cs="Georgia" w:eastAsia="Georgia" w:hAnsi="Georgia"/>
                <w:sz w:val="18"/>
                <w:szCs w:val="18"/>
                <w:color w:val="0000EE"/>
              </w:rPr>
              <w:t>Signatures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60" w:type="dxa"/>
            <w:vAlign w:val="bottom"/>
          </w:tcPr>
          <w:p>
            <w:pPr>
              <w:jc w:val="center"/>
              <w:ind w:left="1530"/>
              <w:spacing w:after="0" w:line="175" w:lineRule="exact"/>
              <w:rPr>
                <w:sz w:val="20"/>
                <w:szCs w:val="20"/>
                <w:color w:val="auto"/>
              </w:rPr>
            </w:pPr>
            <w:r>
              <w:rPr>
                <w:rFonts w:ascii="Georgia" w:cs="Georgia" w:eastAsia="Georgia" w:hAnsi="Georgia"/>
                <w:sz w:val="18"/>
                <w:szCs w:val="18"/>
                <w:color w:val="auto"/>
              </w:rPr>
              <w:t>135</w:t>
            </w:r>
          </w:p>
        </w:tc>
      </w:tr>
      <w:tr>
        <w:trPr>
          <w:trHeight w:val="433"/>
        </w:trPr>
        <w:tc>
          <w:tcPr>
            <w:tcW w:w="8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sectPr>
      </w:pPr>
    </w:p>
    <w:bookmarkStart w:id="4" w:name="page5"/>
    <w:bookmarkEnd w:id="4"/>
    <w:p>
      <w:pPr>
        <w:jc w:val="center"/>
        <w:ind w:right="-39"/>
        <w:spacing w:after="0"/>
        <w:rPr>
          <w:sz w:val="20"/>
          <w:szCs w:val="20"/>
          <w:color w:val="auto"/>
        </w:rPr>
      </w:pPr>
      <w:r>
        <w:rPr>
          <w:rFonts w:ascii="Georgia" w:cs="Georgia" w:eastAsia="Georgia" w:hAnsi="Georgia"/>
          <w:sz w:val="18"/>
          <w:szCs w:val="18"/>
          <w:b w:val="1"/>
          <w:bCs w:val="1"/>
          <w:color w:val="auto"/>
        </w:rPr>
        <w:t>CERTAIN INFORMATION</w:t>
      </w:r>
    </w:p>
    <w:p>
      <w:pPr>
        <w:spacing w:after="0" w:line="202" w:lineRule="exact"/>
        <w:rPr>
          <w:sz w:val="20"/>
          <w:szCs w:val="20"/>
          <w:color w:val="auto"/>
        </w:rPr>
      </w:pPr>
    </w:p>
    <w:p>
      <w:pPr>
        <w:ind w:right="320" w:firstLine="648"/>
        <w:spacing w:after="0" w:line="237" w:lineRule="auto"/>
        <w:rPr>
          <w:sz w:val="20"/>
          <w:szCs w:val="20"/>
          <w:color w:val="auto"/>
        </w:rPr>
      </w:pPr>
      <w:r>
        <w:rPr>
          <w:rFonts w:ascii="Georgia" w:cs="Georgia" w:eastAsia="Georgia" w:hAnsi="Georgia"/>
          <w:sz w:val="18"/>
          <w:szCs w:val="18"/>
          <w:color w:val="auto"/>
        </w:rPr>
        <w:t>As used in this Annual Report on Form 20-F (the “Annual Report”), unless otherwise indicated or the context otherwise requires, references to</w:t>
      </w:r>
    </w:p>
    <w:p>
      <w:pPr>
        <w:spacing w:after="0" w:line="202" w:lineRule="exact"/>
        <w:rPr>
          <w:sz w:val="20"/>
          <w:szCs w:val="20"/>
          <w:color w:val="auto"/>
        </w:rPr>
      </w:pPr>
    </w:p>
    <w:p>
      <w:pPr>
        <w:ind w:left="1300" w:hanging="320"/>
        <w:spacing w:after="0"/>
        <w:tabs>
          <w:tab w:leader="none" w:pos="13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“we,” “Genenta,” “us,” “our,” “the Company,” or “our company” are to Genenta Science S.p.A., including its subsidiaries;</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“ordinary shares” are to our ordinary shares, no par value;</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“ADSs” or “American Depositary Shares” are to our American Depositary Shares each representing one ordinary share;</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7"/>
        </w:numPr>
        <w:rPr>
          <w:rFonts w:ascii="Georgia" w:cs="Georgia" w:eastAsia="Georgia" w:hAnsi="Georgia"/>
          <w:sz w:val="18"/>
          <w:szCs w:val="18"/>
          <w:color w:val="auto"/>
        </w:rPr>
      </w:pPr>
      <w:r>
        <w:rPr>
          <w:rFonts w:ascii="Georgia" w:cs="Georgia" w:eastAsia="Georgia" w:hAnsi="Georgia"/>
          <w:sz w:val="18"/>
          <w:szCs w:val="18"/>
          <w:color w:val="auto"/>
        </w:rPr>
        <w:t>“NASDAQ” are to the Nasdaq Capital Market; and</w:t>
      </w:r>
    </w:p>
    <w:p>
      <w:pPr>
        <w:spacing w:after="0" w:line="202"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In this Annual Report on Form 20-F, references to “Italy” are to the Republic of Italy and references to “$,” “USD,” “dollars,” “USD$” or “U.S. dollars” are to the legal currency of the United States and references to “€,” or “EURO” are to the legal currency of the European Union.</w:t>
      </w:r>
    </w:p>
    <w:p>
      <w:pPr>
        <w:spacing w:after="0" w:line="204"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Solely for the convenience of the reader, this Annual Report on Form 20-F contains translations of certain EURO amounts into U.S. dollars at specified rates. Except as otherwise stated in this Annual Report on Form 20-F, all translations from EURO to U.S. dollars are based on the noon buying rate of €1.00 per $1.137 in the City of New York for cable transfers of EUROs, as certified for customs purposes by the Federal Reserve Bank of New York on December 31, 2021. No representation is made that such EURO amounts referred to in this Annual Report on Form 20-F could have been or could be converted into U.S. dollars at such rates or any other rates. Any discrepancies in any table between totals and sums of the amounts listed are due to rounding.</w:t>
      </w:r>
    </w:p>
    <w:p>
      <w:pPr>
        <w:spacing w:after="0" w:line="206"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The audited consolidated financial statements and notes thereto as of and for fiscal 2021, 2020 and 2019 included elsewhere in this Annual Report on Form 20-F have been prepared in accordance with U.S. generally accepted accounting principles, or “US GAAP.” Our fiscal semi-annual year end is June 30 and our fiscal year end is December 31.</w:t>
      </w:r>
    </w:p>
    <w:p>
      <w:pPr>
        <w:spacing w:after="0" w:line="203" w:lineRule="exact"/>
        <w:rPr>
          <w:sz w:val="20"/>
          <w:szCs w:val="20"/>
          <w:color w:val="auto"/>
        </w:rPr>
      </w:pPr>
    </w:p>
    <w:p>
      <w:pPr>
        <w:jc w:val="center"/>
        <w:ind w:right="-39"/>
        <w:spacing w:after="0"/>
        <w:rPr>
          <w:sz w:val="20"/>
          <w:szCs w:val="20"/>
          <w:color w:val="auto"/>
        </w:rPr>
      </w:pPr>
      <w:r>
        <w:rPr>
          <w:rFonts w:ascii="Georgia" w:cs="Georgia" w:eastAsia="Georgia" w:hAnsi="Georgia"/>
          <w:sz w:val="18"/>
          <w:szCs w:val="18"/>
          <w:b w:val="1"/>
          <w:bCs w:val="1"/>
          <w:color w:val="auto"/>
        </w:rPr>
        <w:t>FORWARD-LOOKING STATEMENTS</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This Annual Report contains many statements that are “forward-looking”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Annual Report, any or all of those assumptions could prove to be inaccurate. As a result, the forward-looking statements based on those assumptions could also be incorrect. The forward-looking statements in this Annual Report include, without limitation, statements relating to:</w:t>
      </w:r>
    </w:p>
    <w:p>
      <w:pPr>
        <w:spacing w:after="0" w:line="205" w:lineRule="exact"/>
        <w:rPr>
          <w:sz w:val="20"/>
          <w:szCs w:val="20"/>
          <w:color w:val="auto"/>
        </w:rPr>
      </w:pPr>
    </w:p>
    <w:p>
      <w:pPr>
        <w:ind w:left="1300" w:hanging="320"/>
        <w:spacing w:after="0"/>
        <w:tabs>
          <w:tab w:leader="none" w:pos="1300"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our goals and strategies;</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our future business development, results of operations and financial condition;</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our ability to protect our intellectual property rights;</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projected revenues, profits, earnings and other estimated financial information;</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our ability to maintain strong relationships with our customers and suppliers;</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our planned use of proceeds; and</w:t>
      </w:r>
    </w:p>
    <w:p>
      <w:pPr>
        <w:spacing w:after="0" w:line="200" w:lineRule="exact"/>
        <w:rPr>
          <w:rFonts w:ascii="Georgia" w:cs="Georgia" w:eastAsia="Georgia" w:hAnsi="Georgia"/>
          <w:sz w:val="18"/>
          <w:szCs w:val="18"/>
          <w:color w:val="auto"/>
        </w:rPr>
      </w:pPr>
    </w:p>
    <w:p>
      <w:pPr>
        <w:ind w:left="1300" w:hanging="320"/>
        <w:spacing w:after="0"/>
        <w:tabs>
          <w:tab w:leader="none" w:pos="1300" w:val="left"/>
        </w:tabs>
        <w:numPr>
          <w:ilvl w:val="0"/>
          <w:numId w:val="8"/>
        </w:numPr>
        <w:rPr>
          <w:rFonts w:ascii="Georgia" w:cs="Georgia" w:eastAsia="Georgia" w:hAnsi="Georgia"/>
          <w:sz w:val="18"/>
          <w:szCs w:val="18"/>
          <w:color w:val="auto"/>
        </w:rPr>
      </w:pPr>
      <w:r>
        <w:rPr>
          <w:rFonts w:ascii="Georgia" w:cs="Georgia" w:eastAsia="Georgia" w:hAnsi="Georgia"/>
          <w:sz w:val="18"/>
          <w:szCs w:val="18"/>
          <w:color w:val="auto"/>
        </w:rPr>
        <w:t>governmental policies regarding our industry.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5" w:name="page6"/>
    <w:bookmarkEnd w:id="5"/>
    <w:p>
      <w:pPr>
        <w:ind w:firstLine="648"/>
        <w:spacing w:after="0" w:line="237" w:lineRule="auto"/>
        <w:rPr>
          <w:sz w:val="20"/>
          <w:szCs w:val="20"/>
          <w:color w:val="auto"/>
        </w:rPr>
      </w:pPr>
      <w:r>
        <w:rPr>
          <w:rFonts w:ascii="Georgia" w:cs="Georgia" w:eastAsia="Georgia" w:hAnsi="Georgia"/>
          <w:sz w:val="18"/>
          <w:szCs w:val="18"/>
          <w:color w:val="auto"/>
        </w:rPr>
        <w:t>The forward-looking statements included in this Annual Report are subject to known and unknown risks, uncertainties and assumptions about our businesses and business environments. These statements reflect our current views with respect to future events and are not a guarantee of future performance. Actual results of our operations may differ materially from information contained in the forward-looking statements as a result of risk factors, some of which are described under the headings “Risk Factors”, “Operating and Financial Review and Prospects,” “Information on our Company” and elsewhere in this Annual Report.</w:t>
      </w:r>
    </w:p>
    <w:p>
      <w:pPr>
        <w:spacing w:after="0" w:line="205" w:lineRule="exact"/>
        <w:rPr>
          <w:sz w:val="20"/>
          <w:szCs w:val="20"/>
          <w:color w:val="auto"/>
        </w:rPr>
      </w:pPr>
    </w:p>
    <w:p>
      <w:pPr>
        <w:ind w:right="60" w:firstLine="648"/>
        <w:spacing w:after="0" w:line="237" w:lineRule="auto"/>
        <w:rPr>
          <w:sz w:val="20"/>
          <w:szCs w:val="20"/>
          <w:color w:val="auto"/>
        </w:rPr>
      </w:pPr>
      <w:r>
        <w:rPr>
          <w:rFonts w:ascii="Georgia" w:cs="Georgia" w:eastAsia="Georgia" w:hAnsi="Georgia"/>
          <w:sz w:val="18"/>
          <w:szCs w:val="18"/>
          <w:color w:val="auto"/>
        </w:rPr>
        <w:t>These risks and uncertainties are not exhaustive. Other sections of this Annual Report include additional factors which could adversely impact our business and financial performance. The forward-looking statements contained in this Annual Report speak only as of the date of this Annual Report or, if obtained from third-party studies or reports, the date of the corresponding study or report, and are expressly qualified in their entirety by the cautionary statements in this Annual Report. Since we operate in an emerging and evolving environment and new risk factors and uncertainties emerge from time to time, you should not rely upon forward-looking statements as predictions of future events. Except as otherwise required by the securities laws of the United States, the European Union and Italy, we undertake no obligation to update or revise any forward-looking statements to reflect events or circumstances after the date of this Annual Report or to reflect the occurrence of unanticipated events.</w:t>
      </w:r>
    </w:p>
    <w:p>
      <w:pPr>
        <w:spacing w:after="0" w:line="1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0" w:right="459" w:bottom="1440" w:gutter="0" w:footer="0" w:header="0"/>
        </w:sectPr>
      </w:pPr>
    </w:p>
    <w:bookmarkStart w:id="6" w:name="page7"/>
    <w:bookmarkEnd w:id="6"/>
    <w:p>
      <w:pPr>
        <w:ind w:left="5300"/>
        <w:spacing w:after="0"/>
        <w:rPr>
          <w:sz w:val="20"/>
          <w:szCs w:val="20"/>
          <w:color w:val="auto"/>
        </w:rPr>
      </w:pPr>
      <w:r>
        <w:rPr>
          <w:rFonts w:ascii="Georgia" w:cs="Georgia" w:eastAsia="Georgia" w:hAnsi="Georgia"/>
          <w:sz w:val="18"/>
          <w:szCs w:val="18"/>
          <w:b w:val="1"/>
          <w:bCs w:val="1"/>
          <w:color w:val="auto"/>
        </w:rPr>
        <w:t>PART I</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 IDENTITY OF DIRECTORS, SENIOR MANAGEMENT AND ADVISERS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A. Directors and Senior Management</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required.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 Advisers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required.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 Auditors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required.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 OFFER STATISTICS AND EXPECTED TIMETABLE</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required.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3. KEY INFORMATION</w:t>
      </w:r>
    </w:p>
    <w:p>
      <w:pPr>
        <w:spacing w:after="0" w:line="200" w:lineRule="exact"/>
        <w:rPr>
          <w:sz w:val="20"/>
          <w:szCs w:val="20"/>
          <w:color w:val="auto"/>
        </w:rPr>
      </w:pPr>
    </w:p>
    <w:p>
      <w:pPr>
        <w:ind w:left="240" w:hanging="232"/>
        <w:spacing w:after="0"/>
        <w:tabs>
          <w:tab w:leader="none" w:pos="240" w:val="left"/>
        </w:tabs>
        <w:numPr>
          <w:ilvl w:val="0"/>
          <w:numId w:val="9"/>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[Reserved]</w:t>
      </w:r>
    </w:p>
    <w:p>
      <w:pPr>
        <w:spacing w:after="0" w:line="201" w:lineRule="exact"/>
        <w:rPr>
          <w:rFonts w:ascii="Georgia" w:cs="Georgia" w:eastAsia="Georgia" w:hAnsi="Georgia"/>
          <w:sz w:val="18"/>
          <w:szCs w:val="18"/>
          <w:b w:val="1"/>
          <w:bCs w:val="1"/>
          <w:color w:val="auto"/>
        </w:rPr>
      </w:pPr>
    </w:p>
    <w:p>
      <w:pPr>
        <w:ind w:left="660" w:right="8000" w:hanging="652"/>
        <w:spacing w:after="0" w:line="473" w:lineRule="auto"/>
        <w:tabs>
          <w:tab w:leader="none" w:pos="253" w:val="left"/>
        </w:tabs>
        <w:numPr>
          <w:ilvl w:val="0"/>
          <w:numId w:val="9"/>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 xml:space="preserve">Capitalization and Indebtedness </w:t>
      </w:r>
      <w:r>
        <w:rPr>
          <w:rFonts w:ascii="Georgia" w:cs="Georgia" w:eastAsia="Georgia" w:hAnsi="Georgia"/>
          <w:sz w:val="18"/>
          <w:szCs w:val="18"/>
          <w:color w:val="auto"/>
        </w:rPr>
        <w:t>Not required.</w:t>
      </w:r>
    </w:p>
    <w:p>
      <w:pPr>
        <w:spacing w:after="0" w:line="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w:t>
      </w:r>
      <w:r>
        <w:rPr>
          <w:rFonts w:ascii="Georgia" w:cs="Georgia" w:eastAsia="Georgia" w:hAnsi="Georgia"/>
          <w:sz w:val="18"/>
          <w:szCs w:val="18"/>
          <w:color w:val="auto"/>
        </w:rPr>
        <w:t>.</w:t>
      </w:r>
      <w:r>
        <w:rPr>
          <w:rFonts w:ascii="Georgia" w:cs="Georgia" w:eastAsia="Georgia" w:hAnsi="Georgia"/>
          <w:sz w:val="18"/>
          <w:szCs w:val="18"/>
          <w:b w:val="1"/>
          <w:bCs w:val="1"/>
          <w:color w:val="auto"/>
        </w:rPr>
        <w:t xml:space="preserve"> Reasons for the Offer and Use of Proceeds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required.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 Risk factors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You should carefully consider all of the information in this report, including various changing regulatory, competitive, economic, political and social risks and conditions described below, before making an investment in our ordinary shares. One or more of a combination of these risks could materially impact our business, results of operations and financial condition. In any such case, the market price of our ADSs or ordinary shares could decline, and you may lose all or part of your investment.</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Summary Risk Factors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Risks relating to our business include issues arising from the following matters and related adverse developments:</w:t>
      </w:r>
    </w:p>
    <w:p>
      <w:pPr>
        <w:spacing w:after="0" w:line="202" w:lineRule="exact"/>
        <w:rPr>
          <w:sz w:val="20"/>
          <w:szCs w:val="20"/>
          <w:color w:val="auto"/>
        </w:rPr>
      </w:pPr>
    </w:p>
    <w:p>
      <w:pPr>
        <w:ind w:left="660" w:right="220" w:hanging="328"/>
        <w:spacing w:after="0" w:line="237" w:lineRule="auto"/>
        <w:tabs>
          <w:tab w:leader="none" w:pos="66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204" w:lineRule="exact"/>
        <w:rPr>
          <w:rFonts w:ascii="Georgia" w:cs="Georgia" w:eastAsia="Georgia" w:hAnsi="Georgia"/>
          <w:sz w:val="18"/>
          <w:szCs w:val="18"/>
          <w:color w:val="auto"/>
        </w:rPr>
      </w:pPr>
    </w:p>
    <w:p>
      <w:pPr>
        <w:ind w:left="660" w:hanging="328"/>
        <w:spacing w:after="0" w:line="254" w:lineRule="auto"/>
        <w:tabs>
          <w:tab w:leader="none" w:pos="660" w:val="left"/>
        </w:tabs>
        <w:numPr>
          <w:ilvl w:val="0"/>
          <w:numId w:val="10"/>
        </w:numPr>
        <w:rPr>
          <w:rFonts w:ascii="Georgia" w:cs="Georgia" w:eastAsia="Georgia" w:hAnsi="Georgia"/>
          <w:sz w:val="17"/>
          <w:szCs w:val="17"/>
          <w:color w:val="auto"/>
        </w:rPr>
      </w:pPr>
      <w:r>
        <w:rPr>
          <w:rFonts w:ascii="Georgia" w:cs="Georgia" w:eastAsia="Georgia" w:hAnsi="Georgia"/>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San Raffaele Hospital (“OSR”) and any failure to comply with the terms of such license agreement could have a material adverse effect on our intellectual property position and our ability to seek approval for and ultimately commercialize such product candidates.</w:t>
      </w:r>
    </w:p>
    <w:p>
      <w:pPr>
        <w:spacing w:after="0" w:line="192" w:lineRule="exact"/>
        <w:rPr>
          <w:rFonts w:ascii="Georgia" w:cs="Georgia" w:eastAsia="Georgia" w:hAnsi="Georgia"/>
          <w:sz w:val="17"/>
          <w:szCs w:val="17"/>
          <w:color w:val="auto"/>
        </w:rPr>
      </w:pPr>
    </w:p>
    <w:p>
      <w:pPr>
        <w:ind w:left="660" w:right="240" w:hanging="328"/>
        <w:spacing w:after="0" w:line="237" w:lineRule="auto"/>
        <w:tabs>
          <w:tab w:leader="none" w:pos="66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660" w:hanging="328"/>
        <w:spacing w:after="0" w:line="237" w:lineRule="auto"/>
        <w:tabs>
          <w:tab w:leader="none" w:pos="66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205" w:lineRule="exact"/>
        <w:rPr>
          <w:rFonts w:ascii="Georgia" w:cs="Georgia" w:eastAsia="Georgia" w:hAnsi="Georgia"/>
          <w:sz w:val="18"/>
          <w:szCs w:val="18"/>
          <w:color w:val="auto"/>
        </w:rPr>
      </w:pPr>
    </w:p>
    <w:p>
      <w:pPr>
        <w:ind w:left="660" w:right="240" w:hanging="328"/>
        <w:spacing w:after="0" w:line="237" w:lineRule="auto"/>
        <w:tabs>
          <w:tab w:leader="none" w:pos="66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205" w:lineRule="exact"/>
        <w:rPr>
          <w:rFonts w:ascii="Georgia" w:cs="Georgia" w:eastAsia="Georgia" w:hAnsi="Georgia"/>
          <w:sz w:val="18"/>
          <w:szCs w:val="18"/>
          <w:color w:val="auto"/>
        </w:rPr>
      </w:pPr>
    </w:p>
    <w:p>
      <w:pPr>
        <w:ind w:left="660" w:right="40" w:hanging="328"/>
        <w:spacing w:after="0" w:line="237" w:lineRule="auto"/>
        <w:tabs>
          <w:tab w:leader="none" w:pos="66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203" w:lineRule="exact"/>
        <w:rPr>
          <w:rFonts w:ascii="Georgia" w:cs="Georgia" w:eastAsia="Georgia" w:hAnsi="Georgia"/>
          <w:sz w:val="18"/>
          <w:szCs w:val="18"/>
          <w:color w:val="auto"/>
        </w:rPr>
      </w:pPr>
    </w:p>
    <w:p>
      <w:pPr>
        <w:ind w:left="660" w:right="320" w:hanging="328"/>
        <w:spacing w:after="0" w:line="237" w:lineRule="auto"/>
        <w:tabs>
          <w:tab w:leader="none" w:pos="66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Our Chief Executive Officer, directors and shareholders who own more than 5% of our outstanding ordinary shares currently own approximately 50.5% of our ordinary shares and will therefore be able to exert significant control over matters submitted to our shareholders for approval.</w:t>
      </w:r>
    </w:p>
    <w:p>
      <w:pPr>
        <w:spacing w:after="0" w:line="204" w:lineRule="exact"/>
        <w:rPr>
          <w:rFonts w:ascii="Georgia" w:cs="Georgia" w:eastAsia="Georgia" w:hAnsi="Georgia"/>
          <w:sz w:val="18"/>
          <w:szCs w:val="18"/>
          <w:color w:val="auto"/>
        </w:rPr>
      </w:pPr>
    </w:p>
    <w:p>
      <w:pPr>
        <w:ind w:left="660" w:right="80" w:hanging="328"/>
        <w:spacing w:after="0" w:line="237" w:lineRule="auto"/>
        <w:tabs>
          <w:tab w:leader="none" w:pos="66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As a public company, we will need to comply with extensive additional U.S. and Italian governmental and Nasdaq regulations, which will be expensive, and require significant management attention.</w:t>
      </w:r>
    </w:p>
    <w:p>
      <w:pPr>
        <w:spacing w:after="0" w:line="203" w:lineRule="exact"/>
        <w:rPr>
          <w:rFonts w:ascii="Georgia" w:cs="Georgia" w:eastAsia="Georgia" w:hAnsi="Georgia"/>
          <w:sz w:val="18"/>
          <w:szCs w:val="18"/>
          <w:color w:val="auto"/>
        </w:rPr>
      </w:pPr>
    </w:p>
    <w:p>
      <w:pPr>
        <w:ind w:left="660" w:right="300" w:hanging="328"/>
        <w:spacing w:after="0" w:line="237" w:lineRule="auto"/>
        <w:tabs>
          <w:tab w:leader="none" w:pos="66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As a company organized under the laws of Italy and whose shares are represented by ADSs, the rights of investors in the company differ in several material respects from the rights of holders of shares of common stock of a US domestic company and may not provide investors the same protections.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Our Financial Position and Capital Requirements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208" w:lineRule="exact"/>
        <w:rPr>
          <w:sz w:val="20"/>
          <w:szCs w:val="20"/>
          <w:color w:val="auto"/>
        </w:rPr>
      </w:pPr>
    </w:p>
    <w:p>
      <w:pPr>
        <w:ind w:right="400"/>
        <w:spacing w:after="0" w:line="237" w:lineRule="auto"/>
        <w:rPr>
          <w:sz w:val="20"/>
          <w:szCs w:val="20"/>
          <w:color w:val="auto"/>
        </w:rPr>
      </w:pPr>
      <w:r>
        <w:rPr>
          <w:rFonts w:ascii="Georgia" w:cs="Georgia" w:eastAsia="Georgia" w:hAnsi="Georgia"/>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204"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We have no products approved for commercial sale, have not generated any revenue from commercial sales of our product candidates, and have incurred losses each year since our inception. Our losses for the years ended December 31, 2021, 2020 and 2019, were approximately €5.5 million, €5.6 million, and €4.6 million, respectively. As of December 31, 2021, we had an accumulated deficit of approximately €27.0 million.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8" w:name="page9"/>
    <w:bookmarkEnd w:id="8"/>
    <w:p>
      <w:pPr>
        <w:ind w:right="100"/>
        <w:spacing w:after="0" w:line="237" w:lineRule="auto"/>
        <w:rPr>
          <w:sz w:val="20"/>
          <w:szCs w:val="20"/>
          <w:color w:val="auto"/>
        </w:rPr>
      </w:pPr>
      <w:r>
        <w:rPr>
          <w:rFonts w:ascii="Georgia" w:cs="Georgia" w:eastAsia="Georgia" w:hAnsi="Georgia"/>
          <w:sz w:val="18"/>
          <w:szCs w:val="18"/>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205" w:lineRule="exact"/>
        <w:rPr>
          <w:sz w:val="20"/>
          <w:szCs w:val="20"/>
          <w:color w:val="auto"/>
        </w:rPr>
      </w:pPr>
    </w:p>
    <w:p>
      <w:pPr>
        <w:ind w:left="660" w:right="20" w:hanging="328"/>
        <w:spacing w:after="0" w:line="237" w:lineRule="auto"/>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204" w:lineRule="exact"/>
        <w:rPr>
          <w:rFonts w:ascii="Georgia" w:cs="Georgia" w:eastAsia="Georgia" w:hAnsi="Georgia"/>
          <w:sz w:val="18"/>
          <w:szCs w:val="18"/>
          <w:color w:val="auto"/>
        </w:rPr>
      </w:pPr>
    </w:p>
    <w:p>
      <w:pPr>
        <w:ind w:left="660" w:right="540" w:hanging="328"/>
        <w:spacing w:after="0" w:line="237" w:lineRule="auto"/>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develop and obtain regulatory approval for registration studies for our current product candidate Temferon and any additional product candidates that we may pursue in the future;</w:t>
      </w:r>
    </w:p>
    <w:p>
      <w:pPr>
        <w:spacing w:after="0" w:line="203" w:lineRule="exact"/>
        <w:rPr>
          <w:rFonts w:ascii="Georgia" w:cs="Georgia" w:eastAsia="Georgia" w:hAnsi="Georgia"/>
          <w:sz w:val="18"/>
          <w:szCs w:val="18"/>
          <w:color w:val="auto"/>
        </w:rPr>
      </w:pPr>
    </w:p>
    <w:p>
      <w:pPr>
        <w:ind w:left="660" w:right="460" w:hanging="328"/>
        <w:spacing w:after="0" w:line="237" w:lineRule="auto"/>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seek regulatory and marketing approvals for our product candidates that successfully complete clinical studies, if any, including obtaining orphan drug designation;</w:t>
      </w:r>
    </w:p>
    <w:p>
      <w:pPr>
        <w:spacing w:after="0" w:line="203" w:lineRule="exact"/>
        <w:rPr>
          <w:rFonts w:ascii="Georgia" w:cs="Georgia" w:eastAsia="Georgia" w:hAnsi="Georgia"/>
          <w:sz w:val="18"/>
          <w:szCs w:val="18"/>
          <w:color w:val="auto"/>
        </w:rPr>
      </w:pPr>
    </w:p>
    <w:p>
      <w:pPr>
        <w:ind w:left="660" w:right="580" w:hanging="328"/>
        <w:spacing w:after="0" w:line="237" w:lineRule="auto"/>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establish a sales, marketing, and distribution infrastructure to commercialize any product candidates for which we may obtain marketing approval;</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 xml:space="preserve">industrialize our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approach into a robust, scalable and, if approved, commercially viable process;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maintain, protect, and expand our intellectual property portfolio;</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hire and retain qualified technical personnel, such as clinical, quality control, commercial and scientific personnel;</w:t>
      </w:r>
    </w:p>
    <w:p>
      <w:pPr>
        <w:spacing w:after="0" w:line="201"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expand our infrastructure and facilities to support our operations, including adding equipment and physical infrastructure to support our research and development; and</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incur additional legal, accounting and other expenses associated with operating as a public company.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We have not generated revenue from product sales and may never be profitable.</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03" w:lineRule="exact"/>
        <w:rPr>
          <w:sz w:val="20"/>
          <w:szCs w:val="20"/>
          <w:color w:val="auto"/>
        </w:rPr>
      </w:pPr>
    </w:p>
    <w:p>
      <w:pPr>
        <w:ind w:left="660" w:hanging="328"/>
        <w:spacing w:after="0"/>
        <w:tabs>
          <w:tab w:leader="none" w:pos="66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completing research and pre- and non-clinical development of our products candidates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seeking and obtaining regulatory and marketing approvals for product candidates for which we complete clinical studies, if any;</w:t>
      </w:r>
    </w:p>
    <w:p>
      <w:pPr>
        <w:spacing w:after="0" w:line="201" w:lineRule="exact"/>
        <w:rPr>
          <w:rFonts w:ascii="Georgia" w:cs="Georgia" w:eastAsia="Georgia" w:hAnsi="Georgia"/>
          <w:sz w:val="18"/>
          <w:szCs w:val="18"/>
          <w:color w:val="auto"/>
        </w:rPr>
      </w:pPr>
    </w:p>
    <w:p>
      <w:pPr>
        <w:ind w:left="660" w:right="80" w:hanging="328"/>
        <w:spacing w:after="0" w:line="237" w:lineRule="auto"/>
        <w:tabs>
          <w:tab w:leader="none" w:pos="66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negotiating favorable terms in any collaboration, licensing or other arrangements into which we may enter;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obtaining market acceptance of our product candidates, if approved for marketing, as viable treatment options.</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05"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9" w:name="page10"/>
    <w:bookmarkEnd w:id="9"/>
    <w:p>
      <w:pPr>
        <w:ind w:right="260"/>
        <w:spacing w:after="0" w:line="237" w:lineRule="auto"/>
        <w:rPr>
          <w:sz w:val="20"/>
          <w:szCs w:val="20"/>
          <w:color w:val="auto"/>
        </w:rPr>
      </w:pPr>
      <w:r>
        <w:rPr>
          <w:rFonts w:ascii="Georgia" w:cs="Georgia" w:eastAsia="Georgia" w:hAnsi="Georgia"/>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of December 31, 2021, our cash and cash equivalents were approximately €37.2 million.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color w:val="auto"/>
        </w:rPr>
        <w:t>Our future funding requirements will depend on many factors, including but not limited to:</w:t>
      </w:r>
    </w:p>
    <w:p>
      <w:pPr>
        <w:spacing w:after="0" w:line="202" w:lineRule="exact"/>
        <w:rPr>
          <w:sz w:val="20"/>
          <w:szCs w:val="20"/>
          <w:color w:val="auto"/>
        </w:rPr>
      </w:pPr>
    </w:p>
    <w:p>
      <w:pPr>
        <w:ind w:left="660" w:right="220" w:hanging="328"/>
        <w:spacing w:after="0" w:line="237" w:lineRule="auto"/>
        <w:tabs>
          <w:tab w:leader="none" w:pos="66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the scope, progress, results and costs of drug discovery, laboratory testing, pre- and non-clinical development and clinical trials for our product candidates, including Temferon;</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the cost, timing and outcome of regulatory review of our product candidates;</w:t>
      </w:r>
    </w:p>
    <w:p>
      <w:pPr>
        <w:spacing w:after="0" w:line="201" w:lineRule="exact"/>
        <w:rPr>
          <w:rFonts w:ascii="Georgia" w:cs="Georgia" w:eastAsia="Georgia" w:hAnsi="Georgia"/>
          <w:sz w:val="18"/>
          <w:szCs w:val="18"/>
          <w:color w:val="auto"/>
        </w:rPr>
      </w:pPr>
    </w:p>
    <w:p>
      <w:pPr>
        <w:ind w:left="660" w:right="200" w:hanging="328"/>
        <w:spacing w:after="0" w:line="237" w:lineRule="auto"/>
        <w:tabs>
          <w:tab w:leader="none" w:pos="66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the costs of future activities, including product sales, marketing, manufacturing and distribution, for any of our product candidates for which we receive marketing approval;</w:t>
      </w:r>
    </w:p>
    <w:p>
      <w:pPr>
        <w:spacing w:after="0" w:line="203" w:lineRule="exact"/>
        <w:rPr>
          <w:rFonts w:ascii="Georgia" w:cs="Georgia" w:eastAsia="Georgia" w:hAnsi="Georgia"/>
          <w:sz w:val="18"/>
          <w:szCs w:val="18"/>
          <w:color w:val="auto"/>
        </w:rPr>
      </w:pPr>
    </w:p>
    <w:p>
      <w:pPr>
        <w:ind w:left="660" w:right="120" w:hanging="328"/>
        <w:spacing w:after="0" w:line="237" w:lineRule="auto"/>
        <w:tabs>
          <w:tab w:leader="none" w:pos="66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the cost of preparing, filing and prosecuting patent and trademark applications, maintaining and enforcing our intellectual property rights and defending our intellectual property-related claims;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any product liability or other lawsuits related to our products;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the expenses needed to attract and retain skilled personnel;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the costs associated with being a public company.</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205"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Product Development, Regulatory Approval and Commercialization</w:t>
      </w:r>
    </w:p>
    <w:p>
      <w:pPr>
        <w:spacing w:after="0" w:line="202" w:lineRule="exact"/>
        <w:rPr>
          <w:sz w:val="20"/>
          <w:szCs w:val="20"/>
          <w:color w:val="auto"/>
        </w:rPr>
      </w:pPr>
    </w:p>
    <w:p>
      <w:pPr>
        <w:jc w:val="both"/>
        <w:ind w:right="620"/>
        <w:spacing w:after="0" w:line="237" w:lineRule="auto"/>
        <w:rPr>
          <w:sz w:val="20"/>
          <w:szCs w:val="20"/>
          <w:color w:val="auto"/>
        </w:rPr>
      </w:pPr>
      <w:r>
        <w:rPr>
          <w:rFonts w:ascii="Georgia" w:cs="Georgia" w:eastAsia="Georgia" w:hAnsi="Georgia"/>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We have concentrated our research and development efforts on our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206" w:lineRule="exact"/>
        <w:rPr>
          <w:sz w:val="20"/>
          <w:szCs w:val="20"/>
          <w:color w:val="auto"/>
        </w:rPr>
      </w:pPr>
    </w:p>
    <w:p>
      <w:pPr>
        <w:ind w:left="660" w:right="480" w:hanging="328"/>
        <w:spacing w:after="0" w:line="237" w:lineRule="auto"/>
        <w:tabs>
          <w:tab w:leader="none" w:pos="660" w:val="left"/>
        </w:tabs>
        <w:numPr>
          <w:ilvl w:val="0"/>
          <w:numId w:val="15"/>
        </w:numPr>
        <w:rPr>
          <w:rFonts w:ascii="Georgia" w:cs="Georgia" w:eastAsia="Georgia" w:hAnsi="Georgia"/>
          <w:sz w:val="18"/>
          <w:szCs w:val="18"/>
          <w:color w:val="auto"/>
        </w:rPr>
      </w:pPr>
      <w:r>
        <w:rPr>
          <w:rFonts w:ascii="Georgia" w:cs="Georgia" w:eastAsia="Georgia" w:hAnsi="Georgia"/>
          <w:sz w:val="18"/>
          <w:szCs w:val="18"/>
          <w:color w:val="auto"/>
        </w:rPr>
        <w:t xml:space="preserve">obtaining regulatory approval for our product candidates, as the FDA, the EMA, the AIFA and other regulatory authorities have limited experience with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therapies for cancer;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0" w:name="page11"/>
    <w:bookmarkEnd w:id="10"/>
    <w:p>
      <w:pPr>
        <w:ind w:left="660" w:right="320" w:hanging="328"/>
        <w:spacing w:after="0" w:line="237" w:lineRule="auto"/>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 xml:space="preserve">developing and deploying consistent and reliable processes for engineering a patient’s HSPCs </w:t>
      </w:r>
      <w:r>
        <w:rPr>
          <w:rFonts w:ascii="Georgia" w:cs="Georgia" w:eastAsia="Georgia" w:hAnsi="Georgia"/>
          <w:sz w:val="18"/>
          <w:szCs w:val="18"/>
          <w:i w:val="1"/>
          <w:iCs w:val="1"/>
          <w:color w:val="auto"/>
        </w:rPr>
        <w:t>ex vivo</w:t>
      </w:r>
      <w:r>
        <w:rPr>
          <w:rFonts w:ascii="Georgia" w:cs="Georgia" w:eastAsia="Georgia" w:hAnsi="Georgia"/>
          <w:sz w:val="18"/>
          <w:szCs w:val="18"/>
          <w:color w:val="auto"/>
        </w:rPr>
        <w:t xml:space="preserve"> and infusing the engineered HSPCs back into the patient;</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sourcing clinical and, if approved, commercial supplies of the materials used to manufacture our product candidates;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developing programming modules with the desired properties, while avoiding adverse reactions;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creating viral vectors capable of delivering multiple programming modules;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 xml:space="preserve">developing a reliable and consistent </w:t>
      </w:r>
      <w:r>
        <w:rPr>
          <w:rFonts w:ascii="Georgia" w:cs="Georgia" w:eastAsia="Georgia" w:hAnsi="Georgia"/>
          <w:sz w:val="18"/>
          <w:szCs w:val="18"/>
          <w:i w:val="1"/>
          <w:iCs w:val="1"/>
          <w:color w:val="auto"/>
        </w:rPr>
        <w:t>ex vivo</w:t>
      </w:r>
      <w:r>
        <w:rPr>
          <w:rFonts w:ascii="Georgia" w:cs="Georgia" w:eastAsia="Georgia" w:hAnsi="Georgia"/>
          <w:sz w:val="18"/>
          <w:szCs w:val="18"/>
          <w:color w:val="auto"/>
        </w:rPr>
        <w:t xml:space="preserve"> gene modification and manufacturing process;</w:t>
      </w:r>
    </w:p>
    <w:p>
      <w:pPr>
        <w:spacing w:after="0" w:line="201" w:lineRule="exact"/>
        <w:rPr>
          <w:rFonts w:ascii="Georgia" w:cs="Georgia" w:eastAsia="Georgia" w:hAnsi="Georgia"/>
          <w:sz w:val="18"/>
          <w:szCs w:val="18"/>
          <w:color w:val="auto"/>
        </w:rPr>
      </w:pPr>
    </w:p>
    <w:p>
      <w:pPr>
        <w:ind w:left="660" w:right="360" w:hanging="328"/>
        <w:spacing w:after="0" w:line="237" w:lineRule="auto"/>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securing manufacturing capacity suitable for the manufacture of our product candidates in line with expanding enrollment in our clinical studies and our projected commercial requirements;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minimizing and avoiding infection and contamination during production of product candidates;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developing protocols for the safe administration of our product candidates;</w:t>
      </w:r>
    </w:p>
    <w:p>
      <w:pPr>
        <w:spacing w:after="0" w:line="201"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 xml:space="preserve">educating medical personnel regarding our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technologies and the potential side effect profile of each of our product candidates, such as potential adverse effects related to pyrexia and infections;</w:t>
      </w:r>
    </w:p>
    <w:p>
      <w:pPr>
        <w:spacing w:after="0" w:line="203" w:lineRule="exact"/>
        <w:rPr>
          <w:rFonts w:ascii="Georgia" w:cs="Georgia" w:eastAsia="Georgia" w:hAnsi="Georgia"/>
          <w:sz w:val="18"/>
          <w:szCs w:val="18"/>
          <w:color w:val="auto"/>
        </w:rPr>
      </w:pPr>
    </w:p>
    <w:p>
      <w:pPr>
        <w:ind w:left="660" w:right="600" w:hanging="328"/>
        <w:spacing w:after="0" w:line="237" w:lineRule="auto"/>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cell therapies;</w:t>
      </w:r>
    </w:p>
    <w:p>
      <w:pPr>
        <w:spacing w:after="0" w:line="203" w:lineRule="exact"/>
        <w:rPr>
          <w:rFonts w:ascii="Georgia" w:cs="Georgia" w:eastAsia="Georgia" w:hAnsi="Georgia"/>
          <w:sz w:val="18"/>
          <w:szCs w:val="18"/>
          <w:color w:val="auto"/>
        </w:rPr>
      </w:pPr>
    </w:p>
    <w:p>
      <w:pPr>
        <w:ind w:left="660" w:right="20" w:hanging="328"/>
        <w:spacing w:after="0" w:line="237" w:lineRule="auto"/>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6"/>
        </w:numPr>
        <w:rPr>
          <w:rFonts w:ascii="Georgia" w:cs="Georgia" w:eastAsia="Georgia" w:hAnsi="Georgia"/>
          <w:sz w:val="18"/>
          <w:szCs w:val="18"/>
          <w:color w:val="auto"/>
        </w:rPr>
      </w:pPr>
      <w:r>
        <w:rPr>
          <w:rFonts w:ascii="Georgia" w:cs="Georgia" w:eastAsia="Georgia" w:hAnsi="Georgia"/>
          <w:sz w:val="18"/>
          <w:szCs w:val="18"/>
          <w:color w:val="auto"/>
        </w:rPr>
        <w:t>the availability of coverage and adequate reimbursement from third-party payors.</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 xml:space="preserve">We may not be able to successfully develop our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Georgia" w:cs="Georgia" w:eastAsia="Georgia" w:hAnsi="Georgia"/>
          <w:sz w:val="18"/>
          <w:szCs w:val="18"/>
          <w:i w:val="1"/>
          <w:iCs w:val="1"/>
          <w:color w:val="auto"/>
        </w:rPr>
        <w:t>ex vivo</w:t>
      </w:r>
      <w:r>
        <w:rPr>
          <w:rFonts w:ascii="Georgia" w:cs="Georgia" w:eastAsia="Georgia" w:hAnsi="Georgia"/>
          <w:sz w:val="18"/>
          <w:szCs w:val="18"/>
          <w:color w:val="auto"/>
        </w:rPr>
        <w:t>, we are subject to additional regulatory challenges and risks, including:</w:t>
      </w:r>
    </w:p>
    <w:p>
      <w:pPr>
        <w:spacing w:after="0" w:line="204" w:lineRule="exact"/>
        <w:rPr>
          <w:sz w:val="20"/>
          <w:szCs w:val="20"/>
          <w:color w:val="auto"/>
        </w:rPr>
      </w:pPr>
    </w:p>
    <w:p>
      <w:pPr>
        <w:ind w:left="660" w:hanging="328"/>
        <w:spacing w:after="0" w:line="237" w:lineRule="auto"/>
        <w:tabs>
          <w:tab w:leader="none" w:pos="66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204"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203" w:lineRule="exact"/>
        <w:rPr>
          <w:rFonts w:ascii="Georgia" w:cs="Georgia" w:eastAsia="Georgia" w:hAnsi="Georgia"/>
          <w:sz w:val="18"/>
          <w:szCs w:val="18"/>
          <w:color w:val="auto"/>
        </w:rPr>
      </w:pPr>
    </w:p>
    <w:p>
      <w:pPr>
        <w:ind w:left="660" w:right="500" w:hanging="328"/>
        <w:spacing w:after="0" w:line="237" w:lineRule="auto"/>
        <w:tabs>
          <w:tab w:leader="none" w:pos="66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203" w:lineRule="exact"/>
        <w:rPr>
          <w:rFonts w:ascii="Georgia" w:cs="Georgia" w:eastAsia="Georgia" w:hAnsi="Georgia"/>
          <w:sz w:val="18"/>
          <w:szCs w:val="18"/>
          <w:color w:val="auto"/>
        </w:rPr>
      </w:pPr>
    </w:p>
    <w:p>
      <w:pPr>
        <w:ind w:left="660" w:right="100" w:hanging="328"/>
        <w:spacing w:after="0" w:line="237" w:lineRule="auto"/>
        <w:tabs>
          <w:tab w:leader="none" w:pos="66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1" w:name="page12"/>
    <w:bookmarkEnd w:id="11"/>
    <w:p>
      <w:pPr>
        <w:ind w:right="40"/>
        <w:spacing w:after="0" w:line="237" w:lineRule="auto"/>
        <w:rPr>
          <w:sz w:val="20"/>
          <w:szCs w:val="20"/>
          <w:color w:val="auto"/>
        </w:rPr>
      </w:pPr>
      <w:r>
        <w:rPr>
          <w:rFonts w:ascii="Georgia" w:cs="Georgia" w:eastAsia="Georgia" w:hAnsi="Georgia"/>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0"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spacing w:after="0" w:line="205" w:lineRule="exact"/>
        <w:rPr>
          <w:sz w:val="20"/>
          <w:szCs w:val="20"/>
          <w:color w:val="auto"/>
        </w:rPr>
      </w:pPr>
    </w:p>
    <w:p>
      <w:pPr>
        <w:ind w:right="520"/>
        <w:spacing w:after="0" w:line="237" w:lineRule="auto"/>
        <w:rPr>
          <w:sz w:val="20"/>
          <w:szCs w:val="20"/>
          <w:color w:val="auto"/>
        </w:rPr>
      </w:pPr>
      <w:r>
        <w:rPr>
          <w:rFonts w:ascii="Georgia" w:cs="Georgia" w:eastAsia="Georgia" w:hAnsi="Georgia"/>
          <w:sz w:val="18"/>
          <w:szCs w:val="18"/>
          <w:color w:val="auto"/>
        </w:rPr>
        <w:t>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7"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2" w:name="page13"/>
    <w:bookmarkEnd w:id="12"/>
    <w:p>
      <w:pPr>
        <w:ind w:right="20"/>
        <w:spacing w:after="0" w:line="237" w:lineRule="auto"/>
        <w:rPr>
          <w:sz w:val="20"/>
          <w:szCs w:val="20"/>
          <w:color w:val="auto"/>
        </w:rPr>
      </w:pPr>
      <w:r>
        <w:rPr>
          <w:rFonts w:ascii="Georgia" w:cs="Georgia" w:eastAsia="Georgia" w:hAnsi="Georgia"/>
          <w:sz w:val="18"/>
          <w:szCs w:val="18"/>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two GBM patients died (day +60 and +122) due to complications following the conditioning regimens.</w:t>
      </w:r>
    </w:p>
    <w:p>
      <w:pPr>
        <w:spacing w:after="0" w:line="206"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06"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04" w:lineRule="exact"/>
        <w:rPr>
          <w:sz w:val="20"/>
          <w:szCs w:val="20"/>
          <w:color w:val="auto"/>
        </w:rPr>
      </w:pPr>
    </w:p>
    <w:p>
      <w:pPr>
        <w:ind w:left="660" w:hanging="328"/>
        <w:spacing w:after="0"/>
        <w:tabs>
          <w:tab w:leader="none" w:pos="66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regulatory authorities may suspend or withdraw approvals of such a product candidate;</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regulatory authorities may require additional warnings or limitations of use in product labeling;</w:t>
      </w:r>
    </w:p>
    <w:p>
      <w:pPr>
        <w:spacing w:after="0" w:line="201" w:lineRule="exact"/>
        <w:rPr>
          <w:rFonts w:ascii="Georgia" w:cs="Georgia" w:eastAsia="Georgia" w:hAnsi="Georgia"/>
          <w:sz w:val="18"/>
          <w:szCs w:val="18"/>
          <w:color w:val="auto"/>
        </w:rPr>
      </w:pPr>
    </w:p>
    <w:p>
      <w:pPr>
        <w:ind w:left="660" w:right="220" w:hanging="328"/>
        <w:spacing w:after="0" w:line="237" w:lineRule="auto"/>
        <w:tabs>
          <w:tab w:leader="none" w:pos="66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we may be required to change the way a product candidate is distributed, dispensed, or administered or conduct additional clinical trials;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we could be sued and held liable for harm caused to patients;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our reputation may suffer.</w:t>
      </w:r>
    </w:p>
    <w:p>
      <w:pPr>
        <w:spacing w:after="0" w:line="202" w:lineRule="exact"/>
        <w:rPr>
          <w:sz w:val="20"/>
          <w:szCs w:val="20"/>
          <w:color w:val="auto"/>
        </w:rPr>
      </w:pPr>
    </w:p>
    <w:p>
      <w:pPr>
        <w:ind w:right="420"/>
        <w:spacing w:after="0" w:line="237" w:lineRule="auto"/>
        <w:rPr>
          <w:sz w:val="20"/>
          <w:szCs w:val="20"/>
          <w:color w:val="auto"/>
        </w:rPr>
      </w:pPr>
      <w:r>
        <w:rPr>
          <w:rFonts w:ascii="Georgia" w:cs="Georgia" w:eastAsia="Georgia" w:hAnsi="Georgia"/>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04" w:lineRule="exact"/>
        <w:rPr>
          <w:sz w:val="20"/>
          <w:szCs w:val="20"/>
          <w:color w:val="auto"/>
        </w:rPr>
      </w:pPr>
    </w:p>
    <w:p>
      <w:pPr>
        <w:ind w:right="520"/>
        <w:spacing w:after="0" w:line="263" w:lineRule="auto"/>
        <w:rPr>
          <w:sz w:val="20"/>
          <w:szCs w:val="20"/>
          <w:color w:val="auto"/>
        </w:rPr>
      </w:pPr>
      <w:r>
        <w:rPr>
          <w:rFonts w:ascii="Georgia" w:cs="Georgia" w:eastAsia="Georgia" w:hAnsi="Georgia"/>
          <w:sz w:val="17"/>
          <w:szCs w:val="17"/>
          <w:b w:val="1"/>
          <w:bCs w:val="1"/>
          <w:i w:val="1"/>
          <w:iCs w:val="1"/>
          <w:color w:val="auto"/>
        </w:rPr>
        <w:t>We are evaluating Temferon in a Phase 1/2a clinical trial in newly diagnosed unmethylated MGMT gene promoter glioblastoma tumor patients (TEM-GBM Study). To date, the TEM-GBM Study is ongoing and not complete.</w:t>
      </w:r>
    </w:p>
    <w:p>
      <w:pPr>
        <w:spacing w:after="0" w:line="184" w:lineRule="exact"/>
        <w:rPr>
          <w:sz w:val="20"/>
          <w:szCs w:val="20"/>
          <w:color w:val="auto"/>
        </w:rPr>
      </w:pPr>
    </w:p>
    <w:p>
      <w:pPr>
        <w:ind w:right="360"/>
        <w:spacing w:after="0" w:line="237" w:lineRule="auto"/>
        <w:rPr>
          <w:sz w:val="20"/>
          <w:szCs w:val="20"/>
          <w:color w:val="auto"/>
        </w:rPr>
      </w:pPr>
      <w:r>
        <w:rPr>
          <w:rFonts w:ascii="Georgia" w:cs="Georgia" w:eastAsia="Georgia" w:hAnsi="Georgia"/>
          <w:sz w:val="18"/>
          <w:szCs w:val="18"/>
          <w:color w:val="auto"/>
        </w:rPr>
        <w:t>We are at a very early stage of development for all of our gene therapy product candidates. At this stage, only our lead product candidate Temferon has been authorized by the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3" w:name="page14"/>
    <w:bookmarkEnd w:id="13"/>
    <w:p>
      <w:pPr>
        <w:ind w:right="80"/>
        <w:spacing w:after="0" w:line="237" w:lineRule="auto"/>
        <w:rPr>
          <w:sz w:val="20"/>
          <w:szCs w:val="20"/>
          <w:color w:val="auto"/>
        </w:rPr>
      </w:pPr>
      <w:r>
        <w:rPr>
          <w:rFonts w:ascii="Georgia" w:cs="Georgia" w:eastAsia="Georgia" w:hAnsi="Georgia"/>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need to complete our Phase 1/2a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20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In addition, we have not yet conducted clinical trials of any our product candidates in the United States,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We may encounter substantial delays in commencement and completion of clinical trials.</w:t>
      </w:r>
    </w:p>
    <w:p>
      <w:pPr>
        <w:spacing w:after="0" w:line="202"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03" w:lineRule="exact"/>
        <w:rPr>
          <w:sz w:val="20"/>
          <w:szCs w:val="20"/>
          <w:color w:val="auto"/>
        </w:rPr>
      </w:pPr>
    </w:p>
    <w:p>
      <w:pPr>
        <w:ind w:left="660" w:hanging="328"/>
        <w:spacing w:after="0"/>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delays in reaching a consensus with regulatory agencies on study design;</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changes in regulatory requirements and guidance that require amending or submitting new clinical protocols;</w:t>
      </w:r>
    </w:p>
    <w:p>
      <w:pPr>
        <w:spacing w:after="0" w:line="201" w:lineRule="exact"/>
        <w:rPr>
          <w:rFonts w:ascii="Georgia" w:cs="Georgia" w:eastAsia="Georgia" w:hAnsi="Georgia"/>
          <w:sz w:val="18"/>
          <w:szCs w:val="18"/>
          <w:color w:val="auto"/>
        </w:rPr>
      </w:pPr>
    </w:p>
    <w:p>
      <w:pPr>
        <w:ind w:left="660" w:right="20" w:hanging="328"/>
        <w:spacing w:after="0" w:line="237" w:lineRule="auto"/>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difficulties obtaining regulatory approval to commence a clinical trial or complying with conditions imposed by a regulatory authority regarding the scope or term of a clinical trial;</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difficulties obtaining institutional review board, or IRB, approval to conduct a clinical trial at a prospective site;</w:t>
      </w:r>
    </w:p>
    <w:p>
      <w:pPr>
        <w:spacing w:after="0" w:line="201" w:lineRule="exact"/>
        <w:rPr>
          <w:rFonts w:ascii="Georgia" w:cs="Georgia" w:eastAsia="Georgia" w:hAnsi="Georgia"/>
          <w:sz w:val="18"/>
          <w:szCs w:val="18"/>
          <w:color w:val="auto"/>
        </w:rPr>
      </w:pPr>
    </w:p>
    <w:p>
      <w:pPr>
        <w:ind w:left="660" w:hanging="328"/>
        <w:spacing w:after="0"/>
        <w:tabs>
          <w:tab w:leader="none" w:pos="660" w:val="left"/>
        </w:tabs>
        <w:numPr>
          <w:ilvl w:val="0"/>
          <w:numId w:val="19"/>
        </w:numPr>
        <w:rPr>
          <w:rFonts w:ascii="Georgia" w:cs="Georgia" w:eastAsia="Georgia" w:hAnsi="Georgia"/>
          <w:sz w:val="17"/>
          <w:szCs w:val="17"/>
          <w:color w:val="auto"/>
        </w:rPr>
      </w:pPr>
      <w:r>
        <w:rPr>
          <w:rFonts w:ascii="Georgia" w:cs="Georgia" w:eastAsia="Georgia" w:hAnsi="Georgia"/>
          <w:sz w:val="17"/>
          <w:szCs w:val="17"/>
          <w:color w:val="auto"/>
        </w:rPr>
        <w:t>failure to perform in accordance with the FDA’s good clinical practices, or GCP, or applicable regulatory guidelines in other countries;</w:t>
      </w:r>
    </w:p>
    <w:p>
      <w:pPr>
        <w:spacing w:after="0" w:line="211" w:lineRule="exact"/>
        <w:rPr>
          <w:rFonts w:ascii="Georgia" w:cs="Georgia" w:eastAsia="Georgia" w:hAnsi="Georgia"/>
          <w:sz w:val="17"/>
          <w:szCs w:val="17"/>
          <w:color w:val="auto"/>
        </w:rPr>
      </w:pPr>
    </w:p>
    <w:p>
      <w:pPr>
        <w:ind w:left="660" w:right="60" w:hanging="328"/>
        <w:spacing w:after="0" w:line="237" w:lineRule="auto"/>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failure by CROs, other third parties or us to adhere to clinical trial protocol and record keeping requirements;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trial sites or patients dropping out of a study;</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the occurrence of SAEs associated with the product candidate that are viewed to outweigh its potential benefits;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insufficient or inadequate supply or quality of a product candidate or other materials necessary to conduct our clinical trials;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delays in the testing, validation, manufacturing and delivery of our product candidates to the clinical sites; and</w:t>
      </w:r>
    </w:p>
    <w:p>
      <w:pPr>
        <w:spacing w:after="0" w:line="201" w:lineRule="exact"/>
        <w:rPr>
          <w:rFonts w:ascii="Georgia" w:cs="Georgia" w:eastAsia="Georgia" w:hAnsi="Georgia"/>
          <w:sz w:val="18"/>
          <w:szCs w:val="18"/>
          <w:color w:val="auto"/>
        </w:rPr>
      </w:pPr>
    </w:p>
    <w:p>
      <w:pPr>
        <w:ind w:left="660" w:right="780" w:hanging="328"/>
        <w:spacing w:after="0" w:line="237" w:lineRule="auto"/>
        <w:tabs>
          <w:tab w:leader="none" w:pos="6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if the FDA or the EMA or other regulatory authorities elect to enact policy changes, as a result of the COVID-19 pandemic or otherwise.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4" w:name="page15"/>
    <w:bookmarkEnd w:id="14"/>
    <w:p>
      <w:pPr>
        <w:ind w:right="540"/>
        <w:spacing w:after="0" w:line="237" w:lineRule="auto"/>
        <w:rPr>
          <w:sz w:val="20"/>
          <w:szCs w:val="20"/>
          <w:color w:val="auto"/>
        </w:rPr>
      </w:pPr>
      <w:r>
        <w:rPr>
          <w:rFonts w:ascii="Georgia" w:cs="Georgia" w:eastAsia="Georgia" w:hAnsi="Georgia"/>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03" w:lineRule="exact"/>
        <w:rPr>
          <w:sz w:val="20"/>
          <w:szCs w:val="20"/>
          <w:color w:val="auto"/>
        </w:rPr>
      </w:pPr>
    </w:p>
    <w:p>
      <w:pPr>
        <w:ind w:left="660" w:hanging="328"/>
        <w:spacing w:after="0"/>
        <w:tabs>
          <w:tab w:leader="none" w:pos="660"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failure to conduct the clinical trial in accordance with regulatory requirements or our clinical protocols;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inspection of the clinical trial operations or trial sites by the FDA or other regulatory authorities;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unforeseen safety issues (including those that result from the COVID-19 pandemic) or lack of effectiveness;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lack of adequate funding to continue the clinical trial.</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 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208"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b w:val="1"/>
          <w:bCs w:val="1"/>
          <w:i w:val="1"/>
          <w:iCs w:val="1"/>
          <w:color w:val="auto"/>
        </w:rPr>
        <w:t>The results of preclinical studies, early-stage clinical trials, data obtained from real -world use, and published third-party studies may not be indicative of results in future clinical trials and we cannot assure you that any clinical trials will lead to results sufficient for the necessary regulatory approvals.</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5" w:name="page16"/>
    <w:bookmarkEnd w:id="15"/>
    <w:p>
      <w:pPr>
        <w:spacing w:after="0" w:line="237" w:lineRule="auto"/>
        <w:rPr>
          <w:sz w:val="20"/>
          <w:szCs w:val="20"/>
          <w:color w:val="auto"/>
        </w:rPr>
      </w:pPr>
      <w:r>
        <w:rPr>
          <w:rFonts w:ascii="Georgia" w:cs="Georgia" w:eastAsia="Georgia" w:hAnsi="Georgia"/>
          <w:sz w:val="18"/>
          <w:szCs w:val="18"/>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08"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06"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06" w:lineRule="exact"/>
        <w:rPr>
          <w:sz w:val="20"/>
          <w:szCs w:val="20"/>
          <w:color w:val="auto"/>
        </w:rPr>
      </w:pPr>
    </w:p>
    <w:p>
      <w:pPr>
        <w:ind w:right="360"/>
        <w:spacing w:after="0" w:line="237" w:lineRule="auto"/>
        <w:rPr>
          <w:sz w:val="20"/>
          <w:szCs w:val="20"/>
          <w:color w:val="auto"/>
        </w:rPr>
      </w:pPr>
      <w:r>
        <w:rPr>
          <w:rFonts w:ascii="Georgia" w:cs="Georgia" w:eastAsia="Georgia" w:hAnsi="Georgia"/>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204"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6" w:lineRule="exact"/>
        <w:rPr>
          <w:sz w:val="20"/>
          <w:szCs w:val="20"/>
          <w:color w:val="auto"/>
        </w:rPr>
      </w:pPr>
    </w:p>
    <w:p>
      <w:pPr>
        <w:jc w:val="both"/>
        <w:ind w:right="40"/>
        <w:spacing w:after="0" w:line="237" w:lineRule="auto"/>
        <w:rPr>
          <w:sz w:val="20"/>
          <w:szCs w:val="20"/>
          <w:color w:val="auto"/>
        </w:rPr>
      </w:pPr>
      <w:r>
        <w:rPr>
          <w:rFonts w:ascii="Georgia" w:cs="Georgia" w:eastAsia="Georgia" w:hAnsi="Georgia"/>
          <w:sz w:val="18"/>
          <w:szCs w:val="18"/>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204"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6" w:name="page17"/>
    <w:bookmarkEnd w:id="16"/>
    <w:p>
      <w:pPr>
        <w:ind w:right="740"/>
        <w:spacing w:after="0" w:line="237" w:lineRule="auto"/>
        <w:rPr>
          <w:sz w:val="20"/>
          <w:szCs w:val="20"/>
          <w:color w:val="auto"/>
        </w:rPr>
      </w:pPr>
      <w:r>
        <w:rPr>
          <w:rFonts w:ascii="Georgia" w:cs="Georgia" w:eastAsia="Georgia" w:hAnsi="Georgia"/>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202" w:lineRule="exact"/>
        <w:rPr>
          <w:sz w:val="20"/>
          <w:szCs w:val="20"/>
          <w:color w:val="auto"/>
        </w:rPr>
      </w:pPr>
    </w:p>
    <w:p>
      <w:pPr>
        <w:ind w:left="660" w:hanging="328"/>
        <w:spacing w:after="0"/>
        <w:tabs>
          <w:tab w:leader="none" w:pos="660" w:val="left"/>
        </w:tabs>
        <w:numPr>
          <w:ilvl w:val="0"/>
          <w:numId w:val="21"/>
        </w:numPr>
        <w:rPr>
          <w:rFonts w:ascii="Georgia" w:cs="Georgia" w:eastAsia="Georgia" w:hAnsi="Georgia"/>
          <w:sz w:val="18"/>
          <w:szCs w:val="18"/>
          <w:color w:val="auto"/>
        </w:rPr>
      </w:pPr>
      <w:r>
        <w:rPr>
          <w:rFonts w:ascii="Georgia" w:cs="Georgia" w:eastAsia="Georgia" w:hAnsi="Georgia"/>
          <w:sz w:val="18"/>
          <w:szCs w:val="18"/>
          <w:color w:val="auto"/>
        </w:rPr>
        <w:t>difficulty in establishing or managing relationships with contract research organizations, or CROs, and physicians;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1"/>
        </w:numPr>
        <w:rPr>
          <w:rFonts w:ascii="Georgia" w:cs="Georgia" w:eastAsia="Georgia" w:hAnsi="Georgia"/>
          <w:sz w:val="18"/>
          <w:szCs w:val="18"/>
          <w:color w:val="auto"/>
        </w:rPr>
      </w:pPr>
      <w:r>
        <w:rPr>
          <w:rFonts w:ascii="Georgia" w:cs="Georgia" w:eastAsia="Georgia" w:hAnsi="Georgia"/>
          <w:sz w:val="18"/>
          <w:szCs w:val="18"/>
          <w:color w:val="auto"/>
        </w:rPr>
        <w:t>different standards for the conduct of clinical trials;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1"/>
        </w:numPr>
        <w:rPr>
          <w:rFonts w:ascii="Georgia" w:cs="Georgia" w:eastAsia="Georgia" w:hAnsi="Georgia"/>
          <w:sz w:val="18"/>
          <w:szCs w:val="18"/>
          <w:color w:val="auto"/>
        </w:rPr>
      </w:pPr>
      <w:r>
        <w:rPr>
          <w:rFonts w:ascii="Georgia" w:cs="Georgia" w:eastAsia="Georgia" w:hAnsi="Georgia"/>
          <w:sz w:val="18"/>
          <w:szCs w:val="18"/>
          <w:color w:val="auto"/>
        </w:rPr>
        <w:t>the absence in some countries of established groups with sufficient regulatory expertise for review of gene therapy protocols;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1"/>
        </w:numPr>
        <w:rPr>
          <w:rFonts w:ascii="Georgia" w:cs="Georgia" w:eastAsia="Georgia" w:hAnsi="Georgia"/>
          <w:sz w:val="18"/>
          <w:szCs w:val="18"/>
          <w:color w:val="auto"/>
        </w:rPr>
      </w:pPr>
      <w:r>
        <w:rPr>
          <w:rFonts w:ascii="Georgia" w:cs="Georgia" w:eastAsia="Georgia" w:hAnsi="Georgia"/>
          <w:sz w:val="18"/>
          <w:szCs w:val="18"/>
          <w:color w:val="auto"/>
        </w:rPr>
        <w:t>our inability to locate qualified local consultants, physicians and partners; and</w:t>
      </w:r>
    </w:p>
    <w:p>
      <w:pPr>
        <w:spacing w:after="0" w:line="201" w:lineRule="exact"/>
        <w:rPr>
          <w:rFonts w:ascii="Georgia" w:cs="Georgia" w:eastAsia="Georgia" w:hAnsi="Georgia"/>
          <w:sz w:val="18"/>
          <w:szCs w:val="18"/>
          <w:color w:val="auto"/>
        </w:rPr>
      </w:pPr>
    </w:p>
    <w:p>
      <w:pPr>
        <w:ind w:left="660" w:right="80" w:hanging="328"/>
        <w:spacing w:after="0" w:line="237" w:lineRule="auto"/>
        <w:tabs>
          <w:tab w:leader="none" w:pos="660" w:val="left"/>
        </w:tabs>
        <w:numPr>
          <w:ilvl w:val="0"/>
          <w:numId w:val="21"/>
        </w:numPr>
        <w:rPr>
          <w:rFonts w:ascii="Georgia" w:cs="Georgia" w:eastAsia="Georgia" w:hAnsi="Georgia"/>
          <w:sz w:val="18"/>
          <w:szCs w:val="18"/>
          <w:color w:val="auto"/>
        </w:rPr>
      </w:pPr>
      <w:r>
        <w:rPr>
          <w:rFonts w:ascii="Georgia" w:cs="Georgia" w:eastAsia="Georgia" w:hAnsi="Georgia"/>
          <w:sz w:val="18"/>
          <w:szCs w:val="18"/>
          <w:color w:val="auto"/>
        </w:rPr>
        <w:t>the potential burden of complying with a variety of laws, medical standards and regulatory requirements, including the regulation of pharmaceutical and biotechnology products and treatment.</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Changes in methods of product candidate manufacturing or formulation may result in additional costs or delay.</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10"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7" w:name="page18"/>
    <w:bookmarkEnd w:id="17"/>
    <w:p>
      <w:pPr>
        <w:ind w:right="140"/>
        <w:spacing w:after="0" w:line="237" w:lineRule="auto"/>
        <w:rPr>
          <w:sz w:val="20"/>
          <w:szCs w:val="20"/>
          <w:color w:val="auto"/>
        </w:rPr>
      </w:pPr>
      <w:r>
        <w:rPr>
          <w:rFonts w:ascii="Georgia" w:cs="Georgia" w:eastAsia="Georgia" w:hAnsi="Georgia"/>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05"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9"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8" w:name="page19"/>
    <w:bookmarkEnd w:id="18"/>
    <w:p>
      <w:pPr>
        <w:ind w:right="280"/>
        <w:spacing w:after="0" w:line="237" w:lineRule="auto"/>
        <w:rPr>
          <w:sz w:val="20"/>
          <w:szCs w:val="20"/>
          <w:color w:val="auto"/>
        </w:rPr>
      </w:pPr>
      <w:r>
        <w:rPr>
          <w:rFonts w:ascii="Georgia" w:cs="Georgia" w:eastAsia="Georgia" w:hAnsi="Georgia"/>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06" w:lineRule="exact"/>
        <w:rPr>
          <w:sz w:val="20"/>
          <w:szCs w:val="20"/>
          <w:color w:val="auto"/>
        </w:rPr>
      </w:pPr>
    </w:p>
    <w:p>
      <w:pPr>
        <w:ind w:right="440"/>
        <w:spacing w:after="0" w:line="237" w:lineRule="auto"/>
        <w:rPr>
          <w:sz w:val="20"/>
          <w:szCs w:val="20"/>
          <w:color w:val="auto"/>
        </w:rPr>
      </w:pPr>
      <w:r>
        <w:rPr>
          <w:rFonts w:ascii="Georgia" w:cs="Georgia" w:eastAsia="Georgia" w:hAnsi="Georgia"/>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202" w:lineRule="exact"/>
        <w:rPr>
          <w:sz w:val="20"/>
          <w:szCs w:val="20"/>
          <w:color w:val="auto"/>
        </w:rPr>
      </w:pPr>
    </w:p>
    <w:p>
      <w:pPr>
        <w:ind w:left="660" w:hanging="328"/>
        <w:spacing w:after="0"/>
        <w:tabs>
          <w:tab w:leader="none" w:pos="660" w:val="left"/>
        </w:tabs>
        <w:numPr>
          <w:ilvl w:val="0"/>
          <w:numId w:val="22"/>
        </w:numPr>
        <w:rPr>
          <w:rFonts w:ascii="Georgia" w:cs="Georgia" w:eastAsia="Georgia" w:hAnsi="Georgia"/>
          <w:sz w:val="18"/>
          <w:szCs w:val="18"/>
          <w:color w:val="auto"/>
        </w:rPr>
      </w:pPr>
      <w:r>
        <w:rPr>
          <w:rFonts w:ascii="Georgia" w:cs="Georgia" w:eastAsia="Georgia" w:hAnsi="Georgia"/>
          <w:sz w:val="18"/>
          <w:szCs w:val="18"/>
          <w:color w:val="auto"/>
        </w:rPr>
        <w:t>the risk-benefit balance of the medicinal product is positive;</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2"/>
        </w:numPr>
        <w:rPr>
          <w:rFonts w:ascii="Georgia" w:cs="Georgia" w:eastAsia="Georgia" w:hAnsi="Georgia"/>
          <w:sz w:val="18"/>
          <w:szCs w:val="18"/>
          <w:color w:val="auto"/>
        </w:rPr>
      </w:pPr>
      <w:r>
        <w:rPr>
          <w:rFonts w:ascii="Georgia" w:cs="Georgia" w:eastAsia="Georgia" w:hAnsi="Georgia"/>
          <w:sz w:val="18"/>
          <w:szCs w:val="18"/>
          <w:color w:val="auto"/>
        </w:rPr>
        <w:t>the applicant will provide the comprehensive clinical data post-authorization;</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2"/>
        </w:numPr>
        <w:rPr>
          <w:rFonts w:ascii="Georgia" w:cs="Georgia" w:eastAsia="Georgia" w:hAnsi="Georgia"/>
          <w:sz w:val="18"/>
          <w:szCs w:val="18"/>
          <w:color w:val="auto"/>
        </w:rPr>
      </w:pPr>
      <w:r>
        <w:rPr>
          <w:rFonts w:ascii="Georgia" w:cs="Georgia" w:eastAsia="Georgia" w:hAnsi="Georgia"/>
          <w:sz w:val="18"/>
          <w:szCs w:val="18"/>
          <w:color w:val="auto"/>
        </w:rPr>
        <w:t>unmet medical needs will be fulfilled; and</w:t>
      </w:r>
    </w:p>
    <w:p>
      <w:pPr>
        <w:spacing w:after="0" w:line="201" w:lineRule="exact"/>
        <w:rPr>
          <w:rFonts w:ascii="Georgia" w:cs="Georgia" w:eastAsia="Georgia" w:hAnsi="Georgia"/>
          <w:sz w:val="18"/>
          <w:szCs w:val="18"/>
          <w:color w:val="auto"/>
        </w:rPr>
      </w:pPr>
    </w:p>
    <w:p>
      <w:pPr>
        <w:ind w:left="660" w:right="620" w:hanging="328"/>
        <w:spacing w:after="0" w:line="237" w:lineRule="auto"/>
        <w:tabs>
          <w:tab w:leader="none" w:pos="660" w:val="left"/>
        </w:tabs>
        <w:numPr>
          <w:ilvl w:val="0"/>
          <w:numId w:val="22"/>
        </w:numPr>
        <w:rPr>
          <w:rFonts w:ascii="Georgia" w:cs="Georgia" w:eastAsia="Georgia" w:hAnsi="Georgia"/>
          <w:sz w:val="18"/>
          <w:szCs w:val="18"/>
          <w:color w:val="auto"/>
        </w:rPr>
      </w:pPr>
      <w:r>
        <w:rPr>
          <w:rFonts w:ascii="Georgia" w:cs="Georgia" w:eastAsia="Georgia" w:hAnsi="Georgia"/>
          <w:sz w:val="18"/>
          <w:szCs w:val="18"/>
          <w:color w:val="auto"/>
        </w:rPr>
        <w:t>the benefit to public health of the immediate availability on the market of the medicinal product concerned outweighs the risk inherent in the fact that additional data is still required.</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9" w:name="page20"/>
    <w:bookmarkEnd w:id="19"/>
    <w:p>
      <w:pPr>
        <w:spacing w:after="0" w:line="237" w:lineRule="auto"/>
        <w:rPr>
          <w:sz w:val="20"/>
          <w:szCs w:val="20"/>
          <w:color w:val="auto"/>
        </w:rPr>
      </w:pPr>
      <w:r>
        <w:rPr>
          <w:rFonts w:ascii="Georgia" w:cs="Georgia" w:eastAsia="Georgia" w:hAnsi="Georgia"/>
          <w:sz w:val="18"/>
          <w:szCs w:val="18"/>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207"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05" w:lineRule="exact"/>
        <w:rPr>
          <w:sz w:val="20"/>
          <w:szCs w:val="20"/>
          <w:color w:val="auto"/>
        </w:rPr>
      </w:pPr>
    </w:p>
    <w:p>
      <w:pPr>
        <w:ind w:left="660" w:right="380" w:hanging="328"/>
        <w:spacing w:after="0" w:line="237" w:lineRule="auto"/>
        <w:tabs>
          <w:tab w:leader="none" w:pos="660" w:val="left"/>
        </w:tabs>
        <w:numPr>
          <w:ilvl w:val="0"/>
          <w:numId w:val="23"/>
        </w:numPr>
        <w:rPr>
          <w:rFonts w:ascii="Georgia" w:cs="Georgia" w:eastAsia="Georgia" w:hAnsi="Georgia"/>
          <w:sz w:val="18"/>
          <w:szCs w:val="18"/>
          <w:color w:val="auto"/>
        </w:rPr>
      </w:pPr>
      <w:r>
        <w:rPr>
          <w:rFonts w:ascii="Georgia" w:cs="Georgia" w:eastAsia="Georgia" w:hAnsi="Georgia"/>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03" w:lineRule="exact"/>
        <w:rPr>
          <w:rFonts w:ascii="Georgia" w:cs="Georgia" w:eastAsia="Georgia" w:hAnsi="Georgia"/>
          <w:sz w:val="18"/>
          <w:szCs w:val="18"/>
          <w:color w:val="auto"/>
        </w:rPr>
      </w:pPr>
    </w:p>
    <w:p>
      <w:pPr>
        <w:ind w:left="660" w:right="140" w:hanging="328"/>
        <w:spacing w:after="0" w:line="237" w:lineRule="auto"/>
        <w:tabs>
          <w:tab w:leader="none" w:pos="660" w:val="left"/>
        </w:tabs>
        <w:numPr>
          <w:ilvl w:val="0"/>
          <w:numId w:val="23"/>
        </w:numPr>
        <w:rPr>
          <w:rFonts w:ascii="Georgia" w:cs="Georgia" w:eastAsia="Georgia" w:hAnsi="Georgia"/>
          <w:sz w:val="18"/>
          <w:szCs w:val="18"/>
          <w:color w:val="auto"/>
        </w:rPr>
      </w:pPr>
      <w:r>
        <w:rPr>
          <w:rFonts w:ascii="Georgia" w:cs="Georgia" w:eastAsia="Georgia" w:hAnsi="Georgia"/>
          <w:sz w:val="18"/>
          <w:szCs w:val="18"/>
          <w:color w:val="auto"/>
        </w:rPr>
        <w:t>the holder of the marketing authorization for the original orphan medicinal product consents to a second orphan medicinal product application; or</w:t>
      </w:r>
    </w:p>
    <w:p>
      <w:pPr>
        <w:spacing w:after="0" w:line="203" w:lineRule="exact"/>
        <w:rPr>
          <w:rFonts w:ascii="Georgia" w:cs="Georgia" w:eastAsia="Georgia" w:hAnsi="Georgia"/>
          <w:sz w:val="18"/>
          <w:szCs w:val="18"/>
          <w:color w:val="auto"/>
        </w:rPr>
      </w:pPr>
    </w:p>
    <w:p>
      <w:pPr>
        <w:ind w:left="660" w:right="340" w:hanging="328"/>
        <w:spacing w:after="0" w:line="237" w:lineRule="auto"/>
        <w:tabs>
          <w:tab w:leader="none" w:pos="660" w:val="left"/>
        </w:tabs>
        <w:numPr>
          <w:ilvl w:val="0"/>
          <w:numId w:val="23"/>
        </w:numPr>
        <w:rPr>
          <w:rFonts w:ascii="Georgia" w:cs="Georgia" w:eastAsia="Georgia" w:hAnsi="Georgia"/>
          <w:sz w:val="18"/>
          <w:szCs w:val="18"/>
          <w:color w:val="auto"/>
        </w:rPr>
      </w:pPr>
      <w:r>
        <w:rPr>
          <w:rFonts w:ascii="Georgia" w:cs="Georgia" w:eastAsia="Georgia" w:hAnsi="Georgia"/>
          <w:sz w:val="18"/>
          <w:szCs w:val="18"/>
          <w:color w:val="auto"/>
        </w:rPr>
        <w:t>the holder of the marketing authorization for the original orphan medicinal product cannot supply sufficient quantities of orphan medicinal product.</w:t>
      </w:r>
    </w:p>
    <w:p>
      <w:pPr>
        <w:spacing w:after="0" w:line="204" w:lineRule="exact"/>
        <w:rPr>
          <w:sz w:val="20"/>
          <w:szCs w:val="20"/>
          <w:color w:val="auto"/>
        </w:rPr>
      </w:pPr>
    </w:p>
    <w:p>
      <w:pPr>
        <w:ind w:right="620"/>
        <w:spacing w:after="0" w:line="237" w:lineRule="auto"/>
        <w:rPr>
          <w:sz w:val="20"/>
          <w:szCs w:val="20"/>
          <w:color w:val="auto"/>
        </w:rPr>
      </w:pPr>
      <w:r>
        <w:rPr>
          <w:rFonts w:ascii="Georgia" w:cs="Georgia" w:eastAsia="Georgia" w:hAnsi="Georgia"/>
          <w:sz w:val="18"/>
          <w:szCs w:val="18"/>
          <w:b w:val="1"/>
          <w:bCs w:val="1"/>
          <w:i w:val="1"/>
          <w:iCs w:val="1"/>
          <w:color w:val="auto"/>
        </w:rPr>
        <w:t>Even if we obtain and maintain regulatory approval for a product candidate, our products will remain subject to ongoing regulatory oversight.</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20" w:name="page21"/>
    <w:bookmarkEnd w:id="20"/>
    <w:p>
      <w:pPr>
        <w:ind w:right="40"/>
        <w:spacing w:after="0" w:line="237" w:lineRule="auto"/>
        <w:rPr>
          <w:sz w:val="20"/>
          <w:szCs w:val="20"/>
          <w:color w:val="auto"/>
        </w:rPr>
      </w:pPr>
      <w:r>
        <w:rPr>
          <w:rFonts w:ascii="Georgia" w:cs="Georgia" w:eastAsia="Georgia" w:hAnsi="Georgia"/>
          <w:sz w:val="18"/>
          <w:szCs w:val="18"/>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20"/>
        <w:spacing w:after="0" w:line="254" w:lineRule="auto"/>
        <w:rPr>
          <w:sz w:val="20"/>
          <w:szCs w:val="20"/>
          <w:color w:val="auto"/>
        </w:rPr>
      </w:pPr>
      <w:r>
        <w:rPr>
          <w:rFonts w:ascii="Georgia" w:cs="Georgia" w:eastAsia="Georgia" w:hAnsi="Georgia"/>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9" w:lineRule="exact"/>
        <w:rPr>
          <w:sz w:val="20"/>
          <w:szCs w:val="20"/>
          <w:color w:val="auto"/>
        </w:rPr>
      </w:pPr>
    </w:p>
    <w:p>
      <w:pPr>
        <w:spacing w:after="0"/>
        <w:rPr>
          <w:sz w:val="20"/>
          <w:szCs w:val="20"/>
          <w:color w:val="auto"/>
        </w:rPr>
      </w:pPr>
      <w:r>
        <w:rPr>
          <w:rFonts w:ascii="Georgia" w:cs="Georgia" w:eastAsia="Georgia" w:hAnsi="Georgia"/>
          <w:sz w:val="18"/>
          <w:szCs w:val="18"/>
          <w:color w:val="auto"/>
        </w:rPr>
        <w:t>If we fail to comply with applicable regulatory requirements, a regulatory authority may:</w:t>
      </w:r>
    </w:p>
    <w:p>
      <w:pPr>
        <w:spacing w:after="0" w:line="200" w:lineRule="exact"/>
        <w:rPr>
          <w:sz w:val="20"/>
          <w:szCs w:val="20"/>
          <w:color w:val="auto"/>
        </w:rPr>
      </w:pPr>
    </w:p>
    <w:p>
      <w:pPr>
        <w:ind w:left="660" w:hanging="328"/>
        <w:spacing w:after="0"/>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issue an untitled letter or warning letter that we are in violation of the law;</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seek an injunction or impose administrative, civil or criminal penalties or monetary fines;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suspend or withdraw regulatory approval;</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suspend any ongoing clinical trials;</w:t>
      </w:r>
    </w:p>
    <w:p>
      <w:pPr>
        <w:spacing w:after="0" w:line="201" w:lineRule="exact"/>
        <w:rPr>
          <w:rFonts w:ascii="Georgia" w:cs="Georgia" w:eastAsia="Georgia" w:hAnsi="Georgia"/>
          <w:sz w:val="18"/>
          <w:szCs w:val="18"/>
          <w:color w:val="auto"/>
        </w:rPr>
      </w:pPr>
    </w:p>
    <w:p>
      <w:pPr>
        <w:ind w:left="660" w:right="300" w:hanging="328"/>
        <w:spacing w:after="0" w:line="237" w:lineRule="auto"/>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refuse to approve BLA or comparable foreign marketing application (or any supplements thereto) submitted by us or our strategic partners;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restrict the marketing or manufacturing of the product;</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seize or detain the products or require the withdrawal of the product from the market;</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refuse to permit the import or export of the products; or</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4"/>
        </w:numPr>
        <w:rPr>
          <w:rFonts w:ascii="Georgia" w:cs="Georgia" w:eastAsia="Georgia" w:hAnsi="Georgia"/>
          <w:sz w:val="18"/>
          <w:szCs w:val="18"/>
          <w:color w:val="auto"/>
        </w:rPr>
      </w:pPr>
      <w:r>
        <w:rPr>
          <w:rFonts w:ascii="Georgia" w:cs="Georgia" w:eastAsia="Georgia" w:hAnsi="Georgia"/>
          <w:sz w:val="18"/>
          <w:szCs w:val="18"/>
          <w:color w:val="auto"/>
        </w:rPr>
        <w:t>refuse to allow us to enter into supply contracts, including government contracts.</w:t>
      </w:r>
    </w:p>
    <w:p>
      <w:pPr>
        <w:spacing w:after="0" w:line="202" w:lineRule="exact"/>
        <w:rPr>
          <w:sz w:val="20"/>
          <w:szCs w:val="20"/>
          <w:color w:val="auto"/>
        </w:rPr>
      </w:pPr>
    </w:p>
    <w:p>
      <w:pPr>
        <w:jc w:val="both"/>
        <w:ind w:right="340"/>
        <w:spacing w:after="0" w:line="237" w:lineRule="auto"/>
        <w:rPr>
          <w:sz w:val="20"/>
          <w:szCs w:val="20"/>
          <w:color w:val="auto"/>
        </w:rPr>
      </w:pPr>
      <w:r>
        <w:rPr>
          <w:rFonts w:ascii="Georgia" w:cs="Georgia" w:eastAsia="Georgia" w:hAnsi="Georgia"/>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1" w:name="page22"/>
    <w:bookmarkEnd w:id="21"/>
    <w:p>
      <w:pPr>
        <w:ind w:right="120"/>
        <w:spacing w:after="0" w:line="237" w:lineRule="auto"/>
        <w:rPr>
          <w:sz w:val="20"/>
          <w:szCs w:val="20"/>
          <w:color w:val="auto"/>
        </w:rPr>
      </w:pPr>
      <w:r>
        <w:rPr>
          <w:rFonts w:ascii="Georgia" w:cs="Georgia" w:eastAsia="Georgia" w:hAnsi="Georgia"/>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06"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209"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7"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09"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204"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202" w:lineRule="exact"/>
        <w:rPr>
          <w:sz w:val="20"/>
          <w:szCs w:val="20"/>
          <w:color w:val="auto"/>
        </w:rPr>
      </w:pPr>
    </w:p>
    <w:p>
      <w:pPr>
        <w:ind w:left="660" w:hanging="328"/>
        <w:spacing w:after="0"/>
        <w:tabs>
          <w:tab w:leader="none" w:pos="660" w:val="left"/>
        </w:tabs>
        <w:numPr>
          <w:ilvl w:val="0"/>
          <w:numId w:val="25"/>
        </w:numPr>
        <w:rPr>
          <w:rFonts w:ascii="Georgia" w:cs="Georgia" w:eastAsia="Georgia" w:hAnsi="Georgia"/>
          <w:sz w:val="18"/>
          <w:szCs w:val="18"/>
          <w:color w:val="auto"/>
        </w:rPr>
      </w:pPr>
      <w:r>
        <w:rPr>
          <w:rFonts w:ascii="Georgia" w:cs="Georgia" w:eastAsia="Georgia" w:hAnsi="Georgia"/>
          <w:sz w:val="18"/>
          <w:szCs w:val="18"/>
          <w:color w:val="auto"/>
        </w:rPr>
        <w:t>the efficacy and safety of the product;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22" w:name="page23"/>
    <w:bookmarkEnd w:id="22"/>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the potential advantages of the product compared to available therapies;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the convenience and ease of administration compared to alternative treatments;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limitations or warnings, including use restrictions contained in the product’s approved labeling;</w:t>
      </w:r>
    </w:p>
    <w:p>
      <w:pPr>
        <w:spacing w:after="0" w:line="201" w:lineRule="exact"/>
        <w:rPr>
          <w:rFonts w:ascii="Georgia" w:cs="Georgia" w:eastAsia="Georgia" w:hAnsi="Georgia"/>
          <w:sz w:val="18"/>
          <w:szCs w:val="18"/>
          <w:color w:val="auto"/>
        </w:rPr>
      </w:pPr>
    </w:p>
    <w:p>
      <w:pPr>
        <w:ind w:left="660" w:right="900" w:hanging="328"/>
        <w:spacing w:after="0" w:line="237" w:lineRule="auto"/>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distribution and use restrictions imposed by the FDA, the EMA or other regulatory authority or agreed to by us as part of a mandatory or voluntary risk management plan;</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availability of alternative treatments, including competitive products expected to be commercially launched in the near future;</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pricing and cost effectiveness in relation to alternative treatments;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if the product is included under physician treatment guidelines as a first-, second,- or third-line therapy;</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the strength of sales, marketing and distribution support;</w:t>
      </w:r>
    </w:p>
    <w:p>
      <w:pPr>
        <w:spacing w:after="0" w:line="201" w:lineRule="exact"/>
        <w:rPr>
          <w:rFonts w:ascii="Georgia" w:cs="Georgia" w:eastAsia="Georgia" w:hAnsi="Georgia"/>
          <w:sz w:val="18"/>
          <w:szCs w:val="18"/>
          <w:color w:val="auto"/>
        </w:rPr>
      </w:pPr>
    </w:p>
    <w:p>
      <w:pPr>
        <w:ind w:left="660" w:right="560" w:hanging="328"/>
        <w:spacing w:after="0" w:line="237" w:lineRule="auto"/>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the availability of third-party coverage and adequate reimbursement and the willingness of patients to pay out-of-pocket in the absence of coverage by third-party payors;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the strength of sales, marketing and distribution support;</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the willingness of patients to pay for drugs out of pocket in the absence of third-party coverage;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the willingness of the target patient population to try new therapies and of physicians to prescribe these therapies.</w:t>
      </w:r>
    </w:p>
    <w:p>
      <w:pPr>
        <w:spacing w:after="0" w:line="202"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207"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204" w:lineRule="exact"/>
        <w:rPr>
          <w:sz w:val="20"/>
          <w:szCs w:val="20"/>
          <w:color w:val="auto"/>
        </w:rPr>
      </w:pPr>
    </w:p>
    <w:p>
      <w:pPr>
        <w:jc w:val="both"/>
        <w:ind w:right="20"/>
        <w:spacing w:after="0" w:line="237" w:lineRule="auto"/>
        <w:rPr>
          <w:sz w:val="20"/>
          <w:szCs w:val="20"/>
          <w:color w:val="auto"/>
        </w:rPr>
      </w:pPr>
      <w:r>
        <w:rPr>
          <w:rFonts w:ascii="Georgia" w:cs="Georgia" w:eastAsia="Georgia" w:hAnsi="Georgia"/>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line="237" w:lineRule="auto"/>
        <w:rPr>
          <w:sz w:val="20"/>
          <w:szCs w:val="20"/>
          <w:color w:val="auto"/>
        </w:rPr>
      </w:pPr>
      <w:r>
        <w:rPr>
          <w:rFonts w:ascii="Georgia" w:cs="Georgia" w:eastAsia="Georgia" w:hAnsi="Georgia"/>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8"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208"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205"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07"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4" w:name="page25"/>
    <w:bookmarkEnd w:id="24"/>
    <w:p>
      <w:pPr>
        <w:spacing w:after="0" w:line="237" w:lineRule="auto"/>
        <w:rPr>
          <w:sz w:val="20"/>
          <w:szCs w:val="20"/>
          <w:color w:val="auto"/>
        </w:rPr>
      </w:pPr>
      <w:r>
        <w:rPr>
          <w:rFonts w:ascii="Georgia" w:cs="Georgia" w:eastAsia="Georgia" w:hAnsi="Georgia"/>
          <w:sz w:val="18"/>
          <w:szCs w:val="18"/>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211"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06"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208"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07"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5" w:name="page26"/>
    <w:bookmarkEnd w:id="25"/>
    <w:p>
      <w:pPr>
        <w:ind w:right="20"/>
        <w:spacing w:after="0" w:line="237" w:lineRule="auto"/>
        <w:rPr>
          <w:sz w:val="20"/>
          <w:szCs w:val="20"/>
          <w:color w:val="auto"/>
        </w:rPr>
      </w:pPr>
      <w:r>
        <w:rPr>
          <w:rFonts w:ascii="Georgia" w:cs="Georgia" w:eastAsia="Georgia" w:hAnsi="Georgia"/>
          <w:sz w:val="18"/>
          <w:szCs w:val="18"/>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Our product candidates may face competition sooner than anticipated from biosimilar products.</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07"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208"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209" w:lineRule="exact"/>
        <w:rPr>
          <w:sz w:val="20"/>
          <w:szCs w:val="20"/>
          <w:color w:val="auto"/>
        </w:rPr>
      </w:pPr>
    </w:p>
    <w:p>
      <w:pPr>
        <w:jc w:val="both"/>
        <w:ind w:right="340"/>
        <w:spacing w:after="0" w:line="237" w:lineRule="auto"/>
        <w:rPr>
          <w:sz w:val="20"/>
          <w:szCs w:val="20"/>
          <w:color w:val="auto"/>
        </w:rPr>
      </w:pPr>
      <w:r>
        <w:rPr>
          <w:rFonts w:ascii="Georgia" w:cs="Georgia" w:eastAsia="Georgia" w:hAnsi="Georgia"/>
          <w:sz w:val="18"/>
          <w:szCs w:val="18"/>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26" w:name="page27"/>
    <w:bookmarkEnd w:id="26"/>
    <w:p>
      <w:pPr>
        <w:ind w:right="300"/>
        <w:spacing w:after="0" w:line="237" w:lineRule="auto"/>
        <w:rPr>
          <w:sz w:val="20"/>
          <w:szCs w:val="20"/>
          <w:color w:val="auto"/>
        </w:rPr>
      </w:pPr>
      <w:r>
        <w:rPr>
          <w:rFonts w:ascii="Georgia" w:cs="Georgia" w:eastAsia="Georgia" w:hAnsi="Georgia"/>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06" w:lineRule="exact"/>
        <w:rPr>
          <w:sz w:val="20"/>
          <w:szCs w:val="20"/>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decreased demand for our product candidates;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termination of clinical trial sites or entire trial programs;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injury to our reputation and negative media attention;</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product recalls or increased warnings on product labels;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withdrawal of clinical trial participants;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costs of to defend the related litigation;</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diversion of management and our resources;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substantial monetary awards to, or costly settlements with, clinical trial participants, patients or other claimants;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higher insurance premiums;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loss of initiation of investigations by regulators or other authorities;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the inability to successfully commercialize our product candidates, if approved.</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product candidate, Temferon, is being studied for GBM patients with unmethylated MGMT status, as determined by a laboratory test. If approved for use only in uMGMT-GBM patients, use of such a laboratory test would be required for each patient before treatment with Temferon. There are several currently-marketed,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7" w:name="page28"/>
    <w:bookmarkEnd w:id="27"/>
    <w:p>
      <w:pPr>
        <w:spacing w:after="0" w:line="237" w:lineRule="auto"/>
        <w:rPr>
          <w:sz w:val="20"/>
          <w:szCs w:val="20"/>
          <w:color w:val="auto"/>
        </w:rPr>
      </w:pPr>
      <w:r>
        <w:rPr>
          <w:rFonts w:ascii="Georgia" w:cs="Georgia" w:eastAsia="Georgia" w:hAnsi="Georgia"/>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07"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05"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206"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3"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b w:val="1"/>
          <w:bCs w:val="1"/>
          <w:i w:val="1"/>
          <w:iCs w:val="1"/>
          <w:color w:val="auto"/>
        </w:rPr>
        <w:t>Failure to comply with ongoing regulatory requirements could cause us to suspend production or put in place costly or time-consuming remedial measures.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8" w:name="page29"/>
    <w:bookmarkEnd w:id="28"/>
    <w:p>
      <w:pPr>
        <w:ind w:right="240"/>
        <w:spacing w:after="0" w:line="257" w:lineRule="auto"/>
        <w:rPr>
          <w:sz w:val="20"/>
          <w:szCs w:val="20"/>
          <w:color w:val="auto"/>
        </w:rPr>
      </w:pPr>
      <w:r>
        <w:rPr>
          <w:rFonts w:ascii="Georgia" w:cs="Georgia" w:eastAsia="Georgia" w:hAnsi="Georgia"/>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89"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7" w:lineRule="exact"/>
        <w:rPr>
          <w:sz w:val="20"/>
          <w:szCs w:val="20"/>
          <w:color w:val="auto"/>
        </w:rPr>
      </w:pPr>
    </w:p>
    <w:p>
      <w:pPr>
        <w:ind w:right="360"/>
        <w:spacing w:after="0" w:line="237" w:lineRule="auto"/>
        <w:rPr>
          <w:sz w:val="20"/>
          <w:szCs w:val="20"/>
          <w:color w:val="auto"/>
        </w:rPr>
      </w:pPr>
      <w:r>
        <w:rPr>
          <w:rFonts w:ascii="Georgia" w:cs="Georgia" w:eastAsia="Georgia" w:hAnsi="Georgia"/>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204" w:lineRule="exact"/>
        <w:rPr>
          <w:sz w:val="20"/>
          <w:szCs w:val="20"/>
          <w:color w:val="auto"/>
        </w:rPr>
      </w:pPr>
    </w:p>
    <w:p>
      <w:pPr>
        <w:ind w:right="340"/>
        <w:spacing w:after="0" w:line="237" w:lineRule="auto"/>
        <w:rPr>
          <w:sz w:val="20"/>
          <w:szCs w:val="20"/>
          <w:color w:val="auto"/>
        </w:rPr>
      </w:pPr>
      <w:r>
        <w:rPr>
          <w:rFonts w:ascii="Georgia" w:cs="Georgia" w:eastAsia="Georgia" w:hAnsi="Georgia"/>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204"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05"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9"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b w:val="1"/>
          <w:bCs w:val="1"/>
          <w:i w:val="1"/>
          <w:iCs w:val="1"/>
          <w:color w:val="auto"/>
        </w:rPr>
        <w:t>Our gene therapies are for autologous use only. Therefore, if a drug product is administered to the wrong patient, the patient could suffer harm.</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9" w:name="page30"/>
    <w:bookmarkEnd w:id="29"/>
    <w:p>
      <w:pPr>
        <w:ind w:right="480"/>
        <w:spacing w:after="0" w:line="237" w:lineRule="auto"/>
        <w:rPr>
          <w:sz w:val="20"/>
          <w:szCs w:val="20"/>
          <w:color w:val="auto"/>
        </w:rPr>
      </w:pPr>
      <w:r>
        <w:rPr>
          <w:rFonts w:ascii="Georgia" w:cs="Georgia" w:eastAsia="Georgia" w:hAnsi="Georgia"/>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205"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Our Reliance on Third Parties</w:t>
      </w:r>
    </w:p>
    <w:p>
      <w:pPr>
        <w:spacing w:after="0" w:line="202" w:lineRule="exact"/>
        <w:rPr>
          <w:sz w:val="20"/>
          <w:szCs w:val="20"/>
          <w:color w:val="auto"/>
        </w:rPr>
      </w:pPr>
    </w:p>
    <w:p>
      <w:pPr>
        <w:ind w:right="280"/>
        <w:spacing w:after="0" w:line="237" w:lineRule="auto"/>
        <w:rPr>
          <w:sz w:val="20"/>
          <w:szCs w:val="20"/>
          <w:color w:val="auto"/>
        </w:rPr>
      </w:pPr>
      <w:r>
        <w:rPr>
          <w:rFonts w:ascii="Georgia" w:cs="Georgia" w:eastAsia="Georgia" w:hAnsi="Georgia"/>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204"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We currently rely on our CMO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7"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30" w:name="page31"/>
    <w:bookmarkEnd w:id="30"/>
    <w:p>
      <w:pPr>
        <w:ind w:right="40"/>
        <w:spacing w:after="0" w:line="237" w:lineRule="auto"/>
        <w:rPr>
          <w:sz w:val="20"/>
          <w:szCs w:val="20"/>
          <w:color w:val="auto"/>
        </w:rPr>
      </w:pPr>
      <w:r>
        <w:rPr>
          <w:rFonts w:ascii="Georgia" w:cs="Georgia" w:eastAsia="Georgia" w:hAnsi="Georgia"/>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04" w:lineRule="exact"/>
        <w:rPr>
          <w:sz w:val="20"/>
          <w:szCs w:val="20"/>
          <w:color w:val="auto"/>
        </w:rPr>
      </w:pPr>
    </w:p>
    <w:p>
      <w:pPr>
        <w:ind w:left="660" w:hanging="328"/>
        <w:spacing w:after="0"/>
        <w:tabs>
          <w:tab w:leader="none" w:pos="66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reduced control for certain aspects of manufacturing activities;</w:t>
      </w:r>
    </w:p>
    <w:p>
      <w:pPr>
        <w:spacing w:after="0" w:line="201" w:lineRule="exact"/>
        <w:rPr>
          <w:rFonts w:ascii="Georgia" w:cs="Georgia" w:eastAsia="Georgia" w:hAnsi="Georgia"/>
          <w:sz w:val="18"/>
          <w:szCs w:val="18"/>
          <w:color w:val="auto"/>
        </w:rPr>
      </w:pPr>
    </w:p>
    <w:p>
      <w:pPr>
        <w:ind w:left="660" w:right="480" w:hanging="328"/>
        <w:spacing w:after="0" w:line="237" w:lineRule="auto"/>
        <w:tabs>
          <w:tab w:leader="none" w:pos="66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termination or nonrenewal of manufacturing and service agreements with third parties in a manner or at a time that is costly or damaging to us; and</w:t>
      </w:r>
    </w:p>
    <w:p>
      <w:pPr>
        <w:spacing w:after="0" w:line="203" w:lineRule="exact"/>
        <w:rPr>
          <w:rFonts w:ascii="Georgia" w:cs="Georgia" w:eastAsia="Georgia" w:hAnsi="Georgia"/>
          <w:sz w:val="18"/>
          <w:szCs w:val="18"/>
          <w:color w:val="auto"/>
        </w:rPr>
      </w:pPr>
    </w:p>
    <w:p>
      <w:pPr>
        <w:ind w:left="660" w:right="140" w:hanging="328"/>
        <w:spacing w:after="0" w:line="237" w:lineRule="auto"/>
        <w:tabs>
          <w:tab w:leader="none" w:pos="66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204" w:lineRule="exact"/>
        <w:rPr>
          <w:sz w:val="20"/>
          <w:szCs w:val="20"/>
          <w:color w:val="auto"/>
        </w:rPr>
      </w:pPr>
    </w:p>
    <w:p>
      <w:pPr>
        <w:ind w:right="380"/>
        <w:spacing w:after="0" w:line="237" w:lineRule="auto"/>
        <w:rPr>
          <w:sz w:val="20"/>
          <w:szCs w:val="20"/>
          <w:color w:val="auto"/>
        </w:rPr>
      </w:pPr>
      <w:r>
        <w:rPr>
          <w:rFonts w:ascii="Georgia" w:cs="Georgia" w:eastAsia="Georgia" w:hAnsi="Georgia"/>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213" w:lineRule="exact"/>
        <w:rPr>
          <w:sz w:val="20"/>
          <w:szCs w:val="20"/>
          <w:color w:val="auto"/>
        </w:rPr>
      </w:pPr>
    </w:p>
    <w:p>
      <w:pPr>
        <w:ind w:right="740"/>
        <w:spacing w:after="0" w:line="237" w:lineRule="auto"/>
        <w:rPr>
          <w:sz w:val="20"/>
          <w:szCs w:val="20"/>
          <w:color w:val="auto"/>
        </w:rPr>
      </w:pPr>
      <w:r>
        <w:rPr>
          <w:rFonts w:ascii="Georgia" w:cs="Georgia" w:eastAsia="Georgia" w:hAnsi="Georgia"/>
          <w:sz w:val="18"/>
          <w:szCs w:val="18"/>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1" w:name="page32"/>
    <w:bookmarkEnd w:id="31"/>
    <w:p>
      <w:pPr>
        <w:ind w:right="60"/>
        <w:spacing w:after="0" w:line="237" w:lineRule="auto"/>
        <w:rPr>
          <w:sz w:val="20"/>
          <w:szCs w:val="20"/>
          <w:color w:val="auto"/>
        </w:rPr>
      </w:pPr>
      <w:r>
        <w:rPr>
          <w:rFonts w:ascii="Georgia" w:cs="Georgia" w:eastAsia="Georgia" w:hAnsi="Georgia"/>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Our reliance on these suppliers subjects us to a number of risks that could harm our reputation, business, and financial condition, including, among other things:</w:t>
      </w:r>
    </w:p>
    <w:p>
      <w:pPr>
        <w:spacing w:after="0" w:line="202" w:lineRule="exact"/>
        <w:rPr>
          <w:sz w:val="20"/>
          <w:szCs w:val="20"/>
          <w:color w:val="auto"/>
        </w:rPr>
      </w:pPr>
    </w:p>
    <w:p>
      <w:pPr>
        <w:ind w:left="660" w:hanging="328"/>
        <w:spacing w:after="0"/>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the interruption of supply resulting from modifications to or discontinuation of a supplier’s operations;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delays in product shipments resulting from uncorrected defects, reliability issues, or a supplier’s variation in a component;</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a lack of long-term supply arrangements for key components with our suppliers;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the inability to obtain adequate supply in a timely manner, or to obtain adequate supply on commercially reasonable terms;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difficulty and cost associated with locating and qualifying alternative suppliers for our components in a timely manner;</w:t>
      </w:r>
    </w:p>
    <w:p>
      <w:pPr>
        <w:spacing w:after="0" w:line="201" w:lineRule="exact"/>
        <w:rPr>
          <w:rFonts w:ascii="Georgia" w:cs="Georgia" w:eastAsia="Georgia" w:hAnsi="Georgia"/>
          <w:sz w:val="18"/>
          <w:szCs w:val="18"/>
          <w:color w:val="auto"/>
        </w:rPr>
      </w:pPr>
    </w:p>
    <w:p>
      <w:pPr>
        <w:ind w:left="660" w:right="720" w:hanging="328"/>
        <w:spacing w:after="0" w:line="237" w:lineRule="auto"/>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production delays related to the evaluation and testing of products from alternative suppliers, and corresponding regulatory qualifications;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a delay in delivery due to our suppliers prioritizing other customer orders over ours;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damage to our reputation caused by defective components produced by our suppliers;</w:t>
      </w:r>
    </w:p>
    <w:p>
      <w:pPr>
        <w:spacing w:after="0" w:line="201" w:lineRule="exact"/>
        <w:rPr>
          <w:rFonts w:ascii="Georgia" w:cs="Georgia" w:eastAsia="Georgia" w:hAnsi="Georgia"/>
          <w:sz w:val="18"/>
          <w:szCs w:val="18"/>
          <w:color w:val="auto"/>
        </w:rPr>
      </w:pPr>
    </w:p>
    <w:p>
      <w:pPr>
        <w:ind w:left="660" w:right="320" w:hanging="328"/>
        <w:spacing w:after="0" w:line="237" w:lineRule="auto"/>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increased cost of our warranty program due to product repair or replacement based upon defects in components produced by our suppliers; and</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fluctuation in delivery by our suppliers due to changes in demand from us or their other customers.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32" w:name="page33"/>
    <w:bookmarkEnd w:id="32"/>
    <w:p>
      <w:pPr>
        <w:ind w:right="180"/>
        <w:spacing w:after="0" w:line="237" w:lineRule="auto"/>
        <w:rPr>
          <w:sz w:val="20"/>
          <w:szCs w:val="20"/>
          <w:color w:val="auto"/>
        </w:rPr>
      </w:pPr>
      <w:r>
        <w:rPr>
          <w:rFonts w:ascii="Georgia" w:cs="Georgia" w:eastAsia="Georgia" w:hAnsi="Georgia"/>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04" w:lineRule="exact"/>
        <w:rPr>
          <w:sz w:val="20"/>
          <w:szCs w:val="20"/>
          <w:color w:val="auto"/>
        </w:rPr>
      </w:pPr>
    </w:p>
    <w:p>
      <w:pPr>
        <w:ind w:right="440"/>
        <w:spacing w:after="0" w:line="237" w:lineRule="auto"/>
        <w:rPr>
          <w:sz w:val="20"/>
          <w:szCs w:val="20"/>
          <w:color w:val="auto"/>
        </w:rPr>
      </w:pPr>
      <w:r>
        <w:rPr>
          <w:rFonts w:ascii="Georgia" w:cs="Georgia" w:eastAsia="Georgia" w:hAnsi="Georgia"/>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204"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07"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04" w:lineRule="exact"/>
        <w:rPr>
          <w:sz w:val="20"/>
          <w:szCs w:val="20"/>
          <w:color w:val="auto"/>
        </w:rPr>
      </w:pPr>
    </w:p>
    <w:p>
      <w:pPr>
        <w:ind w:right="460"/>
        <w:spacing w:after="0" w:line="237" w:lineRule="auto"/>
        <w:rPr>
          <w:sz w:val="20"/>
          <w:szCs w:val="20"/>
          <w:color w:val="auto"/>
        </w:rPr>
      </w:pPr>
      <w:r>
        <w:rPr>
          <w:rFonts w:ascii="Georgia" w:cs="Georgia" w:eastAsia="Georgia" w:hAnsi="Georgia"/>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204"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Intellectual Property</w:t>
      </w:r>
    </w:p>
    <w:p>
      <w:pPr>
        <w:spacing w:after="0" w:line="202"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05"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3" w:name="page34"/>
    <w:bookmarkEnd w:id="33"/>
    <w:p>
      <w:pPr>
        <w:spacing w:after="0"/>
        <w:rPr>
          <w:sz w:val="20"/>
          <w:szCs w:val="20"/>
          <w:color w:val="auto"/>
        </w:rPr>
      </w:pPr>
      <w:r>
        <w:rPr>
          <w:rFonts w:ascii="Georgia" w:cs="Georgia" w:eastAsia="Georgia" w:hAnsi="Georgia"/>
          <w:sz w:val="18"/>
          <w:szCs w:val="18"/>
          <w:color w:val="auto"/>
        </w:rPr>
        <w:t>Our license agreement with OSR imposes upon us various diligence, payment and other obligations, including the following:</w:t>
      </w:r>
    </w:p>
    <w:p>
      <w:pPr>
        <w:spacing w:after="0" w:line="202" w:lineRule="exact"/>
        <w:rPr>
          <w:sz w:val="20"/>
          <w:szCs w:val="20"/>
          <w:color w:val="auto"/>
        </w:rPr>
      </w:pPr>
    </w:p>
    <w:p>
      <w:pPr>
        <w:ind w:left="660" w:right="20" w:hanging="328"/>
        <w:spacing w:after="0" w:line="237" w:lineRule="auto"/>
        <w:tabs>
          <w:tab w:leader="none" w:pos="660" w:val="left"/>
        </w:tabs>
        <w:numPr>
          <w:ilvl w:val="0"/>
          <w:numId w:val="30"/>
        </w:numPr>
        <w:rPr>
          <w:rFonts w:ascii="Georgia" w:cs="Georgia" w:eastAsia="Georgia" w:hAnsi="Georgia"/>
          <w:sz w:val="18"/>
          <w:szCs w:val="18"/>
          <w:color w:val="auto"/>
        </w:rPr>
      </w:pPr>
      <w:r>
        <w:rPr>
          <w:rFonts w:ascii="Georgia" w:cs="Georgia" w:eastAsia="Georgia" w:hAnsi="Georgia"/>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203" w:lineRule="exact"/>
        <w:rPr>
          <w:rFonts w:ascii="Georgia" w:cs="Georgia" w:eastAsia="Georgia" w:hAnsi="Georgia"/>
          <w:sz w:val="18"/>
          <w:szCs w:val="18"/>
          <w:color w:val="auto"/>
        </w:rPr>
      </w:pPr>
    </w:p>
    <w:p>
      <w:pPr>
        <w:ind w:left="660" w:hanging="328"/>
        <w:spacing w:after="0"/>
        <w:tabs>
          <w:tab w:leader="none" w:pos="660" w:val="left"/>
        </w:tabs>
        <w:numPr>
          <w:ilvl w:val="0"/>
          <w:numId w:val="30"/>
        </w:numPr>
        <w:rPr>
          <w:rFonts w:ascii="Georgia" w:cs="Georgia" w:eastAsia="Georgia" w:hAnsi="Georgia"/>
          <w:sz w:val="18"/>
          <w:szCs w:val="18"/>
          <w:color w:val="auto"/>
        </w:rPr>
      </w:pPr>
      <w:r>
        <w:rPr>
          <w:rFonts w:ascii="Georgia" w:cs="Georgia" w:eastAsia="Georgia" w:hAnsi="Georgia"/>
          <w:sz w:val="18"/>
          <w:szCs w:val="18"/>
          <w:color w:val="auto"/>
        </w:rPr>
        <w:t>our obligation to pay OSR royalties based on net sales of each licensed product that we commercialize under the agreement.</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0"/>
        </w:numPr>
        <w:rPr>
          <w:rFonts w:ascii="Georgia" w:cs="Georgia" w:eastAsia="Georgia" w:hAnsi="Georgia"/>
          <w:sz w:val="18"/>
          <w:szCs w:val="18"/>
          <w:color w:val="auto"/>
        </w:rPr>
      </w:pPr>
      <w:r>
        <w:rPr>
          <w:rFonts w:ascii="Georgia" w:cs="Georgia" w:eastAsia="Georgia" w:hAnsi="Georgia"/>
          <w:sz w:val="18"/>
          <w:szCs w:val="18"/>
          <w:color w:val="auto"/>
        </w:rPr>
        <w:t>our obligation to pay a percentage of income derived from sublicenses for each licensed product sublicensed under the agreement.</w:t>
      </w:r>
    </w:p>
    <w:p>
      <w:pPr>
        <w:spacing w:after="0" w:line="201" w:lineRule="exact"/>
        <w:rPr>
          <w:rFonts w:ascii="Georgia" w:cs="Georgia" w:eastAsia="Georgia" w:hAnsi="Georgia"/>
          <w:sz w:val="18"/>
          <w:szCs w:val="18"/>
          <w:color w:val="auto"/>
        </w:rPr>
      </w:pPr>
    </w:p>
    <w:p>
      <w:pPr>
        <w:ind w:left="660" w:right="480" w:hanging="328"/>
        <w:spacing w:after="0" w:line="237" w:lineRule="auto"/>
        <w:tabs>
          <w:tab w:leader="none" w:pos="660" w:val="left"/>
        </w:tabs>
        <w:numPr>
          <w:ilvl w:val="0"/>
          <w:numId w:val="30"/>
        </w:numPr>
        <w:rPr>
          <w:rFonts w:ascii="Georgia" w:cs="Georgia" w:eastAsia="Georgia" w:hAnsi="Georgia"/>
          <w:sz w:val="18"/>
          <w:szCs w:val="18"/>
          <w:color w:val="auto"/>
        </w:rPr>
      </w:pPr>
      <w:r>
        <w:rPr>
          <w:rFonts w:ascii="Georgia" w:cs="Georgia" w:eastAsia="Georgia" w:hAnsi="Georgia"/>
          <w:sz w:val="18"/>
          <w:szCs w:val="18"/>
          <w:color w:val="auto"/>
        </w:rPr>
        <w:t>our obligation to pay fees associated with the prosecution, maintenance, or filing of the patents and patent applications we have licensed.</w:t>
      </w:r>
    </w:p>
    <w:p>
      <w:pPr>
        <w:spacing w:after="0" w:line="204"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204"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206"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2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Pursuant to our license, we are required to commence a Phase III Clinical Trial in the U.S. regarding Temferon for GBM prior to 72 months from first patient dosed, or by July 8, 2025.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06" w:lineRule="exact"/>
        <w:rPr>
          <w:sz w:val="20"/>
          <w:szCs w:val="20"/>
          <w:color w:val="auto"/>
        </w:rPr>
      </w:pPr>
    </w:p>
    <w:p>
      <w:pPr>
        <w:ind w:right="540"/>
        <w:spacing w:after="0" w:line="237" w:lineRule="auto"/>
        <w:rPr>
          <w:sz w:val="20"/>
          <w:szCs w:val="20"/>
          <w:color w:val="auto"/>
        </w:rPr>
      </w:pPr>
      <w:r>
        <w:rPr>
          <w:rFonts w:ascii="Georgia" w:cs="Georgia" w:eastAsia="Georgia" w:hAnsi="Georgia"/>
          <w:sz w:val="18"/>
          <w:szCs w:val="18"/>
          <w:color w:val="auto"/>
        </w:rPr>
        <w:t>Disputes may arise regarding intellectual property subject to, and any of our rights and obligations under, any license or other strategic agreement, including:</w:t>
      </w:r>
    </w:p>
    <w:p>
      <w:pPr>
        <w:spacing w:after="0" w:line="202" w:lineRule="exact"/>
        <w:rPr>
          <w:sz w:val="20"/>
          <w:szCs w:val="20"/>
          <w:color w:val="auto"/>
        </w:rPr>
      </w:pPr>
    </w:p>
    <w:p>
      <w:pPr>
        <w:ind w:left="660" w:hanging="328"/>
        <w:spacing w:after="0"/>
        <w:tabs>
          <w:tab w:leader="none" w:pos="660" w:val="left"/>
        </w:tabs>
        <w:numPr>
          <w:ilvl w:val="0"/>
          <w:numId w:val="31"/>
        </w:numPr>
        <w:rPr>
          <w:rFonts w:ascii="Georgia" w:cs="Georgia" w:eastAsia="Georgia" w:hAnsi="Georgia"/>
          <w:sz w:val="18"/>
          <w:szCs w:val="18"/>
          <w:color w:val="auto"/>
        </w:rPr>
      </w:pPr>
      <w:r>
        <w:rPr>
          <w:rFonts w:ascii="Georgia" w:cs="Georgia" w:eastAsia="Georgia" w:hAnsi="Georgia"/>
          <w:sz w:val="18"/>
          <w:szCs w:val="18"/>
          <w:color w:val="auto"/>
        </w:rPr>
        <w:t>the scope of rights granted under the license agreement and other interpretation-related issues;</w:t>
      </w:r>
    </w:p>
    <w:p>
      <w:pPr>
        <w:spacing w:after="0" w:line="201" w:lineRule="exact"/>
        <w:rPr>
          <w:rFonts w:ascii="Georgia" w:cs="Georgia" w:eastAsia="Georgia" w:hAnsi="Georgia"/>
          <w:sz w:val="18"/>
          <w:szCs w:val="18"/>
          <w:color w:val="auto"/>
        </w:rPr>
      </w:pPr>
    </w:p>
    <w:p>
      <w:pPr>
        <w:ind w:left="660" w:right="260" w:hanging="328"/>
        <w:spacing w:after="0" w:line="237" w:lineRule="auto"/>
        <w:tabs>
          <w:tab w:leader="none" w:pos="660" w:val="left"/>
        </w:tabs>
        <w:numPr>
          <w:ilvl w:val="0"/>
          <w:numId w:val="31"/>
        </w:numPr>
        <w:rPr>
          <w:rFonts w:ascii="Georgia" w:cs="Georgia" w:eastAsia="Georgia" w:hAnsi="Georgia"/>
          <w:sz w:val="18"/>
          <w:szCs w:val="18"/>
          <w:color w:val="auto"/>
        </w:rPr>
      </w:pPr>
      <w:r>
        <w:rPr>
          <w:rFonts w:ascii="Georgia" w:cs="Georgia" w:eastAsia="Georgia" w:hAnsi="Georgia"/>
          <w:sz w:val="18"/>
          <w:szCs w:val="18"/>
          <w:color w:val="auto"/>
        </w:rPr>
        <w:t>the extent to which our technology and processes infringe, misappropriate or violate the intellectual property of the licensor that is not subject to the license agreement;</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1"/>
        </w:numPr>
        <w:rPr>
          <w:rFonts w:ascii="Georgia" w:cs="Georgia" w:eastAsia="Georgia" w:hAnsi="Georgia"/>
          <w:sz w:val="18"/>
          <w:szCs w:val="18"/>
          <w:color w:val="auto"/>
        </w:rPr>
      </w:pPr>
      <w:r>
        <w:rPr>
          <w:rFonts w:ascii="Georgia" w:cs="Georgia" w:eastAsia="Georgia" w:hAnsi="Georgia"/>
          <w:sz w:val="18"/>
          <w:szCs w:val="18"/>
          <w:color w:val="auto"/>
        </w:rPr>
        <w:t>our diligence obligations under the license agreement and what activities satisfy those diligence obligations;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1"/>
        </w:numPr>
        <w:rPr>
          <w:rFonts w:ascii="Georgia" w:cs="Georgia" w:eastAsia="Georgia" w:hAnsi="Georgia"/>
          <w:sz w:val="18"/>
          <w:szCs w:val="18"/>
          <w:color w:val="auto"/>
        </w:rPr>
      </w:pPr>
      <w:r>
        <w:rPr>
          <w:rFonts w:ascii="Georgia" w:cs="Georgia" w:eastAsia="Georgia" w:hAnsi="Georgia"/>
          <w:sz w:val="18"/>
          <w:szCs w:val="18"/>
          <w:color w:val="auto"/>
        </w:rPr>
        <w:t>the sublicensing of patent and other rights to third parties under any such agreement or collaborative relationships;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ind w:left="660" w:right="200" w:hanging="328"/>
        <w:spacing w:after="0" w:line="237" w:lineRule="auto"/>
        <w:tabs>
          <w:tab w:leader="none" w:pos="660" w:val="left"/>
        </w:tabs>
        <w:numPr>
          <w:ilvl w:val="0"/>
          <w:numId w:val="32"/>
        </w:numPr>
        <w:rPr>
          <w:rFonts w:ascii="Georgia" w:cs="Georgia" w:eastAsia="Georgia" w:hAnsi="Georgia"/>
          <w:sz w:val="18"/>
          <w:szCs w:val="18"/>
          <w:color w:val="auto"/>
        </w:rPr>
      </w:pPr>
      <w:r>
        <w:rPr>
          <w:rFonts w:ascii="Georgia" w:cs="Georgia" w:eastAsia="Georgia" w:hAnsi="Georgia"/>
          <w:sz w:val="18"/>
          <w:szCs w:val="18"/>
          <w:color w:val="auto"/>
        </w:rPr>
        <w:t>the inventorship and ownership of inventions and know-how resulting from the joint creation or use of intellectual property by our licensors and us and our partners; and</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2"/>
        </w:numPr>
        <w:rPr>
          <w:rFonts w:ascii="Georgia" w:cs="Georgia" w:eastAsia="Georgia" w:hAnsi="Georgia"/>
          <w:sz w:val="18"/>
          <w:szCs w:val="18"/>
          <w:color w:val="auto"/>
        </w:rPr>
      </w:pPr>
      <w:r>
        <w:rPr>
          <w:rFonts w:ascii="Georgia" w:cs="Georgia" w:eastAsia="Georgia" w:hAnsi="Georgia"/>
          <w:sz w:val="18"/>
          <w:szCs w:val="18"/>
          <w:color w:val="auto"/>
        </w:rPr>
        <w:t>the priority of invention of patented technology.</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20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05"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206" w:lineRule="exact"/>
        <w:rPr>
          <w:sz w:val="20"/>
          <w:szCs w:val="20"/>
          <w:color w:val="auto"/>
        </w:rPr>
      </w:pPr>
    </w:p>
    <w:p>
      <w:pPr>
        <w:ind w:right="340"/>
        <w:spacing w:after="0" w:line="237" w:lineRule="auto"/>
        <w:rPr>
          <w:sz w:val="20"/>
          <w:szCs w:val="20"/>
          <w:color w:val="auto"/>
        </w:rPr>
      </w:pPr>
      <w:r>
        <w:rPr>
          <w:rFonts w:ascii="Georgia" w:cs="Georgia" w:eastAsia="Georgia" w:hAnsi="Georgia"/>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35" w:name="page36"/>
    <w:bookmarkEnd w:id="35"/>
    <w:p>
      <w:pPr>
        <w:ind w:right="240"/>
        <w:spacing w:after="0" w:line="237" w:lineRule="auto"/>
        <w:rPr>
          <w:sz w:val="20"/>
          <w:szCs w:val="20"/>
          <w:color w:val="auto"/>
        </w:rPr>
      </w:pPr>
      <w:r>
        <w:rPr>
          <w:rFonts w:ascii="Georgia" w:cs="Georgia" w:eastAsia="Georgia" w:hAnsi="Georgia"/>
          <w:sz w:val="18"/>
          <w:szCs w:val="18"/>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204"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204" w:lineRule="exact"/>
        <w:rPr>
          <w:sz w:val="20"/>
          <w:szCs w:val="20"/>
          <w:color w:val="auto"/>
        </w:rPr>
      </w:pPr>
    </w:p>
    <w:p>
      <w:pPr>
        <w:ind w:left="660" w:right="200" w:hanging="328"/>
        <w:spacing w:after="0" w:line="237" w:lineRule="auto"/>
        <w:tabs>
          <w:tab w:leader="none" w:pos="660" w:val="left"/>
        </w:tabs>
        <w:numPr>
          <w:ilvl w:val="0"/>
          <w:numId w:val="33"/>
        </w:numPr>
        <w:rPr>
          <w:rFonts w:ascii="Georgia" w:cs="Georgia" w:eastAsia="Georgia" w:hAnsi="Georgia"/>
          <w:sz w:val="18"/>
          <w:szCs w:val="18"/>
          <w:color w:val="auto"/>
        </w:rPr>
      </w:pPr>
      <w:r>
        <w:rPr>
          <w:rFonts w:ascii="Georgia" w:cs="Georgia" w:eastAsia="Georgia" w:hAnsi="Georgia"/>
          <w:sz w:val="18"/>
          <w:szCs w:val="18"/>
          <w:color w:val="auto"/>
        </w:rPr>
        <w:t>any issued patents may not be broad or strong enough to prevent competition from other gene therapy products including identical or similar products;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3"/>
        </w:numPr>
        <w:rPr>
          <w:rFonts w:ascii="Georgia" w:cs="Georgia" w:eastAsia="Georgia" w:hAnsi="Georgia"/>
          <w:sz w:val="18"/>
          <w:szCs w:val="18"/>
          <w:color w:val="auto"/>
        </w:rPr>
      </w:pPr>
      <w:r>
        <w:rPr>
          <w:rFonts w:ascii="Georgia" w:cs="Georgia" w:eastAsia="Georgia" w:hAnsi="Georgia"/>
          <w:sz w:val="18"/>
          <w:szCs w:val="18"/>
          <w:color w:val="auto"/>
        </w:rPr>
        <w:t>if patents are not issued or if issued patents expire, there would be no protections against competitors making generic equivalents;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3"/>
        </w:numPr>
        <w:rPr>
          <w:rFonts w:ascii="Georgia" w:cs="Georgia" w:eastAsia="Georgia" w:hAnsi="Georgia"/>
          <w:sz w:val="18"/>
          <w:szCs w:val="18"/>
          <w:color w:val="auto"/>
        </w:rPr>
      </w:pPr>
      <w:r>
        <w:rPr>
          <w:rFonts w:ascii="Georgia" w:cs="Georgia" w:eastAsia="Georgia" w:hAnsi="Georgia"/>
          <w:sz w:val="18"/>
          <w:szCs w:val="18"/>
          <w:color w:val="auto"/>
        </w:rPr>
        <w:t>there may be prior art of which we are not aware that may affect the validity or enforceability of a patent claim;</w:t>
      </w:r>
    </w:p>
    <w:p>
      <w:pPr>
        <w:spacing w:after="0" w:line="201" w:lineRule="exact"/>
        <w:rPr>
          <w:rFonts w:ascii="Georgia" w:cs="Georgia" w:eastAsia="Georgia" w:hAnsi="Georgia"/>
          <w:sz w:val="18"/>
          <w:szCs w:val="18"/>
          <w:color w:val="auto"/>
        </w:rPr>
      </w:pPr>
    </w:p>
    <w:p>
      <w:pPr>
        <w:ind w:left="660" w:right="100" w:hanging="328"/>
        <w:spacing w:after="0" w:line="237" w:lineRule="auto"/>
        <w:tabs>
          <w:tab w:leader="none" w:pos="660" w:val="left"/>
        </w:tabs>
        <w:numPr>
          <w:ilvl w:val="0"/>
          <w:numId w:val="33"/>
        </w:numPr>
        <w:rPr>
          <w:rFonts w:ascii="Georgia" w:cs="Georgia" w:eastAsia="Georgia" w:hAnsi="Georgia"/>
          <w:sz w:val="18"/>
          <w:szCs w:val="18"/>
          <w:color w:val="auto"/>
        </w:rPr>
      </w:pPr>
      <w:r>
        <w:rPr>
          <w:rFonts w:ascii="Georgia" w:cs="Georgia" w:eastAsia="Georgia" w:hAnsi="Georgia"/>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3"/>
        </w:numPr>
        <w:rPr>
          <w:rFonts w:ascii="Georgia" w:cs="Georgia" w:eastAsia="Georgia" w:hAnsi="Georgia"/>
          <w:sz w:val="18"/>
          <w:szCs w:val="18"/>
          <w:color w:val="auto"/>
        </w:rPr>
      </w:pPr>
      <w:r>
        <w:rPr>
          <w:rFonts w:ascii="Georgia" w:cs="Georgia" w:eastAsia="Georgia" w:hAnsi="Georgia"/>
          <w:sz w:val="18"/>
          <w:szCs w:val="18"/>
          <w:color w:val="auto"/>
        </w:rPr>
        <w:t>if patents that we have been granted licenses to are challenged, a court could determine that they are not valid or enforceable;</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3"/>
        </w:numPr>
        <w:rPr>
          <w:rFonts w:ascii="Georgia" w:cs="Georgia" w:eastAsia="Georgia" w:hAnsi="Georgia"/>
          <w:sz w:val="18"/>
          <w:szCs w:val="18"/>
          <w:color w:val="auto"/>
        </w:rPr>
      </w:pPr>
      <w:r>
        <w:rPr>
          <w:rFonts w:ascii="Georgia" w:cs="Georgia" w:eastAsia="Georgia" w:hAnsi="Georgia"/>
          <w:sz w:val="18"/>
          <w:szCs w:val="18"/>
          <w:color w:val="auto"/>
        </w:rPr>
        <w:t>a court could determine that a competitor’s technology or product does not infringe patents that we have been granted licenses to;</w:t>
      </w:r>
    </w:p>
    <w:p>
      <w:pPr>
        <w:spacing w:after="0" w:line="201" w:lineRule="exact"/>
        <w:rPr>
          <w:rFonts w:ascii="Georgia" w:cs="Georgia" w:eastAsia="Georgia" w:hAnsi="Georgia"/>
          <w:sz w:val="18"/>
          <w:szCs w:val="18"/>
          <w:color w:val="auto"/>
        </w:rPr>
      </w:pPr>
    </w:p>
    <w:p>
      <w:pPr>
        <w:ind w:left="660" w:right="860" w:hanging="328"/>
        <w:spacing w:after="0" w:line="237" w:lineRule="auto"/>
        <w:tabs>
          <w:tab w:leader="none" w:pos="660" w:val="left"/>
        </w:tabs>
        <w:numPr>
          <w:ilvl w:val="0"/>
          <w:numId w:val="33"/>
        </w:numPr>
        <w:rPr>
          <w:rFonts w:ascii="Georgia" w:cs="Georgia" w:eastAsia="Georgia" w:hAnsi="Georgia"/>
          <w:sz w:val="18"/>
          <w:szCs w:val="18"/>
          <w:color w:val="auto"/>
        </w:rPr>
      </w:pPr>
      <w:r>
        <w:rPr>
          <w:rFonts w:ascii="Georgia" w:cs="Georgia" w:eastAsia="Georgia" w:hAnsi="Georgia"/>
          <w:sz w:val="18"/>
          <w:szCs w:val="18"/>
          <w:color w:val="auto"/>
        </w:rPr>
        <w:t>patents to which we have been granted licenses could irretrievably lapse due to failure to pay fees or otherwise comply with regulations, or could be subject to compulsory licensing; and</w:t>
      </w:r>
    </w:p>
    <w:p>
      <w:pPr>
        <w:spacing w:after="0" w:line="203" w:lineRule="exact"/>
        <w:rPr>
          <w:rFonts w:ascii="Georgia" w:cs="Georgia" w:eastAsia="Georgia" w:hAnsi="Georgia"/>
          <w:sz w:val="18"/>
          <w:szCs w:val="18"/>
          <w:color w:val="auto"/>
        </w:rPr>
      </w:pPr>
    </w:p>
    <w:p>
      <w:pPr>
        <w:ind w:left="660" w:right="400" w:hanging="328"/>
        <w:spacing w:after="0" w:line="237" w:lineRule="auto"/>
        <w:tabs>
          <w:tab w:leader="none" w:pos="660" w:val="left"/>
        </w:tabs>
        <w:numPr>
          <w:ilvl w:val="0"/>
          <w:numId w:val="33"/>
        </w:numPr>
        <w:rPr>
          <w:rFonts w:ascii="Georgia" w:cs="Georgia" w:eastAsia="Georgia" w:hAnsi="Georgia"/>
          <w:sz w:val="18"/>
          <w:szCs w:val="18"/>
          <w:color w:val="auto"/>
        </w:rPr>
      </w:pPr>
      <w:r>
        <w:rPr>
          <w:rFonts w:ascii="Georgia" w:cs="Georgia" w:eastAsia="Georgia" w:hAnsi="Georgia"/>
          <w:sz w:val="18"/>
          <w:szCs w:val="18"/>
          <w:color w:val="auto"/>
        </w:rPr>
        <w:t>if we encounter delays in our development or clinical trials, the period of time during which we could market our products under patent protection would be reduced.</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7"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812" w:gutter="0" w:footer="0" w:header="0"/>
        </w:sectPr>
      </w:pPr>
    </w:p>
    <w:bookmarkStart w:id="36" w:name="page37"/>
    <w:bookmarkEnd w:id="36"/>
    <w:p>
      <w:pPr>
        <w:jc w:val="both"/>
        <w:ind w:right="40"/>
        <w:spacing w:after="0" w:line="237" w:lineRule="auto"/>
        <w:rPr>
          <w:sz w:val="20"/>
          <w:szCs w:val="20"/>
          <w:color w:val="auto"/>
        </w:rPr>
      </w:pPr>
      <w:r>
        <w:rPr>
          <w:rFonts w:ascii="Georgia" w:cs="Georgia" w:eastAsia="Georgia" w:hAnsi="Georgia"/>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04"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7" w:lineRule="exact"/>
        <w:rPr>
          <w:sz w:val="20"/>
          <w:szCs w:val="20"/>
          <w:color w:val="auto"/>
        </w:rPr>
      </w:pPr>
    </w:p>
    <w:p>
      <w:pPr>
        <w:ind w:right="440"/>
        <w:spacing w:after="0" w:line="237" w:lineRule="auto"/>
        <w:rPr>
          <w:sz w:val="20"/>
          <w:szCs w:val="20"/>
          <w:color w:val="auto"/>
        </w:rPr>
      </w:pPr>
      <w:r>
        <w:rPr>
          <w:rFonts w:ascii="Georgia" w:cs="Georgia" w:eastAsia="Georgia" w:hAnsi="Georgia"/>
          <w:sz w:val="18"/>
          <w:szCs w:val="18"/>
          <w:b w:val="1"/>
          <w:bCs w:val="1"/>
          <w:i w:val="1"/>
          <w:iCs w:val="1"/>
          <w:color w:val="auto"/>
        </w:rPr>
        <w:t>We may become involved in lawsuits to protect or enforce our intellectual property, which could be expensive, time consuming and unsuccessful.</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 xml:space="preserve">In addition to the possibility of litigation relating to infringement claims asserted against it, we may become a party to other patent litigation and other proceedings, including </w:t>
      </w:r>
      <w:r>
        <w:rPr>
          <w:rFonts w:ascii="Georgia" w:cs="Georgia" w:eastAsia="Georgia" w:hAnsi="Georgia"/>
          <w:sz w:val="18"/>
          <w:szCs w:val="18"/>
          <w:i w:val="1"/>
          <w:iCs w:val="1"/>
          <w:color w:val="auto"/>
        </w:rPr>
        <w:t>inter partes</w:t>
      </w:r>
      <w:r>
        <w:rPr>
          <w:rFonts w:ascii="Georgia" w:cs="Georgia" w:eastAsia="Georgia" w:hAnsi="Georgia"/>
          <w:sz w:val="18"/>
          <w:szCs w:val="18"/>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207"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7" w:name="page38"/>
    <w:bookmarkEnd w:id="37"/>
    <w:p>
      <w:pPr>
        <w:ind w:right="80"/>
        <w:spacing w:after="0" w:line="237" w:lineRule="auto"/>
        <w:rPr>
          <w:sz w:val="20"/>
          <w:szCs w:val="20"/>
          <w:color w:val="auto"/>
        </w:rPr>
      </w:pPr>
      <w:r>
        <w:rPr>
          <w:rFonts w:ascii="Georgia" w:cs="Georgia" w:eastAsia="Georgia" w:hAnsi="Georgia"/>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 -examination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06"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207" w:lineRule="exact"/>
        <w:rPr>
          <w:sz w:val="20"/>
          <w:szCs w:val="20"/>
          <w:color w:val="auto"/>
        </w:rPr>
      </w:pPr>
    </w:p>
    <w:p>
      <w:pPr>
        <w:ind w:right="460"/>
        <w:spacing w:after="0" w:line="237" w:lineRule="auto"/>
        <w:rPr>
          <w:sz w:val="20"/>
          <w:szCs w:val="20"/>
          <w:color w:val="auto"/>
        </w:rPr>
      </w:pPr>
      <w:r>
        <w:rPr>
          <w:rFonts w:ascii="Georgia" w:cs="Georgia" w:eastAsia="Georgia" w:hAnsi="Georgia"/>
          <w:sz w:val="18"/>
          <w:szCs w:val="18"/>
          <w:b w:val="1"/>
          <w:bCs w:val="1"/>
          <w:i w:val="1"/>
          <w:iCs w:val="1"/>
          <w:color w:val="auto"/>
        </w:rPr>
        <w:t>Intellectual property litigation could cause us to spend substantial resources and distract our personnel from their normal responsibilities.</w:t>
      </w:r>
    </w:p>
    <w:p>
      <w:pPr>
        <w:spacing w:after="0" w:line="204"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7"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Any trademarks we may obtain may be infringed or successfully challenged, resulting in harm to our business.</w:t>
      </w:r>
    </w:p>
    <w:p>
      <w:pPr>
        <w:spacing w:after="0" w:line="202"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8" w:name="page39"/>
    <w:bookmarkEnd w:id="38"/>
    <w:p>
      <w:pPr>
        <w:ind w:right="20"/>
        <w:spacing w:after="0" w:line="237" w:lineRule="auto"/>
        <w:rPr>
          <w:sz w:val="20"/>
          <w:szCs w:val="20"/>
          <w:color w:val="auto"/>
        </w:rPr>
      </w:pPr>
      <w:r>
        <w:rPr>
          <w:rFonts w:ascii="Georgia" w:cs="Georgia" w:eastAsia="Georgia" w:hAnsi="Georgia"/>
          <w:sz w:val="18"/>
          <w:szCs w:val="18"/>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6"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We may not be able to enforce intellectual property rights throughout the world.</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0" w:lineRule="exact"/>
        <w:rPr>
          <w:sz w:val="20"/>
          <w:szCs w:val="20"/>
          <w:color w:val="auto"/>
        </w:rPr>
      </w:pPr>
    </w:p>
    <w:p>
      <w:pPr>
        <w:ind w:right="400"/>
        <w:spacing w:after="0" w:line="237" w:lineRule="auto"/>
        <w:rPr>
          <w:sz w:val="20"/>
          <w:szCs w:val="20"/>
          <w:color w:val="auto"/>
        </w:rPr>
      </w:pPr>
      <w:r>
        <w:rPr>
          <w:rFonts w:ascii="Georgia" w:cs="Georgia" w:eastAsia="Georgia" w:hAnsi="Georgia"/>
          <w:sz w:val="18"/>
          <w:szCs w:val="18"/>
          <w:b w:val="1"/>
          <w:bCs w:val="1"/>
          <w:i w:val="1"/>
          <w:iCs w:val="1"/>
          <w:color w:val="auto"/>
        </w:rPr>
        <w:t>If we are unable to maintain effective proprietary rights for our product candidates, we may not be able to compete effectively in our markets.</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06" w:lineRule="exact"/>
        <w:rPr>
          <w:sz w:val="20"/>
          <w:szCs w:val="20"/>
          <w:color w:val="auto"/>
        </w:rPr>
      </w:pPr>
    </w:p>
    <w:p>
      <w:pPr>
        <w:ind w:right="80"/>
        <w:spacing w:after="0" w:line="254" w:lineRule="auto"/>
        <w:rPr>
          <w:sz w:val="20"/>
          <w:szCs w:val="20"/>
          <w:color w:val="auto"/>
        </w:rPr>
      </w:pPr>
      <w:r>
        <w:rPr>
          <w:rFonts w:ascii="Georgia" w:cs="Georgia" w:eastAsia="Georgia" w:hAnsi="Georgia"/>
          <w:sz w:val="17"/>
          <w:szCs w:val="17"/>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9" w:name="page40"/>
    <w:bookmarkEnd w:id="39"/>
    <w:p>
      <w:pPr>
        <w:ind w:right="600"/>
        <w:spacing w:after="0" w:line="237" w:lineRule="auto"/>
        <w:rPr>
          <w:sz w:val="20"/>
          <w:szCs w:val="20"/>
          <w:color w:val="auto"/>
        </w:rPr>
      </w:pPr>
      <w:r>
        <w:rPr>
          <w:rFonts w:ascii="Georgia" w:cs="Georgia" w:eastAsia="Georgia" w:hAnsi="Georgia"/>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Georgia" w:cs="Georgia" w:eastAsia="Georgia" w:hAnsi="Georgia"/>
          <w:sz w:val="18"/>
          <w:szCs w:val="18"/>
          <w:i w:val="1"/>
          <w:iCs w:val="1"/>
          <w:color w:val="auto"/>
        </w:rPr>
        <w:t>ex parte</w:t>
      </w:r>
      <w:r>
        <w:rPr>
          <w:rFonts w:ascii="Georgia" w:cs="Georgia" w:eastAsia="Georgia" w:hAnsi="Georgia"/>
          <w:sz w:val="18"/>
          <w:szCs w:val="18"/>
          <w:color w:val="auto"/>
        </w:rPr>
        <w:t xml:space="preserve"> reexamination, or </w:t>
      </w:r>
      <w:r>
        <w:rPr>
          <w:rFonts w:ascii="Georgia" w:cs="Georgia" w:eastAsia="Georgia" w:hAnsi="Georgia"/>
          <w:sz w:val="18"/>
          <w:szCs w:val="18"/>
          <w:i w:val="1"/>
          <w:iCs w:val="1"/>
          <w:color w:val="auto"/>
        </w:rPr>
        <w:t>inter partes</w:t>
      </w:r>
      <w:r>
        <w:rPr>
          <w:rFonts w:ascii="Georgia" w:cs="Georgia" w:eastAsia="Georgia" w:hAnsi="Georgia"/>
          <w:sz w:val="18"/>
          <w:szCs w:val="18"/>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Georgia" w:cs="Georgia" w:eastAsia="Georgia" w:hAnsi="Georgia"/>
          <w:sz w:val="18"/>
          <w:szCs w:val="18"/>
          <w:i w:val="1"/>
          <w:iCs w:val="1"/>
          <w:color w:val="auto"/>
        </w:rPr>
        <w:t>inter partes</w:t>
      </w:r>
      <w:r>
        <w:rPr>
          <w:rFonts w:ascii="Georgia" w:cs="Georgia" w:eastAsia="Georgia" w:hAnsi="Georgia"/>
          <w:sz w:val="18"/>
          <w:szCs w:val="18"/>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color w:val="auto"/>
        </w:rPr>
        <w:t>We are aware of issued patents in the United States that cover the lentiviral vectors used in the manufacture of our product candidates.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7"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40" w:name="page41"/>
    <w:bookmarkEnd w:id="40"/>
    <w:p>
      <w:pPr>
        <w:spacing w:after="0" w:line="237" w:lineRule="auto"/>
        <w:rPr>
          <w:sz w:val="20"/>
          <w:szCs w:val="20"/>
          <w:color w:val="auto"/>
        </w:rPr>
      </w:pPr>
      <w:r>
        <w:rPr>
          <w:rFonts w:ascii="Georgia" w:cs="Georgia" w:eastAsia="Georgia" w:hAnsi="Georgia"/>
          <w:sz w:val="18"/>
          <w:szCs w:val="18"/>
          <w:color w:val="auto"/>
        </w:rPr>
        <w:t>In this respect, our key people Mr. Luigi Naldini and Mr. Bernhard Gentner are also employees of OSR - San Raffaele Hospital,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207"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b w:val="1"/>
          <w:bCs w:val="1"/>
          <w:i w:val="1"/>
          <w:iCs w:val="1"/>
          <w:color w:val="auto"/>
        </w:rPr>
        <w:t>There may be claims challenging the inventorship of patents and other intellectual property that we have been granted licenses to.</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207" w:lineRule="exact"/>
        <w:rPr>
          <w:sz w:val="20"/>
          <w:szCs w:val="20"/>
          <w:color w:val="auto"/>
        </w:rPr>
      </w:pPr>
    </w:p>
    <w:p>
      <w:pPr>
        <w:ind w:right="60"/>
        <w:spacing w:after="0" w:line="254" w:lineRule="auto"/>
        <w:rPr>
          <w:sz w:val="20"/>
          <w:szCs w:val="20"/>
          <w:color w:val="auto"/>
        </w:rPr>
      </w:pPr>
      <w:r>
        <w:rPr>
          <w:rFonts w:ascii="Georgia" w:cs="Georgia" w:eastAsia="Georgia" w:hAnsi="Georgia"/>
          <w:sz w:val="17"/>
          <w:szCs w:val="17"/>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93"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210"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With regard to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206" w:lineRule="exact"/>
        <w:rPr>
          <w:sz w:val="20"/>
          <w:szCs w:val="20"/>
          <w:color w:val="auto"/>
        </w:rPr>
      </w:pPr>
    </w:p>
    <w:p>
      <w:pPr>
        <w:ind w:right="360"/>
        <w:spacing w:after="0" w:line="237" w:lineRule="auto"/>
        <w:rPr>
          <w:sz w:val="20"/>
          <w:szCs w:val="20"/>
          <w:color w:val="auto"/>
        </w:rPr>
      </w:pPr>
      <w:r>
        <w:rPr>
          <w:rFonts w:ascii="Georgia" w:cs="Georgia" w:eastAsia="Georgia" w:hAnsi="Georgia"/>
          <w:sz w:val="18"/>
          <w:szCs w:val="18"/>
          <w:color w:val="auto"/>
        </w:rPr>
        <w:t>To date, both the employment agreements and consultancy agreements do not provide any specific compensation related to the inventive activity.</w:t>
      </w:r>
    </w:p>
    <w:p>
      <w:pPr>
        <w:spacing w:after="0" w:line="204" w:lineRule="exact"/>
        <w:rPr>
          <w:sz w:val="20"/>
          <w:szCs w:val="20"/>
          <w:color w:val="auto"/>
        </w:rPr>
      </w:pPr>
    </w:p>
    <w:p>
      <w:pPr>
        <w:ind w:right="360"/>
        <w:spacing w:after="0" w:line="237" w:lineRule="auto"/>
        <w:rPr>
          <w:sz w:val="20"/>
          <w:szCs w:val="20"/>
          <w:color w:val="auto"/>
        </w:rPr>
      </w:pPr>
      <w:r>
        <w:rPr>
          <w:rFonts w:ascii="Georgia" w:cs="Georgia" w:eastAsia="Georgia" w:hAnsi="Georgia"/>
          <w:sz w:val="18"/>
          <w:szCs w:val="18"/>
          <w:color w:val="auto"/>
        </w:rPr>
        <w:t>As a consequence, employees and independent consultants may ask for a fair compensation due to such inventions and, with regard to independent consultants, the failure to pay a fair compensation could prevent us from obtaining rights on their inventions, and this could have a material adverse effect on our operations and ability to effectively compete.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1" w:name="page42"/>
    <w:bookmarkEnd w:id="41"/>
    <w:p>
      <w:pPr>
        <w:spacing w:after="0"/>
        <w:rPr>
          <w:sz w:val="20"/>
          <w:szCs w:val="20"/>
          <w:color w:val="auto"/>
        </w:rPr>
      </w:pPr>
      <w:r>
        <w:rPr>
          <w:rFonts w:ascii="Georgia" w:cs="Georgia" w:eastAsia="Georgia" w:hAnsi="Georgia"/>
          <w:sz w:val="18"/>
          <w:szCs w:val="18"/>
          <w:b w:val="1"/>
          <w:bCs w:val="1"/>
          <w:i w:val="1"/>
          <w:iCs w:val="1"/>
          <w:color w:val="auto"/>
        </w:rPr>
        <w:t>Intellectual property rights do not necessarily address all potential threats.</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2" w:lineRule="exact"/>
        <w:rPr>
          <w:sz w:val="20"/>
          <w:szCs w:val="20"/>
          <w:color w:val="auto"/>
        </w:rPr>
      </w:pPr>
    </w:p>
    <w:p>
      <w:pPr>
        <w:ind w:left="660" w:hanging="328"/>
        <w:spacing w:after="0"/>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any product candidates we may develop will eventually become commercially available in generic or biosimilar product forms;</w:t>
      </w:r>
    </w:p>
    <w:p>
      <w:pPr>
        <w:spacing w:after="0" w:line="201" w:lineRule="exact"/>
        <w:rPr>
          <w:rFonts w:ascii="Georgia" w:cs="Georgia" w:eastAsia="Georgia" w:hAnsi="Georgia"/>
          <w:sz w:val="18"/>
          <w:szCs w:val="18"/>
          <w:color w:val="auto"/>
        </w:rPr>
      </w:pPr>
    </w:p>
    <w:p>
      <w:pPr>
        <w:ind w:left="660" w:right="2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203" w:lineRule="exact"/>
        <w:rPr>
          <w:rFonts w:ascii="Georgia" w:cs="Georgia" w:eastAsia="Georgia" w:hAnsi="Georgia"/>
          <w:sz w:val="18"/>
          <w:szCs w:val="18"/>
          <w:color w:val="auto"/>
        </w:rPr>
      </w:pPr>
    </w:p>
    <w:p>
      <w:pPr>
        <w:ind w:left="660" w:right="4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203" w:lineRule="exact"/>
        <w:rPr>
          <w:rFonts w:ascii="Georgia" w:cs="Georgia" w:eastAsia="Georgia" w:hAnsi="Georgia"/>
          <w:sz w:val="18"/>
          <w:szCs w:val="18"/>
          <w:color w:val="auto"/>
        </w:rPr>
      </w:pPr>
    </w:p>
    <w:p>
      <w:pPr>
        <w:ind w:left="660" w:right="8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we, or any future license partners or collaborators, might not have been the first to file patent applications covering certain of our or their inventions;</w:t>
      </w:r>
    </w:p>
    <w:p>
      <w:pPr>
        <w:spacing w:after="0" w:line="203" w:lineRule="exact"/>
        <w:rPr>
          <w:rFonts w:ascii="Georgia" w:cs="Georgia" w:eastAsia="Georgia" w:hAnsi="Georgia"/>
          <w:sz w:val="18"/>
          <w:szCs w:val="18"/>
          <w:color w:val="auto"/>
        </w:rPr>
      </w:pPr>
    </w:p>
    <w:p>
      <w:pPr>
        <w:ind w:left="660" w:right="36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others may independently develop similar or alternative technologies or duplicate any of our technologies without infringing our intellectual property rights;</w:t>
      </w:r>
    </w:p>
    <w:p>
      <w:pPr>
        <w:spacing w:after="0" w:line="203" w:lineRule="exact"/>
        <w:rPr>
          <w:rFonts w:ascii="Georgia" w:cs="Georgia" w:eastAsia="Georgia" w:hAnsi="Georgia"/>
          <w:sz w:val="18"/>
          <w:szCs w:val="18"/>
          <w:color w:val="auto"/>
        </w:rPr>
      </w:pPr>
    </w:p>
    <w:p>
      <w:pPr>
        <w:ind w:left="660" w:right="2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it is possible that pending patent applications currently licensed or those to which we may enter into a license regarding in the future will not lead to issued patents;</w:t>
      </w:r>
    </w:p>
    <w:p>
      <w:pPr>
        <w:spacing w:after="0" w:line="203" w:lineRule="exact"/>
        <w:rPr>
          <w:rFonts w:ascii="Georgia" w:cs="Georgia" w:eastAsia="Georgia" w:hAnsi="Georgia"/>
          <w:sz w:val="18"/>
          <w:szCs w:val="18"/>
          <w:color w:val="auto"/>
        </w:rPr>
      </w:pPr>
    </w:p>
    <w:p>
      <w:pPr>
        <w:ind w:left="660" w:right="14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it is possible that there are prior public disclosures that could invalidate the issued patents that have been licensed to us, or parts of such issued patents;</w:t>
      </w:r>
    </w:p>
    <w:p>
      <w:pPr>
        <w:spacing w:after="0" w:line="203" w:lineRule="exact"/>
        <w:rPr>
          <w:rFonts w:ascii="Georgia" w:cs="Georgia" w:eastAsia="Georgia" w:hAnsi="Georgia"/>
          <w:sz w:val="18"/>
          <w:szCs w:val="18"/>
          <w:color w:val="auto"/>
        </w:rPr>
      </w:pPr>
    </w:p>
    <w:p>
      <w:pPr>
        <w:ind w:left="660" w:right="28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203" w:lineRule="exact"/>
        <w:rPr>
          <w:rFonts w:ascii="Georgia" w:cs="Georgia" w:eastAsia="Georgia" w:hAnsi="Georgia"/>
          <w:sz w:val="18"/>
          <w:szCs w:val="18"/>
          <w:color w:val="auto"/>
        </w:rPr>
      </w:pPr>
    </w:p>
    <w:p>
      <w:pPr>
        <w:ind w:left="660" w:right="60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issued patents to which we hold rights to may be held invalid or unenforceable, including as a result of legal challenges by our competitors;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the claims of patent applications, if and when issued, may not cover our product candidates;</w:t>
      </w:r>
    </w:p>
    <w:p>
      <w:pPr>
        <w:spacing w:after="0" w:line="201"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3" w:lineRule="exact"/>
        <w:rPr>
          <w:rFonts w:ascii="Georgia" w:cs="Georgia" w:eastAsia="Georgia" w:hAnsi="Georgia"/>
          <w:sz w:val="18"/>
          <w:szCs w:val="18"/>
          <w:color w:val="auto"/>
        </w:rPr>
      </w:pPr>
    </w:p>
    <w:p>
      <w:pPr>
        <w:ind w:left="660" w:right="14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203" w:lineRule="exact"/>
        <w:rPr>
          <w:rFonts w:ascii="Georgia" w:cs="Georgia" w:eastAsia="Georgia" w:hAnsi="Georgia"/>
          <w:sz w:val="18"/>
          <w:szCs w:val="18"/>
          <w:color w:val="auto"/>
        </w:rPr>
      </w:pPr>
    </w:p>
    <w:p>
      <w:pPr>
        <w:ind w:left="660" w:right="22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203" w:lineRule="exact"/>
        <w:rPr>
          <w:rFonts w:ascii="Georgia" w:cs="Georgia" w:eastAsia="Georgia" w:hAnsi="Georgia"/>
          <w:sz w:val="18"/>
          <w:szCs w:val="18"/>
          <w:color w:val="auto"/>
        </w:rPr>
      </w:pPr>
    </w:p>
    <w:p>
      <w:pPr>
        <w:ind w:left="660" w:right="70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we engage in scientific collaborations and will continue to do so in the future, and our collaborators may develop adjacent or competing products that are outside the scope of our patents;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any product candidates we develop may be covered by third parties’ patents or other exclusive rights;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the patents of others may harm our business;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we may not develop additional proprietary technologies that are patentable; and</w:t>
      </w:r>
    </w:p>
    <w:p>
      <w:pPr>
        <w:spacing w:after="0" w:line="201" w:lineRule="exact"/>
        <w:rPr>
          <w:rFonts w:ascii="Georgia" w:cs="Georgia" w:eastAsia="Georgia" w:hAnsi="Georgia"/>
          <w:sz w:val="18"/>
          <w:szCs w:val="18"/>
          <w:color w:val="auto"/>
        </w:rPr>
      </w:pPr>
    </w:p>
    <w:p>
      <w:pPr>
        <w:ind w:left="660" w:right="100" w:hanging="328"/>
        <w:spacing w:after="0" w:line="237" w:lineRule="auto"/>
        <w:tabs>
          <w:tab w:leader="none" w:pos="660" w:val="left"/>
        </w:tabs>
        <w:numPr>
          <w:ilvl w:val="0"/>
          <w:numId w:val="34"/>
        </w:numPr>
        <w:rPr>
          <w:rFonts w:ascii="Georgia" w:cs="Georgia" w:eastAsia="Georgia" w:hAnsi="Georgia"/>
          <w:sz w:val="18"/>
          <w:szCs w:val="18"/>
          <w:color w:val="auto"/>
        </w:rPr>
      </w:pPr>
      <w:r>
        <w:rPr>
          <w:rFonts w:ascii="Georgia" w:cs="Georgia" w:eastAsia="Georgia" w:hAnsi="Georgia"/>
          <w:sz w:val="18"/>
          <w:szCs w:val="18"/>
          <w:color w:val="auto"/>
        </w:rPr>
        <w:t>we may choose not to file a patent in order to maintain certain trade secrets or know-how, and a third-party may subsequently file a patent covering such intellectual property.</w:t>
      </w:r>
    </w:p>
    <w:p>
      <w:pPr>
        <w:spacing w:after="0" w:line="204" w:lineRule="exact"/>
        <w:rPr>
          <w:sz w:val="20"/>
          <w:szCs w:val="20"/>
          <w:color w:val="auto"/>
        </w:rPr>
      </w:pPr>
    </w:p>
    <w:p>
      <w:pPr>
        <w:ind w:right="300"/>
        <w:spacing w:after="0" w:line="237" w:lineRule="auto"/>
        <w:rPr>
          <w:sz w:val="20"/>
          <w:szCs w:val="20"/>
          <w:color w:val="auto"/>
        </w:rPr>
      </w:pPr>
      <w:r>
        <w:rPr>
          <w:rFonts w:ascii="Georgia" w:cs="Georgia" w:eastAsia="Georgia" w:hAnsi="Georgia"/>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9" w:right="399" w:bottom="1440" w:gutter="0" w:footer="0" w:header="0"/>
        </w:sectPr>
      </w:pPr>
    </w:p>
    <w:bookmarkStart w:id="42" w:name="page43"/>
    <w:bookmarkEnd w:id="42"/>
    <w:p>
      <w:pPr>
        <w:spacing w:after="0"/>
        <w:rPr>
          <w:sz w:val="20"/>
          <w:szCs w:val="20"/>
          <w:color w:val="auto"/>
        </w:rPr>
      </w:pPr>
      <w:r>
        <w:rPr>
          <w:rFonts w:ascii="Georgia" w:cs="Georgia" w:eastAsia="Georgia" w:hAnsi="Georgia"/>
          <w:sz w:val="18"/>
          <w:szCs w:val="18"/>
          <w:b w:val="1"/>
          <w:bCs w:val="1"/>
          <w:color w:val="auto"/>
        </w:rPr>
        <w:t>Risks Related to Our Business Operations</w:t>
      </w:r>
    </w:p>
    <w:p>
      <w:pPr>
        <w:spacing w:after="0" w:line="202"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204" w:lineRule="exact"/>
        <w:rPr>
          <w:sz w:val="20"/>
          <w:szCs w:val="20"/>
          <w:color w:val="auto"/>
        </w:rPr>
      </w:pPr>
    </w:p>
    <w:p>
      <w:pPr>
        <w:jc w:val="both"/>
        <w:ind w:right="340"/>
        <w:spacing w:after="0" w:line="237" w:lineRule="auto"/>
        <w:rPr>
          <w:sz w:val="20"/>
          <w:szCs w:val="20"/>
          <w:color w:val="auto"/>
        </w:rPr>
      </w:pPr>
      <w:r>
        <w:rPr>
          <w:rFonts w:ascii="Georgia" w:cs="Georgia" w:eastAsia="Georgia" w:hAnsi="Georgia"/>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03" w:lineRule="exact"/>
        <w:rPr>
          <w:sz w:val="20"/>
          <w:szCs w:val="20"/>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economic weakness, including inflation, or political instability in particular non-U.S. economies and markets;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differing and changing regulatory requirements for product approvals;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differing jurisdictions could present different issues for securing, maintaining or obtaining freedom to operate in such jurisdictions;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potentially reduced protection for intellectual property rights;</w:t>
      </w:r>
    </w:p>
    <w:p>
      <w:pPr>
        <w:spacing w:after="0" w:line="201" w:lineRule="exact"/>
        <w:rPr>
          <w:rFonts w:ascii="Georgia" w:cs="Georgia" w:eastAsia="Georgia" w:hAnsi="Georgia"/>
          <w:sz w:val="18"/>
          <w:szCs w:val="18"/>
          <w:color w:val="auto"/>
        </w:rPr>
      </w:pPr>
    </w:p>
    <w:p>
      <w:pPr>
        <w:ind w:left="660" w:right="440" w:hanging="328"/>
        <w:spacing w:after="0" w:line="237" w:lineRule="auto"/>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changes in non-U.S. regulations and customs, tariffs and trade barriers;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foreign exchange risks and currency controls;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changes in a specific country’s or region’s political or economic environment;</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trade protection measures, import or export licensing requirements or other restrictive actions by governments;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differing reimbursement regimes and price controls in certain non-U.S. markets;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negative consequences from changes in tax laws;</w:t>
      </w:r>
    </w:p>
    <w:p>
      <w:pPr>
        <w:spacing w:after="0" w:line="201" w:lineRule="exact"/>
        <w:rPr>
          <w:rFonts w:ascii="Georgia" w:cs="Georgia" w:eastAsia="Georgia" w:hAnsi="Georgia"/>
          <w:sz w:val="18"/>
          <w:szCs w:val="18"/>
          <w:color w:val="auto"/>
        </w:rPr>
      </w:pPr>
    </w:p>
    <w:p>
      <w:pPr>
        <w:ind w:left="660" w:right="200" w:hanging="328"/>
        <w:spacing w:after="0" w:line="237" w:lineRule="auto"/>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workforce uncertainty in countries where labor unrest is more common than in the United States;</w:t>
      </w:r>
    </w:p>
    <w:p>
      <w:pPr>
        <w:spacing w:after="0" w:line="201"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204"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difficulties associated with staffing and managing international operations, including differing labor relations;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production shortages resulting from any events affecting raw material supply or manufacturing capabilities abroad; and</w:t>
      </w:r>
    </w:p>
    <w:p>
      <w:pPr>
        <w:spacing w:after="0" w:line="201" w:lineRule="exact"/>
        <w:rPr>
          <w:rFonts w:ascii="Georgia" w:cs="Georgia" w:eastAsia="Georgia" w:hAnsi="Georgia"/>
          <w:sz w:val="18"/>
          <w:szCs w:val="18"/>
          <w:color w:val="auto"/>
        </w:rPr>
      </w:pPr>
    </w:p>
    <w:p>
      <w:pPr>
        <w:ind w:left="660" w:right="580" w:hanging="328"/>
        <w:spacing w:after="0" w:line="237" w:lineRule="auto"/>
        <w:tabs>
          <w:tab w:leader="none" w:pos="660" w:val="left"/>
        </w:tabs>
        <w:numPr>
          <w:ilvl w:val="0"/>
          <w:numId w:val="35"/>
        </w:numPr>
        <w:rPr>
          <w:rFonts w:ascii="Georgia" w:cs="Georgia" w:eastAsia="Georgia" w:hAnsi="Georgia"/>
          <w:sz w:val="18"/>
          <w:szCs w:val="18"/>
          <w:color w:val="auto"/>
        </w:rPr>
      </w:pPr>
      <w:r>
        <w:rPr>
          <w:rFonts w:ascii="Georgia" w:cs="Georgia" w:eastAsia="Georgia" w:hAnsi="Georgia"/>
          <w:sz w:val="18"/>
          <w:szCs w:val="18"/>
          <w:color w:val="auto"/>
        </w:rPr>
        <w:t>business interruptions resulting from geo-political actions, including war and terrorism, health epidemics, or natural disasters including earthquakes, typhoons, floods and fires.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We manage our business through a small number of employees, key consultants and third-party contractors.</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and Stefania Mazzoleni, our Scientific Project Manager and Communications Officer.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43" w:name="page44"/>
    <w:bookmarkEnd w:id="43"/>
    <w:p>
      <w:pPr>
        <w:ind w:right="480"/>
        <w:spacing w:after="0" w:line="237" w:lineRule="auto"/>
        <w:rPr>
          <w:sz w:val="20"/>
          <w:szCs w:val="20"/>
          <w:color w:val="auto"/>
        </w:rPr>
      </w:pPr>
      <w:r>
        <w:rPr>
          <w:rFonts w:ascii="Georgia" w:cs="Georgia" w:eastAsia="Georgia" w:hAnsi="Georgia"/>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209" w:lineRule="exact"/>
        <w:rPr>
          <w:sz w:val="20"/>
          <w:szCs w:val="20"/>
          <w:color w:val="auto"/>
        </w:rPr>
      </w:pPr>
    </w:p>
    <w:p>
      <w:pPr>
        <w:ind w:right="500"/>
        <w:spacing w:after="0" w:line="237" w:lineRule="auto"/>
        <w:rPr>
          <w:sz w:val="20"/>
          <w:szCs w:val="20"/>
          <w:color w:val="auto"/>
        </w:rPr>
      </w:pPr>
      <w:r>
        <w:rPr>
          <w:rFonts w:ascii="Georgia" w:cs="Georgia" w:eastAsia="Georgia" w:hAnsi="Georgia"/>
          <w:sz w:val="18"/>
          <w:szCs w:val="18"/>
          <w:b w:val="1"/>
          <w:bCs w:val="1"/>
          <w:i w:val="1"/>
          <w:iCs w:val="1"/>
          <w:color w:val="auto"/>
        </w:rPr>
        <w:t>We face business disruption and related risks resulting from the COVID-19 pandemic, which could have a material adverse effect on our business and results of operations.</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6"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05" w:lineRule="exact"/>
        <w:rPr>
          <w:sz w:val="20"/>
          <w:szCs w:val="20"/>
          <w:color w:val="auto"/>
        </w:rPr>
      </w:pPr>
    </w:p>
    <w:p>
      <w:pPr>
        <w:ind w:right="80"/>
        <w:spacing w:after="0" w:line="252" w:lineRule="auto"/>
        <w:rPr>
          <w:sz w:val="20"/>
          <w:szCs w:val="20"/>
          <w:color w:val="auto"/>
        </w:rPr>
      </w:pPr>
      <w:r>
        <w:rPr>
          <w:rFonts w:ascii="Georgia" w:cs="Georgia" w:eastAsia="Georgia" w:hAnsi="Georgia"/>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Georgia" w:cs="Georgia" w:eastAsia="Georgia" w:hAnsi="Georgia"/>
          <w:sz w:val="17"/>
          <w:szCs w:val="17"/>
          <w:i w:val="1"/>
          <w:iCs w:val="1"/>
          <w:color w:val="auto"/>
        </w:rPr>
        <w:t>Risks</w:t>
      </w:r>
      <w:r>
        <w:rPr>
          <w:rFonts w:ascii="Georgia" w:cs="Georgia" w:eastAsia="Georgia" w:hAnsi="Georgia"/>
          <w:sz w:val="17"/>
          <w:szCs w:val="17"/>
          <w:color w:val="auto"/>
        </w:rPr>
        <w:t xml:space="preserve"> </w:t>
      </w:r>
      <w:r>
        <w:rPr>
          <w:rFonts w:ascii="Georgia" w:cs="Georgia" w:eastAsia="Georgia" w:hAnsi="Georgia"/>
          <w:sz w:val="17"/>
          <w:szCs w:val="17"/>
          <w:i w:val="1"/>
          <w:iCs w:val="1"/>
          <w:color w:val="auto"/>
        </w:rPr>
        <w:t>Related to Product Development, Regulatory Approval and Commercialization – We may find it difficult to enroll patients in our clinical trials. Difficulty in enrolling patients could delay or prevent clinical trials of our product candidates</w:t>
      </w:r>
      <w:r>
        <w:rPr>
          <w:rFonts w:ascii="Georgia" w:cs="Georgia" w:eastAsia="Georgia" w:hAnsi="Georgia"/>
          <w:sz w:val="17"/>
          <w:szCs w:val="17"/>
          <w:color w:val="auto"/>
        </w:rPr>
        <w:t>” for additional information.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44" w:name="page45"/>
    <w:bookmarkEnd w:id="44"/>
    <w:p>
      <w:pPr>
        <w:ind w:right="500"/>
        <w:spacing w:after="0" w:line="237" w:lineRule="auto"/>
        <w:rPr>
          <w:sz w:val="20"/>
          <w:szCs w:val="20"/>
          <w:color w:val="auto"/>
        </w:rPr>
      </w:pPr>
      <w:r>
        <w:rPr>
          <w:rFonts w:ascii="Georgia" w:cs="Georgia" w:eastAsia="Georgia" w:hAnsi="Georgia"/>
          <w:sz w:val="18"/>
          <w:szCs w:val="18"/>
          <w:b w:val="1"/>
          <w:bCs w:val="1"/>
          <w:i w:val="1"/>
          <w:iCs w:val="1"/>
          <w:color w:val="auto"/>
        </w:rPr>
        <w:t>We will need to significantly increase the size of our organization, and we may experience difficulties in managing growth.</w:t>
      </w:r>
    </w:p>
    <w:p>
      <w:pPr>
        <w:spacing w:after="0" w:line="204"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03" w:lineRule="exact"/>
        <w:rPr>
          <w:sz w:val="20"/>
          <w:szCs w:val="20"/>
          <w:color w:val="auto"/>
        </w:rPr>
      </w:pPr>
    </w:p>
    <w:p>
      <w:pPr>
        <w:ind w:left="660" w:hanging="328"/>
        <w:spacing w:after="0"/>
        <w:tabs>
          <w:tab w:leader="none" w:pos="660" w:val="left"/>
        </w:tabs>
        <w:numPr>
          <w:ilvl w:val="0"/>
          <w:numId w:val="36"/>
        </w:numPr>
        <w:rPr>
          <w:rFonts w:ascii="Georgia" w:cs="Georgia" w:eastAsia="Georgia" w:hAnsi="Georgia"/>
          <w:sz w:val="18"/>
          <w:szCs w:val="18"/>
          <w:color w:val="auto"/>
        </w:rPr>
      </w:pPr>
      <w:r>
        <w:rPr>
          <w:rFonts w:ascii="Georgia" w:cs="Georgia" w:eastAsia="Georgia" w:hAnsi="Georgia"/>
          <w:sz w:val="18"/>
          <w:szCs w:val="18"/>
          <w:color w:val="auto"/>
        </w:rPr>
        <w:t>manage our clinical trials and the regulatory process effectively;</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6"/>
        </w:numPr>
        <w:rPr>
          <w:rFonts w:ascii="Georgia" w:cs="Georgia" w:eastAsia="Georgia" w:hAnsi="Georgia"/>
          <w:sz w:val="18"/>
          <w:szCs w:val="18"/>
          <w:color w:val="auto"/>
        </w:rPr>
      </w:pPr>
      <w:r>
        <w:rPr>
          <w:rFonts w:ascii="Georgia" w:cs="Georgia" w:eastAsia="Georgia" w:hAnsi="Georgia"/>
          <w:sz w:val="18"/>
          <w:szCs w:val="18"/>
          <w:color w:val="auto"/>
        </w:rPr>
        <w:t>develop our administrative, accounting and management information systems and internal controls;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6"/>
        </w:numPr>
        <w:rPr>
          <w:rFonts w:ascii="Georgia" w:cs="Georgia" w:eastAsia="Georgia" w:hAnsi="Georgia"/>
          <w:sz w:val="18"/>
          <w:szCs w:val="18"/>
          <w:color w:val="auto"/>
        </w:rPr>
      </w:pPr>
      <w:r>
        <w:rPr>
          <w:rFonts w:ascii="Georgia" w:cs="Georgia" w:eastAsia="Georgia" w:hAnsi="Georgia"/>
          <w:sz w:val="18"/>
          <w:szCs w:val="18"/>
          <w:color w:val="auto"/>
        </w:rPr>
        <w:t>hire and train additional qualified personnel;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6"/>
        </w:numPr>
        <w:rPr>
          <w:rFonts w:ascii="Georgia" w:cs="Georgia" w:eastAsia="Georgia" w:hAnsi="Georgia"/>
          <w:sz w:val="18"/>
          <w:szCs w:val="18"/>
          <w:color w:val="auto"/>
        </w:rPr>
      </w:pPr>
      <w:r>
        <w:rPr>
          <w:rFonts w:ascii="Georgia" w:cs="Georgia" w:eastAsia="Georgia" w:hAnsi="Georgia"/>
          <w:sz w:val="18"/>
          <w:szCs w:val="18"/>
          <w:color w:val="auto"/>
        </w:rPr>
        <w:t>integrate current and additional management, administrative, financial and sales and marketing personnel.</w:t>
      </w:r>
    </w:p>
    <w:p>
      <w:pPr>
        <w:spacing w:after="0" w:line="202" w:lineRule="exact"/>
        <w:rPr>
          <w:sz w:val="20"/>
          <w:szCs w:val="20"/>
          <w:color w:val="auto"/>
        </w:rPr>
      </w:pPr>
    </w:p>
    <w:p>
      <w:pPr>
        <w:ind w:right="560"/>
        <w:spacing w:after="0" w:line="263" w:lineRule="auto"/>
        <w:rPr>
          <w:sz w:val="20"/>
          <w:szCs w:val="20"/>
          <w:color w:val="auto"/>
        </w:rPr>
      </w:pPr>
      <w:r>
        <w:rPr>
          <w:rFonts w:ascii="Georgia" w:cs="Georgia" w:eastAsia="Georgia" w:hAnsi="Georgia"/>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8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w:t>
      </w:r>
      <w:r>
        <w:rPr>
          <w:rFonts w:ascii="Georgia" w:cs="Georgia" w:eastAsia="Georgia" w:hAnsi="Georgia"/>
          <w:sz w:val="18"/>
          <w:szCs w:val="18"/>
          <w:i w:val="1"/>
          <w:iCs w:val="1"/>
          <w:color w:val="auto"/>
        </w:rPr>
        <w:t>sales</w:t>
      </w:r>
      <w:r>
        <w:rPr>
          <w:rFonts w:ascii="Georgia" w:cs="Georgia" w:eastAsia="Georgia" w:hAnsi="Georgia"/>
          <w:sz w:val="18"/>
          <w:szCs w:val="18"/>
          <w:color w:val="auto"/>
        </w:rPr>
        <w:t>,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0" w:lineRule="exact"/>
        <w:rPr>
          <w:sz w:val="20"/>
          <w:szCs w:val="20"/>
          <w:color w:val="auto"/>
        </w:rPr>
      </w:pPr>
    </w:p>
    <w:p>
      <w:pPr>
        <w:jc w:val="both"/>
        <w:ind w:right="240"/>
        <w:spacing w:after="0" w:line="237" w:lineRule="auto"/>
        <w:rPr>
          <w:sz w:val="20"/>
          <w:szCs w:val="20"/>
          <w:color w:val="auto"/>
        </w:rPr>
      </w:pPr>
      <w:r>
        <w:rPr>
          <w:rFonts w:ascii="Georgia" w:cs="Georgia" w:eastAsia="Georgia" w:hAnsi="Georgia"/>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204" w:lineRule="exact"/>
        <w:rPr>
          <w:sz w:val="20"/>
          <w:szCs w:val="20"/>
          <w:color w:val="auto"/>
        </w:rPr>
      </w:pPr>
    </w:p>
    <w:p>
      <w:pPr>
        <w:jc w:val="both"/>
        <w:ind w:right="60"/>
        <w:spacing w:after="0" w:line="237" w:lineRule="auto"/>
        <w:rPr>
          <w:sz w:val="20"/>
          <w:szCs w:val="20"/>
          <w:color w:val="auto"/>
        </w:rPr>
      </w:pPr>
      <w:r>
        <w:rPr>
          <w:rFonts w:ascii="Georgia" w:cs="Georgia" w:eastAsia="Georgia" w:hAnsi="Georgia"/>
          <w:sz w:val="18"/>
          <w:szCs w:val="18"/>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5" w:lineRule="exact"/>
        <w:rPr>
          <w:sz w:val="20"/>
          <w:szCs w:val="20"/>
          <w:color w:val="auto"/>
        </w:rPr>
      </w:pPr>
    </w:p>
    <w:p>
      <w:pPr>
        <w:ind w:left="660" w:right="300" w:hanging="328"/>
        <w:spacing w:after="0" w:line="237" w:lineRule="auto"/>
        <w:tabs>
          <w:tab w:leader="none" w:pos="660" w:val="left"/>
        </w:tabs>
        <w:numPr>
          <w:ilvl w:val="0"/>
          <w:numId w:val="37"/>
        </w:numPr>
        <w:rPr>
          <w:rFonts w:ascii="Georgia" w:cs="Georgia" w:eastAsia="Georgia" w:hAnsi="Georgia"/>
          <w:sz w:val="18"/>
          <w:szCs w:val="18"/>
          <w:color w:val="auto"/>
        </w:rPr>
      </w:pPr>
      <w:r>
        <w:rPr>
          <w:rFonts w:ascii="Georgia" w:cs="Georgia" w:eastAsia="Georgia" w:hAnsi="Georgia"/>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204" w:lineRule="exact"/>
        <w:rPr>
          <w:rFonts w:ascii="Georgia" w:cs="Georgia" w:eastAsia="Georgia" w:hAnsi="Georgia"/>
          <w:sz w:val="18"/>
          <w:szCs w:val="18"/>
          <w:color w:val="auto"/>
        </w:rPr>
      </w:pPr>
    </w:p>
    <w:p>
      <w:pPr>
        <w:ind w:left="660" w:right="360" w:hanging="328"/>
        <w:spacing w:after="0" w:line="237" w:lineRule="auto"/>
        <w:tabs>
          <w:tab w:leader="none" w:pos="660" w:val="left"/>
        </w:tabs>
        <w:numPr>
          <w:ilvl w:val="0"/>
          <w:numId w:val="37"/>
        </w:numPr>
        <w:rPr>
          <w:rFonts w:ascii="Georgia" w:cs="Georgia" w:eastAsia="Georgia" w:hAnsi="Georgia"/>
          <w:sz w:val="18"/>
          <w:szCs w:val="18"/>
          <w:color w:val="auto"/>
        </w:rPr>
      </w:pPr>
      <w:r>
        <w:rPr>
          <w:rFonts w:ascii="Georgia" w:cs="Georgia" w:eastAsia="Georgia" w:hAnsi="Georgia"/>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204" w:lineRule="exact"/>
        <w:rPr>
          <w:rFonts w:ascii="Georgia" w:cs="Georgia" w:eastAsia="Georgia" w:hAnsi="Georgia"/>
          <w:sz w:val="18"/>
          <w:szCs w:val="18"/>
          <w:color w:val="auto"/>
        </w:rPr>
      </w:pPr>
    </w:p>
    <w:p>
      <w:pPr>
        <w:ind w:left="660" w:right="80" w:hanging="328"/>
        <w:spacing w:after="0" w:line="237" w:lineRule="auto"/>
        <w:tabs>
          <w:tab w:leader="none" w:pos="660" w:val="left"/>
        </w:tabs>
        <w:numPr>
          <w:ilvl w:val="0"/>
          <w:numId w:val="37"/>
        </w:numPr>
        <w:rPr>
          <w:rFonts w:ascii="Georgia" w:cs="Georgia" w:eastAsia="Georgia" w:hAnsi="Georgia"/>
          <w:sz w:val="18"/>
          <w:szCs w:val="18"/>
          <w:color w:val="auto"/>
        </w:rPr>
      </w:pPr>
      <w:r>
        <w:rPr>
          <w:rFonts w:ascii="Georgia" w:cs="Georgia" w:eastAsia="Georgia" w:hAnsi="Georgia"/>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203"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37"/>
        </w:numPr>
        <w:rPr>
          <w:rFonts w:ascii="Georgia" w:cs="Georgia" w:eastAsia="Georgia" w:hAnsi="Georgia"/>
          <w:sz w:val="18"/>
          <w:szCs w:val="18"/>
          <w:color w:val="auto"/>
        </w:rPr>
      </w:pPr>
      <w:r>
        <w:rPr>
          <w:rFonts w:ascii="Georgia" w:cs="Georgia" w:eastAsia="Georgia" w:hAnsi="Georgia"/>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5" w:name="page46"/>
    <w:bookmarkEnd w:id="45"/>
    <w:p>
      <w:pPr>
        <w:ind w:left="660" w:right="40" w:hanging="328"/>
        <w:spacing w:after="0" w:line="237" w:lineRule="auto"/>
        <w:tabs>
          <w:tab w:leader="none" w:pos="660" w:val="left"/>
        </w:tabs>
        <w:numPr>
          <w:ilvl w:val="0"/>
          <w:numId w:val="38"/>
        </w:numPr>
        <w:rPr>
          <w:rFonts w:ascii="Georgia" w:cs="Georgia" w:eastAsia="Georgia" w:hAnsi="Georgia"/>
          <w:sz w:val="18"/>
          <w:szCs w:val="18"/>
          <w:color w:val="auto"/>
        </w:rPr>
      </w:pPr>
      <w:r>
        <w:rPr>
          <w:rFonts w:ascii="Georgia" w:cs="Georgia" w:eastAsia="Georgia" w:hAnsi="Georgia"/>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205" w:lineRule="exact"/>
        <w:rPr>
          <w:rFonts w:ascii="Georgia" w:cs="Georgia" w:eastAsia="Georgia" w:hAnsi="Georgia"/>
          <w:sz w:val="18"/>
          <w:szCs w:val="18"/>
          <w:color w:val="auto"/>
        </w:rPr>
      </w:pPr>
    </w:p>
    <w:p>
      <w:pPr>
        <w:ind w:left="660" w:right="40" w:hanging="328"/>
        <w:spacing w:after="0" w:line="237" w:lineRule="auto"/>
        <w:tabs>
          <w:tab w:leader="none" w:pos="660" w:val="left"/>
        </w:tabs>
        <w:numPr>
          <w:ilvl w:val="0"/>
          <w:numId w:val="38"/>
        </w:numPr>
        <w:rPr>
          <w:rFonts w:ascii="Georgia" w:cs="Georgia" w:eastAsia="Georgia" w:hAnsi="Georgia"/>
          <w:sz w:val="18"/>
          <w:szCs w:val="18"/>
          <w:color w:val="auto"/>
        </w:rPr>
      </w:pPr>
      <w:r>
        <w:rPr>
          <w:rFonts w:ascii="Georgia" w:cs="Georgia" w:eastAsia="Georgia" w:hAnsi="Georgia"/>
          <w:sz w:val="18"/>
          <w:szCs w:val="18"/>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206" w:lineRule="exact"/>
        <w:rPr>
          <w:rFonts w:ascii="Georgia" w:cs="Georgia" w:eastAsia="Georgia" w:hAnsi="Georgia"/>
          <w:sz w:val="18"/>
          <w:szCs w:val="18"/>
          <w:color w:val="auto"/>
        </w:rPr>
      </w:pPr>
    </w:p>
    <w:p>
      <w:pPr>
        <w:ind w:left="660" w:right="160" w:hanging="328"/>
        <w:spacing w:after="0" w:line="237" w:lineRule="auto"/>
        <w:tabs>
          <w:tab w:leader="none" w:pos="660" w:val="left"/>
        </w:tabs>
        <w:numPr>
          <w:ilvl w:val="0"/>
          <w:numId w:val="38"/>
        </w:numPr>
        <w:rPr>
          <w:rFonts w:ascii="Georgia" w:cs="Georgia" w:eastAsia="Georgia" w:hAnsi="Georgia"/>
          <w:sz w:val="18"/>
          <w:szCs w:val="18"/>
          <w:color w:val="auto"/>
        </w:rPr>
      </w:pPr>
      <w:r>
        <w:rPr>
          <w:rFonts w:ascii="Georgia" w:cs="Georgia" w:eastAsia="Georgia" w:hAnsi="Georgia"/>
          <w:sz w:val="18"/>
          <w:szCs w:val="18"/>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0"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b w:val="1"/>
          <w:bCs w:val="1"/>
          <w:i w:val="1"/>
          <w:iCs w:val="1"/>
          <w:color w:val="auto"/>
        </w:rPr>
        <w:t>Healthcare legislative and regulatory reform measures may have a material adverse effect on our business and results of operations.</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0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6" w:name="page47"/>
    <w:bookmarkEnd w:id="46"/>
    <w:p>
      <w:pPr>
        <w:spacing w:after="0" w:line="237" w:lineRule="auto"/>
        <w:rPr>
          <w:sz w:val="20"/>
          <w:szCs w:val="20"/>
          <w:color w:val="auto"/>
        </w:rPr>
      </w:pPr>
      <w:r>
        <w:rPr>
          <w:rFonts w:ascii="Georgia" w:cs="Georgia" w:eastAsia="Georgia" w:hAnsi="Georgia"/>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08"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6"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05" w:lineRule="exact"/>
        <w:rPr>
          <w:sz w:val="20"/>
          <w:szCs w:val="20"/>
          <w:color w:val="auto"/>
        </w:rPr>
      </w:pPr>
    </w:p>
    <w:p>
      <w:pPr>
        <w:ind w:right="500"/>
        <w:spacing w:after="0" w:line="237" w:lineRule="auto"/>
        <w:rPr>
          <w:sz w:val="20"/>
          <w:szCs w:val="20"/>
          <w:color w:val="auto"/>
        </w:rPr>
      </w:pPr>
      <w:r>
        <w:rPr>
          <w:rFonts w:ascii="Georgia" w:cs="Georgia" w:eastAsia="Georgia" w:hAnsi="Georgia"/>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207" w:lineRule="exact"/>
        <w:rPr>
          <w:sz w:val="20"/>
          <w:szCs w:val="20"/>
          <w:color w:val="auto"/>
        </w:rPr>
      </w:pPr>
    </w:p>
    <w:p>
      <w:pPr>
        <w:jc w:val="both"/>
        <w:ind w:right="220"/>
        <w:spacing w:after="0" w:line="237" w:lineRule="auto"/>
        <w:rPr>
          <w:sz w:val="20"/>
          <w:szCs w:val="20"/>
          <w:color w:val="auto"/>
        </w:rPr>
      </w:pPr>
      <w:r>
        <w:rPr>
          <w:rFonts w:ascii="Georgia" w:cs="Georgia" w:eastAsia="Georgia" w:hAnsi="Georgia"/>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internal information technology systems and those of our current and any future third -party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7" w:name="page48"/>
    <w:bookmarkEnd w:id="47"/>
    <w:p>
      <w:pPr>
        <w:ind w:right="40"/>
        <w:spacing w:after="0" w:line="237" w:lineRule="auto"/>
        <w:rPr>
          <w:sz w:val="20"/>
          <w:szCs w:val="20"/>
          <w:color w:val="auto"/>
        </w:rPr>
      </w:pPr>
      <w:r>
        <w:rPr>
          <w:rFonts w:ascii="Georgia" w:cs="Georgia" w:eastAsia="Georgia" w:hAnsi="Georgia"/>
          <w:sz w:val="18"/>
          <w:szCs w:val="18"/>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207"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07"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b w:val="1"/>
          <w:bCs w:val="1"/>
          <w:i w:val="1"/>
          <w:iCs w:val="1"/>
          <w:color w:val="auto"/>
        </w:rPr>
        <w:t>Unsuccessful compliance with certain European privacy regulations could have an adverse effect on our business and reputation.</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48" w:name="page49"/>
    <w:bookmarkEnd w:id="48"/>
    <w:p>
      <w:pPr>
        <w:jc w:val="both"/>
        <w:ind w:right="180"/>
        <w:spacing w:after="0" w:line="237" w:lineRule="auto"/>
        <w:rPr>
          <w:sz w:val="20"/>
          <w:szCs w:val="20"/>
          <w:color w:val="auto"/>
        </w:rPr>
      </w:pPr>
      <w:r>
        <w:rPr>
          <w:rFonts w:ascii="Georgia" w:cs="Georgia" w:eastAsia="Georgia" w:hAnsi="Georgia"/>
          <w:sz w:val="18"/>
          <w:szCs w:val="18"/>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Ownership of Our Securities</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b w:val="1"/>
          <w:bCs w:val="1"/>
          <w:i w:val="1"/>
          <w:iCs w:val="1"/>
          <w:color w:val="auto"/>
        </w:rPr>
        <w:t>An active trading market for the ADSs may not develop and you may not be able to resell the ADSs at or above the price you paid for them, or at all.</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IPO in December 2021 constituted the initial public offering of the ADSs, and no public market previously existed for the ADSs. There can be no assurance that an active trading market for the ADSs will develop or be sustained in the future.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w:t>
      </w:r>
    </w:p>
    <w:p>
      <w:pPr>
        <w:spacing w:after="0" w:line="206" w:lineRule="exact"/>
        <w:rPr>
          <w:sz w:val="20"/>
          <w:szCs w:val="20"/>
          <w:color w:val="auto"/>
        </w:rPr>
      </w:pPr>
    </w:p>
    <w:p>
      <w:pPr>
        <w:ind w:right="480"/>
        <w:spacing w:after="0" w:line="237" w:lineRule="auto"/>
        <w:rPr>
          <w:sz w:val="20"/>
          <w:szCs w:val="20"/>
          <w:color w:val="auto"/>
        </w:rPr>
      </w:pPr>
      <w:r>
        <w:rPr>
          <w:rFonts w:ascii="Georgia" w:cs="Georgia" w:eastAsia="Georgia" w:hAnsi="Georgia"/>
          <w:sz w:val="18"/>
          <w:szCs w:val="18"/>
          <w:b w:val="1"/>
          <w:bCs w:val="1"/>
          <w:i w:val="1"/>
          <w:iCs w:val="1"/>
          <w:color w:val="auto"/>
        </w:rPr>
        <w:t>Our management has broad discretion as to the use of the net proceeds from our IPO and may not use the proceeds effectively.</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We currently intend to use the net proceeds of our IPO for working capital and general corporate purposes, possible in licensing of additional intellectual property and product candidates, and next generation product development. However, our management has broad discretion in the application of the net proceeds. Our shareholders may not agree with the manner in which our management chooses to allocate the net proceeds from our IPO. The failure by our management to apply these funds effectively could have a material adverse effect on our business, financial condition and results of operation. Pending their use, we may invest the net proceeds from our IPO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The trading price of the ADSs is likely to be highly volatile.</w:t>
      </w:r>
    </w:p>
    <w:p>
      <w:pPr>
        <w:spacing w:after="0" w:line="202" w:lineRule="exact"/>
        <w:rPr>
          <w:sz w:val="20"/>
          <w:szCs w:val="20"/>
          <w:color w:val="auto"/>
        </w:rPr>
      </w:pPr>
    </w:p>
    <w:p>
      <w:pPr>
        <w:ind w:right="280"/>
        <w:spacing w:after="0" w:line="237" w:lineRule="auto"/>
        <w:rPr>
          <w:sz w:val="20"/>
          <w:szCs w:val="20"/>
          <w:color w:val="auto"/>
        </w:rPr>
      </w:pPr>
      <w:r>
        <w:rPr>
          <w:rFonts w:ascii="Georgia" w:cs="Georgia" w:eastAsia="Georgia" w:hAnsi="Georgia"/>
          <w:sz w:val="18"/>
          <w:szCs w:val="18"/>
          <w:color w:val="auto"/>
        </w:rPr>
        <w:t>The trading price of the ADSs has been and is likely to continue to be highly volatile. The following factors, in addition to other risk factors described in this section, may have a significant impact on the market price of the ADSs:</w:t>
      </w:r>
    </w:p>
    <w:p>
      <w:pPr>
        <w:spacing w:after="0" w:line="202" w:lineRule="exact"/>
        <w:rPr>
          <w:sz w:val="20"/>
          <w:szCs w:val="20"/>
          <w:color w:val="auto"/>
        </w:rPr>
      </w:pPr>
    </w:p>
    <w:p>
      <w:pPr>
        <w:ind w:left="660" w:hanging="328"/>
        <w:spacing w:after="0"/>
        <w:tabs>
          <w:tab w:leader="none" w:pos="6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adverse results or delays in pre- and non-clinical studies or clinical trials;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reports of adverse events in other gene therapy products or clinical studies of such products;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inability to obtain additional funding;</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inability to obtain the approvals necessary to commence clinical trials;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unsatisfactory results of clinical trials;</w:t>
      </w:r>
    </w:p>
    <w:p>
      <w:pPr>
        <w:spacing w:after="0" w:line="201" w:lineRule="exact"/>
        <w:rPr>
          <w:rFonts w:ascii="Georgia" w:cs="Georgia" w:eastAsia="Georgia" w:hAnsi="Georgia"/>
          <w:sz w:val="18"/>
          <w:szCs w:val="18"/>
          <w:color w:val="auto"/>
        </w:rPr>
      </w:pPr>
    </w:p>
    <w:p>
      <w:pPr>
        <w:ind w:left="660" w:right="360" w:hanging="328"/>
        <w:spacing w:after="0" w:line="237" w:lineRule="auto"/>
        <w:tabs>
          <w:tab w:leader="none" w:pos="6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announcements of regulatory approval or the failure to obtain it, or specific label indications or patient populations for its use, or changes or delays in the regulatory review process;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announcements of therapeutic innovations or new products by us or our competitors;</w:t>
      </w:r>
    </w:p>
    <w:p>
      <w:pPr>
        <w:spacing w:after="0" w:line="201" w:lineRule="exact"/>
        <w:rPr>
          <w:rFonts w:ascii="Georgia" w:cs="Georgia" w:eastAsia="Georgia" w:hAnsi="Georgia"/>
          <w:sz w:val="18"/>
          <w:szCs w:val="18"/>
          <w:color w:val="auto"/>
        </w:rPr>
      </w:pPr>
    </w:p>
    <w:p>
      <w:pPr>
        <w:ind w:left="660" w:right="100" w:hanging="328"/>
        <w:spacing w:after="0" w:line="237" w:lineRule="auto"/>
        <w:tabs>
          <w:tab w:leader="none" w:pos="6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adverse actions taken by regulatory authorities with respect to our clinical trials, manufacturing supply chain or sales and marketing activities;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49" w:name="page50"/>
    <w:bookmarkEnd w:id="49"/>
    <w:p>
      <w:pPr>
        <w:ind w:left="660" w:right="320" w:hanging="328"/>
        <w:spacing w:after="0" w:line="237" w:lineRule="auto"/>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changes or developments in laws or regulations applicable to the treatment of cancer tumors, or any other indication that we may seek to develop;</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any adverse changes to our relationship with manufacturers or suppliers;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any intellectual property infringement actions in which we may become involved;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announcements concerning our competitors or the biotechnology and pharmaceutical industries in general;</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achievement of expected product sales and profitability or our failure to meet expectations;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our commencement of, or involvement in, litigation;</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any major changes in our board of directors or management;</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our ability to recruit and retain qualified regulatory, research and development personnel;</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legislation in the United States relating to the sale or pricing of biotechnology or gene therapy products;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the depth of the trading market in the ADSs;</w:t>
      </w:r>
    </w:p>
    <w:p>
      <w:pPr>
        <w:spacing w:after="0" w:line="201" w:lineRule="exact"/>
        <w:rPr>
          <w:rFonts w:ascii="Georgia" w:cs="Georgia" w:eastAsia="Georgia" w:hAnsi="Georgia"/>
          <w:sz w:val="18"/>
          <w:szCs w:val="18"/>
          <w:color w:val="auto"/>
        </w:rPr>
      </w:pPr>
    </w:p>
    <w:p>
      <w:pPr>
        <w:ind w:left="660" w:right="160" w:hanging="328"/>
        <w:spacing w:after="0" w:line="237" w:lineRule="auto"/>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termination of the lock-up agreements or other restrictions limiting our ability or that of any of our existing shareholders to sell our securities (or any other securities that we may issue, if any) after out IPO;</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economic weakness, including inflation, or political instability in particular foreign economies and markets;</w:t>
      </w:r>
    </w:p>
    <w:p>
      <w:pPr>
        <w:spacing w:after="0" w:line="201" w:lineRule="exact"/>
        <w:rPr>
          <w:rFonts w:ascii="Georgia" w:cs="Georgia" w:eastAsia="Georgia" w:hAnsi="Georgia"/>
          <w:sz w:val="18"/>
          <w:szCs w:val="18"/>
          <w:color w:val="auto"/>
        </w:rPr>
      </w:pPr>
    </w:p>
    <w:p>
      <w:pPr>
        <w:ind w:left="660" w:right="440" w:hanging="328"/>
        <w:spacing w:after="0" w:line="237" w:lineRule="auto"/>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business interruptions resulting from a local or worldwide pandemic, such as COVID-19, geopolitical actions, including war and terrorism, or natural disasters;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the granting or exercise of employee stock options or other equity awards;</w:t>
      </w:r>
    </w:p>
    <w:p>
      <w:pPr>
        <w:spacing w:after="0" w:line="201" w:lineRule="exact"/>
        <w:rPr>
          <w:rFonts w:ascii="Georgia" w:cs="Georgia" w:eastAsia="Georgia" w:hAnsi="Georgia"/>
          <w:sz w:val="18"/>
          <w:szCs w:val="18"/>
          <w:color w:val="auto"/>
        </w:rPr>
      </w:pPr>
    </w:p>
    <w:p>
      <w:pPr>
        <w:ind w:left="660" w:right="300" w:hanging="328"/>
        <w:spacing w:after="0" w:line="237" w:lineRule="auto"/>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disputes or other developments relating to proprietary rights, including patents, litigation matters and our ability to obtain patent protection for our technologies;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additions or departures of key scientific or management personnel;</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significant lawsuits, including patent or stockholder litigation;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changes in investors’ and securities analysts’ perception of the business risks and conditions of our business.</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05" w:lineRule="exact"/>
        <w:rPr>
          <w:sz w:val="20"/>
          <w:szCs w:val="20"/>
          <w:color w:val="auto"/>
        </w:rPr>
      </w:pPr>
    </w:p>
    <w:p>
      <w:pPr>
        <w:ind w:right="260"/>
        <w:spacing w:after="0" w:line="257" w:lineRule="auto"/>
        <w:rPr>
          <w:sz w:val="20"/>
          <w:szCs w:val="20"/>
          <w:color w:val="auto"/>
        </w:rPr>
      </w:pPr>
      <w:r>
        <w:rPr>
          <w:rFonts w:ascii="Georgia" w:cs="Georgia" w:eastAsia="Georgia" w:hAnsi="Georgia"/>
          <w:sz w:val="17"/>
          <w:szCs w:val="17"/>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189"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50" w:name="page51"/>
    <w:bookmarkEnd w:id="50"/>
    <w:p>
      <w:pPr>
        <w:spacing w:after="0"/>
        <w:rPr>
          <w:sz w:val="20"/>
          <w:szCs w:val="20"/>
          <w:color w:val="auto"/>
        </w:rPr>
      </w:pPr>
      <w:r>
        <w:rPr>
          <w:rFonts w:ascii="Georgia" w:cs="Georgia" w:eastAsia="Georgia" w:hAnsi="Georgia"/>
          <w:sz w:val="18"/>
          <w:szCs w:val="18"/>
          <w:b w:val="1"/>
          <w:bCs w:val="1"/>
          <w:i w:val="1"/>
          <w:iCs w:val="1"/>
          <w:color w:val="auto"/>
        </w:rPr>
        <w:t>Holders of ADSs must act through the Depositary to exercise voting rights relating to the ordinary shares.</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16" w:lineRule="exact"/>
        <w:rPr>
          <w:sz w:val="20"/>
          <w:szCs w:val="20"/>
          <w:color w:val="auto"/>
        </w:rPr>
      </w:pPr>
    </w:p>
    <w:p>
      <w:pPr>
        <w:jc w:val="both"/>
        <w:ind w:right="160"/>
        <w:spacing w:after="0" w:line="237" w:lineRule="auto"/>
        <w:rPr>
          <w:sz w:val="20"/>
          <w:szCs w:val="20"/>
          <w:color w:val="auto"/>
        </w:rPr>
      </w:pPr>
      <w:r>
        <w:rPr>
          <w:rFonts w:ascii="Georgia" w:cs="Georgia" w:eastAsia="Georgia" w:hAnsi="Georgia"/>
          <w:sz w:val="18"/>
          <w:szCs w:val="18"/>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20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As a public company, we are required to maintain internal control over financial reporting and to report any material weaknesses in such internal control. Section 404 of the Sarbanes -Oxley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51" w:name="page52"/>
    <w:bookmarkEnd w:id="51"/>
    <w:p>
      <w:pPr>
        <w:spacing w:after="0" w:line="237" w:lineRule="auto"/>
        <w:rPr>
          <w:sz w:val="20"/>
          <w:szCs w:val="20"/>
          <w:color w:val="auto"/>
        </w:rPr>
      </w:pPr>
      <w:r>
        <w:rPr>
          <w:rFonts w:ascii="Georgia" w:cs="Georgia" w:eastAsia="Georgia" w:hAnsi="Georgia"/>
          <w:sz w:val="18"/>
          <w:szCs w:val="18"/>
          <w:color w:val="auto"/>
        </w:rPr>
        <w:t>To date, we have had limited financial and accounting personnel, which has resulted in a limited segregation of duties to fully execute our accounting processes and address our internal control over financial reporting. In connection with the audits of our consolidated financial statements as of and for the years ended December 31, 2021 and 2020, we identified certain material weaknesses in our internal control over financial reporting, including but not limited to our lack of adequate staff to: (i) process financial information in a timely manner; (ii) analyze and account for complex, non-routine transactions - 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We plan to take steps to address the internal control deficiencies that contributed to the material weaknesses, including the following:</w:t>
      </w:r>
    </w:p>
    <w:p>
      <w:pPr>
        <w:spacing w:after="0" w:line="202" w:lineRule="exact"/>
        <w:rPr>
          <w:sz w:val="20"/>
          <w:szCs w:val="20"/>
          <w:color w:val="auto"/>
        </w:rPr>
      </w:pPr>
    </w:p>
    <w:p>
      <w:pPr>
        <w:ind w:left="660" w:right="800" w:hanging="328"/>
        <w:spacing w:after="0" w:line="237" w:lineRule="auto"/>
        <w:tabs>
          <w:tab w:leader="none" w:pos="660" w:val="left"/>
        </w:tabs>
        <w:numPr>
          <w:ilvl w:val="0"/>
          <w:numId w:val="41"/>
        </w:numPr>
        <w:rPr>
          <w:rFonts w:ascii="Georgia" w:cs="Georgia" w:eastAsia="Georgia" w:hAnsi="Georgia"/>
          <w:sz w:val="18"/>
          <w:szCs w:val="18"/>
          <w:color w:val="auto"/>
        </w:rPr>
      </w:pPr>
      <w:r>
        <w:rPr>
          <w:rFonts w:ascii="Georgia" w:cs="Georgia" w:eastAsia="Georgia" w:hAnsi="Georgia"/>
          <w:sz w:val="18"/>
          <w:szCs w:val="18"/>
          <w:color w:val="auto"/>
        </w:rPr>
        <w:t>hiring of additional finance and accounting personnel with prior experience working for finance departments and technical accounting experience, supplemented by third-party resources;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41"/>
        </w:numPr>
        <w:rPr>
          <w:rFonts w:ascii="Georgia" w:cs="Georgia" w:eastAsia="Georgia" w:hAnsi="Georgia"/>
          <w:sz w:val="18"/>
          <w:szCs w:val="18"/>
          <w:color w:val="auto"/>
        </w:rPr>
      </w:pPr>
      <w:r>
        <w:rPr>
          <w:rFonts w:ascii="Georgia" w:cs="Georgia" w:eastAsia="Georgia" w:hAnsi="Georgia"/>
          <w:sz w:val="18"/>
          <w:szCs w:val="18"/>
          <w:color w:val="auto"/>
        </w:rPr>
        <w:t>documenting and formally assessing our accounting and financial reporting policies and procedures; and</w:t>
      </w:r>
    </w:p>
    <w:p>
      <w:pPr>
        <w:spacing w:after="0" w:line="201" w:lineRule="exact"/>
        <w:rPr>
          <w:rFonts w:ascii="Georgia" w:cs="Georgia" w:eastAsia="Georgia" w:hAnsi="Georgia"/>
          <w:sz w:val="18"/>
          <w:szCs w:val="18"/>
          <w:color w:val="auto"/>
        </w:rPr>
      </w:pPr>
    </w:p>
    <w:p>
      <w:pPr>
        <w:ind w:left="660" w:right="400" w:hanging="328"/>
        <w:spacing w:after="0" w:line="237" w:lineRule="auto"/>
        <w:tabs>
          <w:tab w:leader="none" w:pos="660" w:val="left"/>
        </w:tabs>
        <w:numPr>
          <w:ilvl w:val="0"/>
          <w:numId w:val="41"/>
        </w:numPr>
        <w:rPr>
          <w:rFonts w:ascii="Georgia" w:cs="Georgia" w:eastAsia="Georgia" w:hAnsi="Georgia"/>
          <w:sz w:val="18"/>
          <w:szCs w:val="18"/>
          <w:color w:val="auto"/>
        </w:rPr>
      </w:pPr>
      <w:r>
        <w:rPr>
          <w:rFonts w:ascii="Georgia" w:cs="Georgia" w:eastAsia="Georgia" w:hAnsi="Georgia"/>
          <w:sz w:val="18"/>
          <w:szCs w:val="18"/>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consolidated financial statements that would not be prevented or detected on a timely basis.</w:t>
      </w:r>
    </w:p>
    <w:p>
      <w:pPr>
        <w:spacing w:after="0" w:line="207"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We may be subject to securities litigation, which is expensive and could divert management attention.</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52" w:name="page53"/>
    <w:bookmarkEnd w:id="52"/>
    <w:p>
      <w:pPr>
        <w:ind w:right="40"/>
        <w:spacing w:after="0" w:line="237" w:lineRule="auto"/>
        <w:rPr>
          <w:sz w:val="20"/>
          <w:szCs w:val="20"/>
          <w:color w:val="auto"/>
        </w:rPr>
      </w:pPr>
      <w:r>
        <w:rPr>
          <w:rFonts w:ascii="Georgia" w:cs="Georgia" w:eastAsia="Georgia" w:hAnsi="Georgia"/>
          <w:sz w:val="18"/>
          <w:szCs w:val="18"/>
          <w:b w:val="1"/>
          <w:bCs w:val="1"/>
          <w:i w:val="1"/>
          <w:iCs w:val="1"/>
          <w:color w:val="auto"/>
        </w:rPr>
        <w:t>Our Chief Executive Officer, directors and shareholders who own more than 5% of our outstanding ordinary shares currently own approximately 50.5% of our ordinary shares. They will therefore be able to exert significant control over matters submitted to our shareholders for approval.</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Our Chief Executive Officer and directors, and shareholders who own more than 5% of our outstanding ordinary shares beneficially own approximately 50.5% of our ordinary shares.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207" w:lineRule="exact"/>
        <w:rPr>
          <w:sz w:val="20"/>
          <w:szCs w:val="20"/>
          <w:color w:val="auto"/>
        </w:rPr>
      </w:pPr>
    </w:p>
    <w:p>
      <w:pPr>
        <w:ind w:right="500"/>
        <w:spacing w:after="0" w:line="237" w:lineRule="auto"/>
        <w:rPr>
          <w:sz w:val="20"/>
          <w:szCs w:val="20"/>
          <w:color w:val="auto"/>
        </w:rPr>
      </w:pPr>
      <w:r>
        <w:rPr>
          <w:rFonts w:ascii="Georgia" w:cs="Georgia" w:eastAsia="Georgia" w:hAnsi="Georgia"/>
          <w:sz w:val="18"/>
          <w:szCs w:val="18"/>
          <w:b w:val="1"/>
          <w:bCs w:val="1"/>
          <w:i w:val="1"/>
          <w:iCs w:val="1"/>
          <w:color w:val="auto"/>
        </w:rPr>
        <w:t>If we were to be characterized as a “passive foreign investment company” for U.S. tax purposes, U.S. holders of the ADSs could have adverse U.S. income tax consequences.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17" w:lineRule="exact"/>
        <w:rPr>
          <w:sz w:val="20"/>
          <w:szCs w:val="20"/>
          <w:color w:val="auto"/>
        </w:rPr>
      </w:pPr>
    </w:p>
    <w:p>
      <w:pPr>
        <w:jc w:val="both"/>
        <w:ind w:right="180"/>
        <w:spacing w:after="0" w:line="237" w:lineRule="auto"/>
        <w:rPr>
          <w:sz w:val="20"/>
          <w:szCs w:val="20"/>
          <w:color w:val="auto"/>
        </w:rPr>
      </w:pPr>
      <w:r>
        <w:rPr>
          <w:rFonts w:ascii="Georgia" w:cs="Georgia" w:eastAsia="Georgia" w:hAnsi="Georgia"/>
          <w:sz w:val="18"/>
          <w:szCs w:val="18"/>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06" w:lineRule="exact"/>
        <w:rPr>
          <w:sz w:val="20"/>
          <w:szCs w:val="20"/>
          <w:color w:val="auto"/>
        </w:rPr>
      </w:pPr>
    </w:p>
    <w:p>
      <w:pPr>
        <w:ind w:right="820"/>
        <w:spacing w:after="0" w:line="237" w:lineRule="auto"/>
        <w:rPr>
          <w:sz w:val="20"/>
          <w:szCs w:val="20"/>
          <w:color w:val="auto"/>
        </w:rPr>
      </w:pPr>
      <w:r>
        <w:rPr>
          <w:rFonts w:ascii="Georgia" w:cs="Georgia" w:eastAsia="Georgia" w:hAnsi="Georgia"/>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3" w:name="page54"/>
    <w:bookmarkEnd w:id="53"/>
    <w:p>
      <w:pPr>
        <w:ind w:right="1280"/>
        <w:spacing w:after="0" w:line="237" w:lineRule="auto"/>
        <w:rPr>
          <w:sz w:val="20"/>
          <w:szCs w:val="20"/>
          <w:color w:val="auto"/>
        </w:rPr>
      </w:pPr>
      <w:r>
        <w:rPr>
          <w:rFonts w:ascii="Georgia" w:cs="Georgia" w:eastAsia="Georgia" w:hAnsi="Georgia"/>
          <w:sz w:val="18"/>
          <w:szCs w:val="18"/>
          <w:b w:val="1"/>
          <w:bCs w:val="1"/>
          <w:i w:val="1"/>
          <w:iCs w:val="1"/>
          <w:color w:val="auto"/>
        </w:rPr>
        <w:t>The requirements associated with being a public company will require significant company resources and management attention.</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Following our IPO, we became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We currently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208" w:lineRule="exact"/>
        <w:rPr>
          <w:sz w:val="20"/>
          <w:szCs w:val="20"/>
          <w:color w:val="auto"/>
        </w:rPr>
      </w:pPr>
    </w:p>
    <w:p>
      <w:pPr>
        <w:jc w:val="both"/>
        <w:ind w:right="140"/>
        <w:spacing w:after="0" w:line="237" w:lineRule="auto"/>
        <w:rPr>
          <w:sz w:val="20"/>
          <w:szCs w:val="20"/>
          <w:color w:val="auto"/>
        </w:rPr>
      </w:pPr>
      <w:r>
        <w:rPr>
          <w:rFonts w:ascii="Georgia" w:cs="Georgia" w:eastAsia="Georgia" w:hAnsi="Georgia"/>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204" w:lineRule="exact"/>
        <w:rPr>
          <w:sz w:val="20"/>
          <w:szCs w:val="20"/>
          <w:color w:val="auto"/>
        </w:rPr>
      </w:pPr>
    </w:p>
    <w:p>
      <w:pPr>
        <w:ind w:left="660" w:right="380" w:hanging="328"/>
        <w:spacing w:after="0" w:line="237" w:lineRule="auto"/>
        <w:tabs>
          <w:tab w:leader="none" w:pos="660" w:val="left"/>
        </w:tabs>
        <w:numPr>
          <w:ilvl w:val="0"/>
          <w:numId w:val="42"/>
        </w:numPr>
        <w:rPr>
          <w:rFonts w:ascii="Georgia" w:cs="Georgia" w:eastAsia="Georgia" w:hAnsi="Georgia"/>
          <w:sz w:val="18"/>
          <w:szCs w:val="18"/>
          <w:color w:val="auto"/>
        </w:rPr>
      </w:pPr>
      <w:r>
        <w:rPr>
          <w:rFonts w:ascii="Georgia" w:cs="Georgia" w:eastAsia="Georgia" w:hAnsi="Georgia"/>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203" w:lineRule="exact"/>
        <w:rPr>
          <w:rFonts w:ascii="Georgia" w:cs="Georgia" w:eastAsia="Georgia" w:hAnsi="Georgia"/>
          <w:sz w:val="18"/>
          <w:szCs w:val="18"/>
          <w:color w:val="auto"/>
        </w:rPr>
      </w:pPr>
    </w:p>
    <w:p>
      <w:pPr>
        <w:ind w:left="660" w:right="140" w:hanging="328"/>
        <w:spacing w:after="0" w:line="254" w:lineRule="auto"/>
        <w:tabs>
          <w:tab w:leader="none" w:pos="660" w:val="left"/>
        </w:tabs>
        <w:numPr>
          <w:ilvl w:val="0"/>
          <w:numId w:val="42"/>
        </w:numPr>
        <w:rPr>
          <w:rFonts w:ascii="Georgia" w:cs="Georgia" w:eastAsia="Georgia" w:hAnsi="Georgia"/>
          <w:sz w:val="17"/>
          <w:szCs w:val="17"/>
          <w:color w:val="auto"/>
        </w:rPr>
      </w:pPr>
      <w:r>
        <w:rPr>
          <w:rFonts w:ascii="Georgia" w:cs="Georgia" w:eastAsia="Georgia" w:hAnsi="Georgia"/>
          <w:sz w:val="17"/>
          <w:szCs w:val="17"/>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consolidated financial statements may not be comparable to companies that comply with the public company effective date;</w:t>
      </w:r>
    </w:p>
    <w:p>
      <w:pPr>
        <w:spacing w:after="0" w:line="192" w:lineRule="exact"/>
        <w:rPr>
          <w:rFonts w:ascii="Georgia" w:cs="Georgia" w:eastAsia="Georgia" w:hAnsi="Georgia"/>
          <w:sz w:val="17"/>
          <w:szCs w:val="17"/>
          <w:color w:val="auto"/>
        </w:rPr>
      </w:pPr>
    </w:p>
    <w:p>
      <w:pPr>
        <w:ind w:left="660" w:right="460" w:hanging="328"/>
        <w:spacing w:after="0" w:line="237" w:lineRule="auto"/>
        <w:tabs>
          <w:tab w:leader="none" w:pos="660" w:val="left"/>
        </w:tabs>
        <w:numPr>
          <w:ilvl w:val="0"/>
          <w:numId w:val="42"/>
        </w:numPr>
        <w:rPr>
          <w:rFonts w:ascii="Georgia" w:cs="Georgia" w:eastAsia="Georgia" w:hAnsi="Georgia"/>
          <w:sz w:val="18"/>
          <w:szCs w:val="18"/>
          <w:color w:val="auto"/>
        </w:rPr>
      </w:pPr>
      <w:r>
        <w:rPr>
          <w:rFonts w:ascii="Georgia" w:cs="Georgia" w:eastAsia="Georgia" w:hAnsi="Georgia"/>
          <w:sz w:val="18"/>
          <w:szCs w:val="18"/>
          <w:color w:val="auto"/>
        </w:rPr>
        <w:t>any rules that may be adopted by the Public Company Accounting Oversight Board requiring mandatory audit firm rotation or a supplement to the auditor’s report on the financial statements; and</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42"/>
        </w:numPr>
        <w:rPr>
          <w:rFonts w:ascii="Georgia" w:cs="Georgia" w:eastAsia="Georgia" w:hAnsi="Georgia"/>
          <w:sz w:val="18"/>
          <w:szCs w:val="18"/>
          <w:color w:val="auto"/>
        </w:rPr>
      </w:pPr>
      <w:r>
        <w:rPr>
          <w:rFonts w:ascii="Georgia" w:cs="Georgia" w:eastAsia="Georgia" w:hAnsi="Georgia"/>
          <w:sz w:val="18"/>
          <w:szCs w:val="18"/>
          <w:color w:val="auto"/>
        </w:rPr>
        <w:t>our ability to furnish two rather than three years of income statements and statements of cash flows in various required filings.</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our IPO,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205"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4" w:name="page55"/>
    <w:bookmarkEnd w:id="54"/>
    <w:p>
      <w:pPr>
        <w:ind w:right="380"/>
        <w:spacing w:after="0" w:line="237" w:lineRule="auto"/>
        <w:rPr>
          <w:sz w:val="20"/>
          <w:szCs w:val="20"/>
          <w:color w:val="auto"/>
        </w:rPr>
      </w:pPr>
      <w:r>
        <w:rPr>
          <w:rFonts w:ascii="Georgia" w:cs="Georgia" w:eastAsia="Georgia" w:hAnsi="Georgia"/>
          <w:sz w:val="18"/>
          <w:szCs w:val="18"/>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07"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We may become taxable in a jurisdiction other than Italy and this may increase the aggregate tax burden on us.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Risks Related to Italian Law and Our Operations in Italy</w:t>
      </w:r>
    </w:p>
    <w:p>
      <w:pPr>
        <w:spacing w:after="0" w:line="202" w:lineRule="exact"/>
        <w:rPr>
          <w:sz w:val="20"/>
          <w:szCs w:val="20"/>
          <w:color w:val="auto"/>
        </w:rPr>
      </w:pPr>
    </w:p>
    <w:p>
      <w:pPr>
        <w:ind w:right="640"/>
        <w:spacing w:after="0" w:line="237" w:lineRule="auto"/>
        <w:rPr>
          <w:sz w:val="20"/>
          <w:szCs w:val="20"/>
          <w:color w:val="auto"/>
        </w:rPr>
      </w:pPr>
      <w:r>
        <w:rPr>
          <w:rFonts w:ascii="Georgia" w:cs="Georgia" w:eastAsia="Georgia" w:hAnsi="Georgia"/>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55" w:name="page56"/>
    <w:bookmarkEnd w:id="55"/>
    <w:p>
      <w:pPr>
        <w:ind w:right="180"/>
        <w:spacing w:after="0" w:line="237" w:lineRule="auto"/>
        <w:rPr>
          <w:sz w:val="20"/>
          <w:szCs w:val="20"/>
          <w:color w:val="auto"/>
        </w:rPr>
      </w:pPr>
      <w:r>
        <w:rPr>
          <w:rFonts w:ascii="Georgia" w:cs="Georgia" w:eastAsia="Georgia" w:hAnsi="Georgia"/>
          <w:sz w:val="18"/>
          <w:szCs w:val="18"/>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205"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Because the ADSs are listed exclusively on Nasdaq and not in Italy’s stock exchange, our shareholders do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are listed exclusively on Nasdaq, are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9"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56" w:name="page57"/>
    <w:bookmarkEnd w:id="56"/>
    <w:p>
      <w:pPr>
        <w:jc w:val="both"/>
        <w:ind w:right="260"/>
        <w:spacing w:after="0" w:line="237" w:lineRule="auto"/>
        <w:rPr>
          <w:sz w:val="20"/>
          <w:szCs w:val="20"/>
          <w:color w:val="auto"/>
        </w:rPr>
      </w:pPr>
      <w:r>
        <w:rPr>
          <w:rFonts w:ascii="Georgia" w:cs="Georgia" w:eastAsia="Georgia" w:hAnsi="Georgia"/>
          <w:sz w:val="18"/>
          <w:szCs w:val="18"/>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€18.3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10" w:lineRule="exact"/>
        <w:rPr>
          <w:sz w:val="20"/>
          <w:szCs w:val="20"/>
          <w:color w:val="auto"/>
        </w:rPr>
      </w:pPr>
    </w:p>
    <w:p>
      <w:pPr>
        <w:spacing w:after="0" w:line="237" w:lineRule="auto"/>
        <w:rPr>
          <w:sz w:val="20"/>
          <w:szCs w:val="20"/>
          <w:color w:val="auto"/>
        </w:rPr>
      </w:pPr>
      <w:r>
        <w:rPr>
          <w:rFonts w:ascii="Georgia" w:cs="Georgia" w:eastAsia="Georgia" w:hAnsi="Georgia"/>
          <w:sz w:val="18"/>
          <w:szCs w:val="18"/>
          <w:b w:val="1"/>
          <w:bCs w:val="1"/>
          <w:i w:val="1"/>
          <w:iCs w:val="1"/>
          <w:color w:val="auto"/>
        </w:rPr>
        <w:t>If we suffer losses that reduce our capital to less than €50,000, we would need to recapitalize, change our form of entity or be liquidated.</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206"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Italian labor laws could impair our flexibility to restructure our business.</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7" w:lineRule="exact"/>
        <w:rPr>
          <w:sz w:val="20"/>
          <w:szCs w:val="20"/>
          <w:color w:val="auto"/>
        </w:rPr>
      </w:pPr>
    </w:p>
    <w:p>
      <w:pPr>
        <w:ind w:right="520"/>
        <w:spacing w:after="0" w:line="237" w:lineRule="auto"/>
        <w:rPr>
          <w:sz w:val="20"/>
          <w:szCs w:val="20"/>
          <w:color w:val="auto"/>
        </w:rPr>
      </w:pPr>
      <w:r>
        <w:rPr>
          <w:rFonts w:ascii="Georgia" w:cs="Georgia" w:eastAsia="Georgia" w:hAnsi="Georgia"/>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204" w:lineRule="exact"/>
        <w:rPr>
          <w:sz w:val="20"/>
          <w:szCs w:val="20"/>
          <w:color w:val="auto"/>
        </w:rPr>
      </w:pPr>
    </w:p>
    <w:p>
      <w:pPr>
        <w:ind w:right="240"/>
        <w:spacing w:after="0" w:line="237" w:lineRule="auto"/>
        <w:rPr>
          <w:sz w:val="20"/>
          <w:szCs w:val="20"/>
          <w:color w:val="auto"/>
        </w:rPr>
      </w:pPr>
      <w:r>
        <w:rPr>
          <w:rFonts w:ascii="Georgia" w:cs="Georgia" w:eastAsia="Georgia" w:hAnsi="Georgia"/>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06"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57" w:name="page58"/>
    <w:bookmarkEnd w:id="57"/>
    <w:p>
      <w:pPr>
        <w:spacing w:after="0"/>
        <w:rPr>
          <w:sz w:val="20"/>
          <w:szCs w:val="20"/>
          <w:color w:val="auto"/>
        </w:rPr>
      </w:pPr>
      <w:r>
        <w:rPr>
          <w:rFonts w:ascii="Georgia" w:cs="Georgia" w:eastAsia="Georgia" w:hAnsi="Georgia"/>
          <w:sz w:val="18"/>
          <w:szCs w:val="18"/>
          <w:b w:val="1"/>
          <w:bCs w:val="1"/>
          <w:color w:val="auto"/>
        </w:rPr>
        <w:t>ITEM 4. INFORMATION ON THE COMPANY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A. History and Development of the Company.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Corporate History and Operating Segment Evolution</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We were founded in 2014 by San Raffaele Hospital (OSR) in Milan, a globally recognized premier research hospital for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Its research has resulted in a number of approved products, including Strimvelis, an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gammaretroviral vector-based gene therapy for adenosine deaminase severe combined immunodeficiency (ADA-SCID), and Libmeldy, an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08"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Corporate Offices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Our principal executive offices are located at Via Olgettina No. 58, 20132 Milan, Italy and our telephone number is +39-02-2643-</w:t>
      </w:r>
    </w:p>
    <w:p>
      <w:pPr>
        <w:spacing w:after="0" w:line="238" w:lineRule="auto"/>
        <w:rPr>
          <w:sz w:val="20"/>
          <w:szCs w:val="20"/>
          <w:color w:val="auto"/>
        </w:rPr>
      </w:pPr>
      <w:r>
        <w:rPr>
          <w:rFonts w:ascii="Georgia" w:cs="Georgia" w:eastAsia="Georgia" w:hAnsi="Georgia"/>
          <w:sz w:val="18"/>
          <w:szCs w:val="18"/>
          <w:color w:val="auto"/>
        </w:rPr>
        <w:t>468120.</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 Business Overview</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Overview</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58" w:name="page59"/>
    <w:bookmarkEnd w:id="58"/>
    <w:p>
      <w:pPr>
        <w:ind w:right="20"/>
        <w:spacing w:after="0" w:line="237" w:lineRule="auto"/>
        <w:rPr>
          <w:sz w:val="20"/>
          <w:szCs w:val="20"/>
          <w:color w:val="auto"/>
        </w:rPr>
      </w:pPr>
      <w:r>
        <w:rPr>
          <w:rFonts w:ascii="Georgia" w:cs="Georgia" w:eastAsia="Georgia" w:hAnsi="Georgia"/>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05" w:lineRule="exact"/>
        <w:rPr>
          <w:sz w:val="20"/>
          <w:szCs w:val="20"/>
          <w:color w:val="auto"/>
        </w:rPr>
      </w:pPr>
    </w:p>
    <w:p>
      <w:pPr>
        <w:ind w:left="1300" w:right="120" w:hanging="644"/>
        <w:spacing w:after="0" w:line="237" w:lineRule="auto"/>
        <w:tabs>
          <w:tab w:leader="none" w:pos="1300" w:val="left"/>
        </w:tabs>
        <w:numPr>
          <w:ilvl w:val="0"/>
          <w:numId w:val="43"/>
        </w:numPr>
        <w:rPr>
          <w:rFonts w:ascii="Georgia" w:cs="Georgia" w:eastAsia="Georgia" w:hAnsi="Georgia"/>
          <w:sz w:val="18"/>
          <w:szCs w:val="18"/>
          <w:color w:val="auto"/>
        </w:rPr>
      </w:pPr>
      <w:r>
        <w:rPr>
          <w:rFonts w:ascii="Georgia" w:cs="Georgia" w:eastAsia="Georgia" w:hAnsi="Georgia"/>
          <w:sz w:val="18"/>
          <w:szCs w:val="18"/>
          <w:i w:val="1"/>
          <w:iCs w:val="1"/>
          <w:color w:val="auto"/>
        </w:rPr>
        <w:t xml:space="preserve">Trojan Horse Mechanism of Action (“MoA”): </w:t>
      </w:r>
      <w:r>
        <w:rPr>
          <w:rFonts w:ascii="Georgia" w:cs="Georgia" w:eastAsia="Georgia" w:hAnsi="Georgia"/>
          <w:sz w:val="18"/>
          <w:szCs w:val="18"/>
          <w:color w:val="auto"/>
        </w:rPr>
        <w:t>We use and modify TEMs, a subpopulation of tumor-associated myeloid cells,</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known to be involved in tumor growth and in the inhibition of immune system response, to allow the immune system to recognize the tumor and to deliver to the cancer site a chosen therapeutic.</w:t>
      </w:r>
    </w:p>
    <w:p>
      <w:pPr>
        <w:spacing w:after="0" w:line="204" w:lineRule="exact"/>
        <w:rPr>
          <w:rFonts w:ascii="Georgia" w:cs="Georgia" w:eastAsia="Georgia" w:hAnsi="Georgia"/>
          <w:sz w:val="18"/>
          <w:szCs w:val="18"/>
          <w:color w:val="auto"/>
        </w:rPr>
      </w:pPr>
    </w:p>
    <w:p>
      <w:pPr>
        <w:ind w:left="1300" w:right="280" w:hanging="644"/>
        <w:spacing w:after="0" w:line="237" w:lineRule="auto"/>
        <w:tabs>
          <w:tab w:leader="none" w:pos="1300" w:val="left"/>
        </w:tabs>
        <w:numPr>
          <w:ilvl w:val="0"/>
          <w:numId w:val="43"/>
        </w:numPr>
        <w:rPr>
          <w:rFonts w:ascii="Georgia" w:cs="Georgia" w:eastAsia="Georgia" w:hAnsi="Georgia"/>
          <w:sz w:val="18"/>
          <w:szCs w:val="18"/>
          <w:color w:val="auto"/>
        </w:rPr>
      </w:pPr>
      <w:r>
        <w:rPr>
          <w:rFonts w:ascii="Georgia" w:cs="Georgia" w:eastAsia="Georgia" w:hAnsi="Georgia"/>
          <w:sz w:val="18"/>
          <w:szCs w:val="18"/>
          <w:i w:val="1"/>
          <w:iCs w:val="1"/>
          <w:color w:val="auto"/>
        </w:rPr>
        <w:t xml:space="preserve">Select Regulation of Transgene Expression: </w:t>
      </w:r>
      <w:r>
        <w:rPr>
          <w:rFonts w:ascii="Georgia" w:cs="Georgia" w:eastAsia="Georgia" w:hAnsi="Georgia"/>
          <w:sz w:val="18"/>
          <w:szCs w:val="18"/>
          <w:color w:val="auto"/>
        </w:rPr>
        <w:t>Our selected control of the chosen therapeutic gene expression is designed to</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avoid off-target and systemic toxicity.</w:t>
      </w:r>
    </w:p>
    <w:p>
      <w:pPr>
        <w:spacing w:after="0" w:line="203" w:lineRule="exact"/>
        <w:rPr>
          <w:rFonts w:ascii="Georgia" w:cs="Georgia" w:eastAsia="Georgia" w:hAnsi="Georgia"/>
          <w:sz w:val="18"/>
          <w:szCs w:val="18"/>
          <w:color w:val="auto"/>
        </w:rPr>
      </w:pPr>
    </w:p>
    <w:p>
      <w:pPr>
        <w:ind w:left="1300" w:right="120" w:hanging="644"/>
        <w:spacing w:after="0" w:line="237" w:lineRule="auto"/>
        <w:tabs>
          <w:tab w:leader="none" w:pos="1300" w:val="left"/>
        </w:tabs>
        <w:numPr>
          <w:ilvl w:val="0"/>
          <w:numId w:val="43"/>
        </w:numPr>
        <w:rPr>
          <w:rFonts w:ascii="Georgia" w:cs="Georgia" w:eastAsia="Georgia" w:hAnsi="Georgia"/>
          <w:sz w:val="18"/>
          <w:szCs w:val="18"/>
          <w:color w:val="auto"/>
        </w:rPr>
      </w:pPr>
      <w:r>
        <w:rPr>
          <w:rFonts w:ascii="Georgia" w:cs="Georgia" w:eastAsia="Georgia" w:hAnsi="Georgia"/>
          <w:sz w:val="18"/>
          <w:szCs w:val="18"/>
          <w:i w:val="1"/>
          <w:iCs w:val="1"/>
          <w:color w:val="auto"/>
        </w:rPr>
        <w:t xml:space="preserve">Potential Long-Term Effect: </w:t>
      </w:r>
      <w:r>
        <w:rPr>
          <w:rFonts w:ascii="Georgia" w:cs="Georgia" w:eastAsia="Georgia" w:hAnsi="Georgia"/>
          <w:sz w:val="18"/>
          <w:szCs w:val="18"/>
          <w:color w:val="auto"/>
        </w:rPr>
        <w:t>Through the use of hematopoietic stem cells, our therapeutic candidate is designed as a “</w:t>
      </w:r>
      <w:r>
        <w:rPr>
          <w:rFonts w:ascii="Georgia" w:cs="Georgia" w:eastAsia="Georgia" w:hAnsi="Georgia"/>
          <w:sz w:val="18"/>
          <w:szCs w:val="18"/>
          <w:i w:val="1"/>
          <w:iCs w:val="1"/>
          <w:color w:val="auto"/>
        </w:rPr>
        <w:t>living therapy</w:t>
      </w:r>
      <w:r>
        <w:rPr>
          <w:rFonts w:ascii="Georgia" w:cs="Georgia" w:eastAsia="Georgia" w:hAnsi="Georgia"/>
          <w:sz w:val="18"/>
          <w:szCs w:val="18"/>
          <w:color w:val="auto"/>
        </w:rPr>
        <w:t>” intended to break the cancer-induced immune tolerance and to establish a competent immune surveillance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throughout the life of the patient.</w:t>
      </w:r>
    </w:p>
    <w:p>
      <w:pPr>
        <w:spacing w:after="0" w:line="1" w:lineRule="exact"/>
        <w:rPr>
          <w:rFonts w:ascii="Georgia" w:cs="Georgia" w:eastAsia="Georgia" w:hAnsi="Georgia"/>
          <w:sz w:val="18"/>
          <w:szCs w:val="18"/>
          <w:color w:val="auto"/>
        </w:rPr>
      </w:pPr>
    </w:p>
    <w:p>
      <w:pPr>
        <w:ind w:left="1300" w:right="420" w:hanging="644"/>
        <w:spacing w:after="0" w:line="237" w:lineRule="auto"/>
        <w:tabs>
          <w:tab w:leader="none" w:pos="1300" w:val="left"/>
        </w:tabs>
        <w:numPr>
          <w:ilvl w:val="0"/>
          <w:numId w:val="43"/>
        </w:numPr>
        <w:rPr>
          <w:rFonts w:ascii="Georgia" w:cs="Georgia" w:eastAsia="Georgia" w:hAnsi="Georgia"/>
          <w:sz w:val="18"/>
          <w:szCs w:val="18"/>
          <w:color w:val="auto"/>
        </w:rPr>
      </w:pPr>
      <w:r>
        <w:rPr>
          <w:rFonts w:ascii="Georgia" w:cs="Georgia" w:eastAsia="Georgia" w:hAnsi="Georgia"/>
          <w:sz w:val="18"/>
          <w:szCs w:val="18"/>
          <w:i w:val="1"/>
          <w:iCs w:val="1"/>
          <w:color w:val="auto"/>
        </w:rPr>
        <w:t>Agnostic Response</w:t>
      </w:r>
      <w:r>
        <w:rPr>
          <w:rFonts w:ascii="Georgia" w:cs="Georgia" w:eastAsia="Georgia" w:hAnsi="Georgia"/>
          <w:sz w:val="18"/>
          <w:szCs w:val="18"/>
          <w:color w:val="auto"/>
        </w:rPr>
        <w:t>: In contrast to antigen-restricted CAR-T cells, our platform is not restricted to a pre-selected tumor</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antigen, nor any one tumor type. As such, it may be applied to a broad range of solid tumors and cancer subtypes, which would overcome one of the central unresolved challenges of immune-oncology cancer therapies.</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Georgia" w:cs="Georgia" w:eastAsia="Georgia" w:hAnsi="Georgia"/>
          <w:sz w:val="18"/>
          <w:szCs w:val="18"/>
          <w:b w:val="1"/>
          <w:bCs w:val="1"/>
          <w:color w:val="auto"/>
        </w:rPr>
        <w:t>-</w:t>
      </w:r>
      <w:r>
        <w:rPr>
          <w:rFonts w:ascii="Georgia" w:cs="Georgia" w:eastAsia="Georgia" w:hAnsi="Georgia"/>
          <w:sz w:val="18"/>
          <w:szCs w:val="18"/>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second quarter of 2022. We intend to use the preliminary results of our Phase 1/2a clinical trial to support a Clinical Trial Application to conduct in EU a multicenter Phase 2 trial in uMGMT-GBM, which we currently</w:t>
      </w:r>
    </w:p>
    <w:p>
      <w:pPr>
        <w:spacing w:after="0" w:line="6" w:lineRule="exact"/>
        <w:rPr>
          <w:sz w:val="20"/>
          <w:szCs w:val="20"/>
          <w:color w:val="auto"/>
        </w:rPr>
      </w:pPr>
    </w:p>
    <w:p>
      <w:pPr>
        <w:ind w:right="560"/>
        <w:spacing w:after="0" w:line="200" w:lineRule="auto"/>
        <w:rPr>
          <w:sz w:val="20"/>
          <w:szCs w:val="20"/>
          <w:color w:val="auto"/>
        </w:rPr>
      </w:pPr>
      <w:r>
        <w:rPr>
          <w:rFonts w:ascii="Georgia" w:cs="Georgia" w:eastAsia="Georgia" w:hAnsi="Georgia"/>
          <w:sz w:val="18"/>
          <w:szCs w:val="18"/>
          <w:color w:val="auto"/>
        </w:rPr>
        <w:t>intend to conduct primarily in Italy. As of November 15</w:t>
      </w:r>
      <w:r>
        <w:rPr>
          <w:rFonts w:ascii="Georgia" w:cs="Georgia" w:eastAsia="Georgia" w:hAnsi="Georgia"/>
          <w:sz w:val="29"/>
          <w:szCs w:val="29"/>
          <w:color w:val="auto"/>
          <w:vertAlign w:val="superscript"/>
        </w:rPr>
        <w:t>th</w:t>
      </w:r>
      <w:r>
        <w:rPr>
          <w:rFonts w:ascii="Georgia" w:cs="Georgia" w:eastAsia="Georgia" w:hAnsi="Georgia"/>
          <w:sz w:val="18"/>
          <w:szCs w:val="18"/>
          <w:color w:val="auto"/>
        </w:rPr>
        <w:t>, 2021, we have dosed a total of 15 patients. The preliminary results show that Temferon has been generally well tolerated, with no dose limiting toxicities identified so far.</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spacing w:after="0" w:line="206" w:lineRule="exact"/>
        <w:rPr>
          <w:sz w:val="20"/>
          <w:szCs w:val="20"/>
          <w:color w:val="auto"/>
        </w:rPr>
      </w:pPr>
    </w:p>
    <w:p>
      <w:pPr>
        <w:ind w:right="300"/>
        <w:spacing w:after="0" w:line="237" w:lineRule="auto"/>
        <w:rPr>
          <w:sz w:val="20"/>
          <w:szCs w:val="20"/>
          <w:color w:val="auto"/>
        </w:rPr>
      </w:pPr>
      <w:r>
        <w:rPr>
          <w:rFonts w:ascii="Georgia" w:cs="Georgia" w:eastAsia="Georgia" w:hAnsi="Georgia"/>
          <w:sz w:val="18"/>
          <w:szCs w:val="18"/>
          <w:color w:val="auto"/>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59" w:name="page60"/>
    <w:bookmarkEnd w:id="59"/>
    <w:p>
      <w:pPr>
        <w:ind w:right="180"/>
        <w:spacing w:after="0" w:line="237" w:lineRule="auto"/>
        <w:rPr>
          <w:sz w:val="20"/>
          <w:szCs w:val="20"/>
          <w:color w:val="auto"/>
        </w:rPr>
      </w:pPr>
      <w:r>
        <w:rPr>
          <w:rFonts w:ascii="Georgia" w:cs="Georgia" w:eastAsia="Georgia" w:hAnsi="Georgia"/>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4" w:lineRule="exact"/>
        <w:rPr>
          <w:sz w:val="20"/>
          <w:szCs w:val="20"/>
          <w:color w:val="auto"/>
        </w:rPr>
      </w:pPr>
    </w:p>
    <w:p>
      <w:pPr>
        <w:ind w:right="40"/>
        <w:spacing w:after="0" w:line="252" w:lineRule="auto"/>
        <w:rPr>
          <w:sz w:val="20"/>
          <w:szCs w:val="20"/>
          <w:color w:val="auto"/>
        </w:rPr>
      </w:pPr>
      <w:r>
        <w:rPr>
          <w:rFonts w:ascii="Georgia" w:cs="Georgia" w:eastAsia="Georgia" w:hAnsi="Georgia"/>
          <w:sz w:val="17"/>
          <w:szCs w:val="17"/>
          <w:color w:val="auto"/>
        </w:rPr>
        <w:t xml:space="preserve">We were founded in 2014 by San Raffaele Hospital (Ospedale San Raffaele or OSR) in Milan, a globally recognized premier research hospital for </w:t>
      </w:r>
      <w:r>
        <w:rPr>
          <w:rFonts w:ascii="Georgia" w:cs="Georgia" w:eastAsia="Georgia" w:hAnsi="Georgia"/>
          <w:sz w:val="17"/>
          <w:szCs w:val="17"/>
          <w:i w:val="1"/>
          <w:iCs w:val="1"/>
          <w:color w:val="auto"/>
        </w:rPr>
        <w:t>ex-vivo</w:t>
      </w:r>
      <w:r>
        <w:rPr>
          <w:rFonts w:ascii="Georgia" w:cs="Georgia" w:eastAsia="Georgia" w:hAnsi="Georgia"/>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Georgia" w:cs="Georgia" w:eastAsia="Georgia" w:hAnsi="Georgia"/>
          <w:sz w:val="17"/>
          <w:szCs w:val="17"/>
          <w:i w:val="1"/>
          <w:iCs w:val="1"/>
          <w:color w:val="auto"/>
        </w:rPr>
        <w:t>ex-vivo</w:t>
      </w:r>
      <w:r>
        <w:rPr>
          <w:rFonts w:ascii="Georgia" w:cs="Georgia" w:eastAsia="Georgia" w:hAnsi="Georgia"/>
          <w:sz w:val="17"/>
          <w:szCs w:val="17"/>
          <w:color w:val="auto"/>
        </w:rPr>
        <w:t xml:space="preserve"> gene therapy that give rise to approved products, including Strimvelis, an </w:t>
      </w:r>
      <w:r>
        <w:rPr>
          <w:rFonts w:ascii="Georgia" w:cs="Georgia" w:eastAsia="Georgia" w:hAnsi="Georgia"/>
          <w:sz w:val="17"/>
          <w:szCs w:val="17"/>
          <w:i w:val="1"/>
          <w:iCs w:val="1"/>
          <w:color w:val="auto"/>
        </w:rPr>
        <w:t>ex-vivo</w:t>
      </w:r>
      <w:r>
        <w:rPr>
          <w:rFonts w:ascii="Georgia" w:cs="Georgia" w:eastAsia="Georgia" w:hAnsi="Georgia"/>
          <w:sz w:val="17"/>
          <w:szCs w:val="17"/>
          <w:color w:val="auto"/>
        </w:rPr>
        <w:t xml:space="preserve"> gammaretroviral vector-based gene therapy for adenosine deaminase severe combined immunodeficiency (ADA-SCID), and Libmeldy, an </w:t>
      </w:r>
      <w:r>
        <w:rPr>
          <w:rFonts w:ascii="Georgia" w:cs="Georgia" w:eastAsia="Georgia" w:hAnsi="Georgia"/>
          <w:sz w:val="17"/>
          <w:szCs w:val="17"/>
          <w:i w:val="1"/>
          <w:iCs w:val="1"/>
          <w:color w:val="auto"/>
        </w:rPr>
        <w:t>ex-vivo</w:t>
      </w:r>
      <w:r>
        <w:rPr>
          <w:rFonts w:ascii="Georgia" w:cs="Georgia" w:eastAsia="Georgia" w:hAnsi="Georgia"/>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199"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6"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Research and Development Pipeline</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 xml:space="preserve">Our portfolio of clinical and preclinical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60" w:name="page61"/>
    <w:bookmarkEnd w:id="60"/>
    <w:p>
      <w:pPr>
        <w:spacing w:after="0"/>
        <w:rPr>
          <w:sz w:val="20"/>
          <w:szCs w:val="20"/>
          <w:color w:val="auto"/>
        </w:rPr>
      </w:pPr>
      <w:r>
        <w:rPr>
          <w:rFonts w:ascii="Georgia" w:cs="Georgia" w:eastAsia="Georgia" w:hAnsi="Georgia"/>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5314950" cy="2477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1495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*Genenta has options/rights on IP derived from preclinical data generated at SR-Tiget laboratories.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Strategy</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 xml:space="preserve">We are developing novel cancer therapeutics using our autologous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platform, to initially address the unmet medical needs of uMGMT-GBM patients and patients suffering from another solid cancer indication such as HCC and ICC, but ultimately, we hope to broaden our platform to treat a wide variety of cancers by pursuing the following strategies:</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Advance development of our leading clinical-stage product candidate, Temferon in the U.S.</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We are currently conducting a Phase 1/2a dose-escalation study in Italy to primarily evaluate the safety and tolerability of Temferon in up to 21 uMGMT-GBM patients who have an unmethylated MGMT promoter, following radiotherapy treatment. We plan to initiate in Europe a multicenter Phase 2 trial in uMGMT-GBM, which we currently intend to conduct primarily in Italy to evaluate the safety and efficacy of Temferon in up to 27 uMGMT-GBM patients who have an unmethylated MGMT promoter where we intend to measure progression free survival (PFS) and overall survival (OS)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w:t>
      </w:r>
    </w:p>
    <w:p>
      <w:pPr>
        <w:spacing w:after="0" w:line="205"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Extend our product pipeline across multiple indications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We intend to expand our product pipeline by:</w:t>
      </w:r>
    </w:p>
    <w:p>
      <w:pPr>
        <w:spacing w:after="0" w:line="202" w:lineRule="exact"/>
        <w:rPr>
          <w:sz w:val="20"/>
          <w:szCs w:val="20"/>
          <w:color w:val="auto"/>
        </w:rPr>
      </w:pPr>
    </w:p>
    <w:p>
      <w:pPr>
        <w:ind w:left="1300" w:hanging="644"/>
        <w:spacing w:after="0" w:line="237" w:lineRule="auto"/>
        <w:tabs>
          <w:tab w:leader="none" w:pos="1300" w:val="left"/>
        </w:tabs>
        <w:numPr>
          <w:ilvl w:val="0"/>
          <w:numId w:val="44"/>
        </w:numPr>
        <w:rPr>
          <w:rFonts w:ascii="Georgia" w:cs="Georgia" w:eastAsia="Georgia" w:hAnsi="Georgia"/>
          <w:sz w:val="18"/>
          <w:szCs w:val="18"/>
          <w:color w:val="auto"/>
        </w:rPr>
      </w:pPr>
      <w:r>
        <w:rPr>
          <w:rFonts w:ascii="Georgia" w:cs="Georgia" w:eastAsia="Georgia" w:hAnsi="Georgia"/>
          <w:sz w:val="18"/>
          <w:szCs w:val="18"/>
          <w:i w:val="1"/>
          <w:iCs w:val="1"/>
          <w:color w:val="auto"/>
        </w:rPr>
        <w:t>Identifying additional indications suitable for Temferon. We are in the planning stages for a second study using Temferon in a second solid tumor indication and locally advanced HCC and ICC are under consideration. The Istituto Superiore di Sanità (ISS), an independent committee with oversight from the Italian Ministry of Health, must issue a positive opinion regarding our CTA before AIFA will approve it and we may start patient’s recruitment. In addition to HCC and ICC, we believe there may be additional cancer indications which actively recruit TEMs to proliferate for which Temferon may be a suitable therapy.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61" w:name="page62"/>
    <w:bookmarkEnd w:id="61"/>
    <w:p>
      <w:pPr>
        <w:ind w:left="1300" w:right="180" w:hanging="644"/>
        <w:spacing w:after="0" w:line="237" w:lineRule="auto"/>
        <w:tabs>
          <w:tab w:leader="none" w:pos="1300" w:val="left"/>
        </w:tabs>
        <w:numPr>
          <w:ilvl w:val="0"/>
          <w:numId w:val="45"/>
        </w:numPr>
        <w:rPr>
          <w:rFonts w:ascii="Georgia" w:cs="Georgia" w:eastAsia="Georgia" w:hAnsi="Georgia"/>
          <w:sz w:val="18"/>
          <w:szCs w:val="18"/>
          <w:color w:val="auto"/>
        </w:rPr>
      </w:pPr>
      <w:r>
        <w:rPr>
          <w:rFonts w:ascii="Georgia" w:cs="Georgia" w:eastAsia="Georgia" w:hAnsi="Georgia"/>
          <w:sz w:val="18"/>
          <w:szCs w:val="18"/>
          <w:i w:val="1"/>
          <w:iCs w:val="1"/>
          <w:color w:val="auto"/>
        </w:rPr>
        <w:t>Using our platform with different transgene payloads</w:t>
      </w:r>
      <w:r>
        <w:rPr>
          <w:rFonts w:ascii="Georgia" w:cs="Georgia" w:eastAsia="Georgia" w:hAnsi="Georgia"/>
          <w:sz w:val="18"/>
          <w:szCs w:val="18"/>
          <w:color w:val="auto"/>
        </w:rPr>
        <w:t>. Our platform technology is designed to enable us to use different</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transgene payloads to potentially achieve therapeutic outcomes in selected cancer indications. We are currently conducting preclinical studies for two therapeutics using our platform with different payloads targeting solid tumors.</w:t>
      </w:r>
    </w:p>
    <w:p>
      <w:pPr>
        <w:spacing w:after="0" w:line="204" w:lineRule="exact"/>
        <w:rPr>
          <w:rFonts w:ascii="Georgia" w:cs="Georgia" w:eastAsia="Georgia" w:hAnsi="Georgia"/>
          <w:sz w:val="18"/>
          <w:szCs w:val="18"/>
          <w:color w:val="auto"/>
        </w:rPr>
      </w:pPr>
    </w:p>
    <w:p>
      <w:pPr>
        <w:jc w:val="both"/>
        <w:ind w:left="1300" w:right="340" w:hanging="644"/>
        <w:spacing w:after="0" w:line="237" w:lineRule="auto"/>
        <w:tabs>
          <w:tab w:leader="none" w:pos="1300" w:val="left"/>
        </w:tabs>
        <w:numPr>
          <w:ilvl w:val="0"/>
          <w:numId w:val="45"/>
        </w:numPr>
        <w:rPr>
          <w:rFonts w:ascii="Georgia" w:cs="Georgia" w:eastAsia="Georgia" w:hAnsi="Georgia"/>
          <w:sz w:val="18"/>
          <w:szCs w:val="18"/>
          <w:color w:val="auto"/>
        </w:rPr>
      </w:pPr>
      <w:r>
        <w:rPr>
          <w:rFonts w:ascii="Georgia" w:cs="Georgia" w:eastAsia="Georgia" w:hAnsi="Georgia"/>
          <w:sz w:val="18"/>
          <w:szCs w:val="18"/>
          <w:i w:val="1"/>
          <w:iCs w:val="1"/>
          <w:color w:val="auto"/>
        </w:rPr>
        <w:t>Developing a second-generation platform that enables the “on-demand” release of the transgene payload</w:t>
      </w:r>
      <w:r>
        <w:rPr>
          <w:rFonts w:ascii="Georgia" w:cs="Georgia" w:eastAsia="Georgia" w:hAnsi="Georgia"/>
          <w:sz w:val="18"/>
          <w:szCs w:val="18"/>
          <w:color w:val="auto"/>
        </w:rPr>
        <w:t>. We intend to</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4" w:lineRule="exact"/>
        <w:rPr>
          <w:rFonts w:ascii="Georgia" w:cs="Georgia" w:eastAsia="Georgia" w:hAnsi="Georgia"/>
          <w:sz w:val="18"/>
          <w:szCs w:val="18"/>
          <w:color w:val="auto"/>
        </w:rPr>
      </w:pPr>
    </w:p>
    <w:p>
      <w:pPr>
        <w:ind w:left="1300" w:right="120" w:hanging="644"/>
        <w:spacing w:after="0" w:line="237" w:lineRule="auto"/>
        <w:tabs>
          <w:tab w:leader="none" w:pos="1300" w:val="left"/>
        </w:tabs>
        <w:numPr>
          <w:ilvl w:val="0"/>
          <w:numId w:val="45"/>
        </w:numPr>
        <w:rPr>
          <w:rFonts w:ascii="Georgia" w:cs="Georgia" w:eastAsia="Georgia" w:hAnsi="Georgia"/>
          <w:sz w:val="18"/>
          <w:szCs w:val="18"/>
          <w:color w:val="auto"/>
        </w:rPr>
      </w:pPr>
      <w:r>
        <w:rPr>
          <w:rFonts w:ascii="Georgia" w:cs="Georgia" w:eastAsia="Georgia" w:hAnsi="Georgia"/>
          <w:sz w:val="18"/>
          <w:szCs w:val="18"/>
          <w:i w:val="1"/>
          <w:iCs w:val="1"/>
          <w:color w:val="auto"/>
        </w:rPr>
        <w:t>Exploring combination therapies</w:t>
      </w:r>
      <w:r>
        <w:rPr>
          <w:rFonts w:ascii="Georgia" w:cs="Georgia" w:eastAsia="Georgia" w:hAnsi="Georgia"/>
          <w:sz w:val="18"/>
          <w:szCs w:val="18"/>
          <w:color w:val="auto"/>
        </w:rPr>
        <w:t>. We will seek to enter into collaborations with other companies to explore combination</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studies of our 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204" w:lineRule="exact"/>
        <w:rPr>
          <w:rFonts w:ascii="Georgia" w:cs="Georgia" w:eastAsia="Georgia" w:hAnsi="Georgia"/>
          <w:sz w:val="18"/>
          <w:szCs w:val="18"/>
          <w:color w:val="auto"/>
        </w:rPr>
      </w:pPr>
    </w:p>
    <w:p>
      <w:pPr>
        <w:ind w:left="1300" w:right="380" w:hanging="644"/>
        <w:spacing w:after="0" w:line="237" w:lineRule="auto"/>
        <w:tabs>
          <w:tab w:leader="none" w:pos="1300" w:val="left"/>
        </w:tabs>
        <w:numPr>
          <w:ilvl w:val="0"/>
          <w:numId w:val="45"/>
        </w:numPr>
        <w:rPr>
          <w:rFonts w:ascii="Georgia" w:cs="Georgia" w:eastAsia="Georgia" w:hAnsi="Georgia"/>
          <w:sz w:val="18"/>
          <w:szCs w:val="18"/>
          <w:color w:val="auto"/>
        </w:rPr>
      </w:pPr>
      <w:r>
        <w:rPr>
          <w:rFonts w:ascii="Georgia" w:cs="Georgia" w:eastAsia="Georgia" w:hAnsi="Georgia"/>
          <w:sz w:val="18"/>
          <w:szCs w:val="18"/>
          <w:i w:val="1"/>
          <w:iCs w:val="1"/>
          <w:color w:val="auto"/>
        </w:rPr>
        <w:t>Exploiting in-licensing opportunities with OSR</w:t>
      </w:r>
      <w:r>
        <w:rPr>
          <w:rFonts w:ascii="Georgia" w:cs="Georgia" w:eastAsia="Georgia" w:hAnsi="Georgia"/>
          <w:sz w:val="18"/>
          <w:szCs w:val="18"/>
          <w:color w:val="auto"/>
        </w:rPr>
        <w:t>. We intend to exploit in-licensing opportunities with OSR, a co-founding</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shareholder.</w:t>
      </w:r>
    </w:p>
    <w:p>
      <w:pPr>
        <w:spacing w:after="0" w:line="202"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Develop and maintain efficient manufacturing processes to support anticipated growth</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6" w:lineRule="exact"/>
        <w:rPr>
          <w:sz w:val="20"/>
          <w:szCs w:val="20"/>
          <w:color w:val="auto"/>
        </w:rPr>
      </w:pPr>
    </w:p>
    <w:p>
      <w:pPr>
        <w:ind w:right="300" w:firstLine="648"/>
        <w:spacing w:after="0" w:line="237" w:lineRule="auto"/>
        <w:rPr>
          <w:sz w:val="20"/>
          <w:szCs w:val="20"/>
          <w:color w:val="auto"/>
        </w:rPr>
      </w:pPr>
      <w:r>
        <w:rPr>
          <w:rFonts w:ascii="Georgia" w:cs="Georgia" w:eastAsia="Georgia" w:hAnsi="Georgia"/>
          <w:sz w:val="18"/>
          <w:szCs w:val="18"/>
          <w:b w:val="1"/>
          <w:bCs w:val="1"/>
          <w:i w:val="1"/>
          <w:iCs w:val="1"/>
          <w:color w:val="auto"/>
        </w:rPr>
        <w:t>Establish a patient-centered infrastructure and strong relationships with key U.S. opinion leaders working in our disease area</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Develop opportunistic partnership(s) with pharmaceutical company(s)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We may choose to partner with larger pharmaceutical companies whose core competencies and oncology strategies are in line with ours.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Our Strengths</w:t>
      </w:r>
    </w:p>
    <w:p>
      <w:pPr>
        <w:spacing w:after="0" w:line="202"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 xml:space="preserve">We believe that our growing body of early clinical data evidencing the potential of our autologous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05" w:lineRule="exact"/>
        <w:rPr>
          <w:sz w:val="20"/>
          <w:szCs w:val="20"/>
          <w:color w:val="auto"/>
        </w:rPr>
      </w:pPr>
    </w:p>
    <w:p>
      <w:pPr>
        <w:ind w:left="1300" w:hanging="644"/>
        <w:spacing w:after="0" w:line="237" w:lineRule="auto"/>
        <w:tabs>
          <w:tab w:leader="none" w:pos="1300" w:val="left"/>
        </w:tabs>
        <w:numPr>
          <w:ilvl w:val="0"/>
          <w:numId w:val="4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Unique and valuable expertise. </w:t>
      </w:r>
      <w:r>
        <w:rPr>
          <w:rFonts w:ascii="Georgia" w:cs="Georgia" w:eastAsia="Georgia" w:hAnsi="Georgia"/>
          <w:sz w:val="18"/>
          <w:szCs w:val="18"/>
          <w:color w:val="auto"/>
        </w:rPr>
        <w:t>We are conducting our clinical trials at OSR, a leading center for</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i w:val="1"/>
          <w:iCs w:val="1"/>
          <w:color w:val="auto"/>
        </w:rPr>
        <w:t>ex-vivo</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gene therapy</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 xml:space="preserve">for inherited diseases. 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2" w:name="page63"/>
    <w:bookmarkEnd w:id="62"/>
    <w:p>
      <w:pPr>
        <w:ind w:left="644" w:right="20" w:hanging="644"/>
        <w:spacing w:after="0" w:line="237" w:lineRule="auto"/>
        <w:tabs>
          <w:tab w:leader="none" w:pos="644" w:val="left"/>
        </w:tabs>
        <w:numPr>
          <w:ilvl w:val="0"/>
          <w:numId w:val="4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Deep pipeline with broad utility</w:t>
      </w:r>
      <w:r>
        <w:rPr>
          <w:rFonts w:ascii="Georgia" w:cs="Georgia" w:eastAsia="Georgia" w:hAnsi="Georgia"/>
          <w:sz w:val="18"/>
          <w:szCs w:val="18"/>
          <w:b w:val="1"/>
          <w:bCs w:val="1"/>
          <w:color w:val="auto"/>
        </w:rPr>
        <w:t>.</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We believe that the flexibility of our technology platform combined with our exclusive</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option rights to in-license additional programs, gives us the ability to grow our pipeline by targeting a broad set of cancer diseases.</w:t>
      </w:r>
    </w:p>
    <w:p>
      <w:pPr>
        <w:spacing w:after="0" w:line="204" w:lineRule="exact"/>
        <w:rPr>
          <w:rFonts w:ascii="Georgia" w:cs="Georgia" w:eastAsia="Georgia" w:hAnsi="Georgia"/>
          <w:sz w:val="18"/>
          <w:szCs w:val="18"/>
          <w:color w:val="auto"/>
        </w:rPr>
      </w:pPr>
    </w:p>
    <w:p>
      <w:pPr>
        <w:ind w:left="644" w:right="180" w:hanging="644"/>
        <w:spacing w:after="0" w:line="263" w:lineRule="auto"/>
        <w:tabs>
          <w:tab w:leader="none" w:pos="644" w:val="left"/>
        </w:tabs>
        <w:numPr>
          <w:ilvl w:val="0"/>
          <w:numId w:val="47"/>
        </w:numPr>
        <w:rPr>
          <w:rFonts w:ascii="Georgia" w:cs="Georgia" w:eastAsia="Georgia" w:hAnsi="Georgia"/>
          <w:sz w:val="17"/>
          <w:szCs w:val="17"/>
          <w:b w:val="1"/>
          <w:bCs w:val="1"/>
          <w:color w:val="auto"/>
        </w:rPr>
      </w:pPr>
      <w:r>
        <w:rPr>
          <w:rFonts w:ascii="Georgia" w:cs="Georgia" w:eastAsia="Georgia" w:hAnsi="Georgia"/>
          <w:sz w:val="17"/>
          <w:szCs w:val="17"/>
          <w:b w:val="1"/>
          <w:bCs w:val="1"/>
          <w:i w:val="1"/>
          <w:iCs w:val="1"/>
          <w:color w:val="auto"/>
        </w:rPr>
        <w:t>Durable therapeutic potential</w:t>
      </w:r>
      <w:r>
        <w:rPr>
          <w:rFonts w:ascii="Georgia" w:cs="Georgia" w:eastAsia="Georgia" w:hAnsi="Georgia"/>
          <w:sz w:val="17"/>
          <w:szCs w:val="17"/>
          <w:b w:val="1"/>
          <w:bCs w:val="1"/>
          <w:color w:val="auto"/>
        </w:rPr>
        <w:t>.</w:t>
      </w:r>
      <w:r>
        <w:rPr>
          <w:rFonts w:ascii="Georgia" w:cs="Georgia" w:eastAsia="Georgia" w:hAnsi="Georgia"/>
          <w:sz w:val="17"/>
          <w:szCs w:val="17"/>
          <w:b w:val="1"/>
          <w:bCs w:val="1"/>
          <w:i w:val="1"/>
          <w:iCs w:val="1"/>
          <w:color w:val="auto"/>
        </w:rPr>
        <w:t xml:space="preserve"> </w:t>
      </w:r>
      <w:r>
        <w:rPr>
          <w:rFonts w:ascii="Georgia" w:cs="Georgia" w:eastAsia="Georgia" w:hAnsi="Georgia"/>
          <w:sz w:val="17"/>
          <w:szCs w:val="17"/>
          <w:color w:val="auto"/>
        </w:rPr>
        <w:t>Preliminary interim clinical data collected from twelve treated uMGMT-GBM patients</w:t>
      </w:r>
      <w:r>
        <w:rPr>
          <w:rFonts w:ascii="Georgia" w:cs="Georgia" w:eastAsia="Georgia" w:hAnsi="Georgia"/>
          <w:sz w:val="17"/>
          <w:szCs w:val="17"/>
          <w:b w:val="1"/>
          <w:bCs w:val="1"/>
          <w:i w:val="1"/>
          <w:iCs w:val="1"/>
          <w:color w:val="auto"/>
        </w:rPr>
        <w:t xml:space="preserve"> </w:t>
      </w:r>
      <w:r>
        <w:rPr>
          <w:rFonts w:ascii="Georgia" w:cs="Georgia" w:eastAsia="Georgia" w:hAnsi="Georgia"/>
          <w:sz w:val="17"/>
          <w:szCs w:val="17"/>
          <w:color w:val="auto"/>
        </w:rPr>
        <w:t>following a single administration of Temferon displayed modified cells at 18 months, the last measured timepoint to date.</w:t>
      </w:r>
    </w:p>
    <w:p>
      <w:pPr>
        <w:spacing w:after="0" w:line="184" w:lineRule="exact"/>
        <w:rPr>
          <w:rFonts w:ascii="Georgia" w:cs="Georgia" w:eastAsia="Georgia" w:hAnsi="Georgia"/>
          <w:sz w:val="17"/>
          <w:szCs w:val="17"/>
          <w:b w:val="1"/>
          <w:bCs w:val="1"/>
          <w:color w:val="auto"/>
        </w:rPr>
      </w:pPr>
    </w:p>
    <w:p>
      <w:pPr>
        <w:ind w:left="644" w:hanging="644"/>
        <w:spacing w:after="0" w:line="237" w:lineRule="auto"/>
        <w:tabs>
          <w:tab w:leader="none" w:pos="644" w:val="left"/>
        </w:tabs>
        <w:numPr>
          <w:ilvl w:val="0"/>
          <w:numId w:val="47"/>
        </w:numPr>
        <w:rPr>
          <w:rFonts w:ascii="Georgia" w:cs="Georgia" w:eastAsia="Georgia" w:hAnsi="Georgia"/>
          <w:sz w:val="18"/>
          <w:szCs w:val="18"/>
          <w:b w:val="1"/>
          <w:bCs w:val="1"/>
          <w:color w:val="auto"/>
        </w:rPr>
      </w:pPr>
      <w:r>
        <w:rPr>
          <w:rFonts w:ascii="Georgia" w:cs="Georgia" w:eastAsia="Georgia" w:hAnsi="Georgia"/>
          <w:sz w:val="18"/>
          <w:szCs w:val="18"/>
          <w:b w:val="1"/>
          <w:bCs w:val="1"/>
          <w:i w:val="1"/>
          <w:iCs w:val="1"/>
          <w:color w:val="auto"/>
        </w:rPr>
        <w:t>Designed for tumor restricted therapeutic payload delivery and release</w:t>
      </w:r>
      <w:r>
        <w:rPr>
          <w:rFonts w:ascii="Georgia" w:cs="Georgia" w:eastAsia="Georgia" w:hAnsi="Georgia"/>
          <w:sz w:val="18"/>
          <w:szCs w:val="18"/>
          <w:b w:val="1"/>
          <w:bCs w:val="1"/>
          <w:color w:val="auto"/>
        </w:rPr>
        <w:t>.</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The design of our transgene expression</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cassette is intended to 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204" w:lineRule="exact"/>
        <w:rPr>
          <w:rFonts w:ascii="Georgia" w:cs="Georgia" w:eastAsia="Georgia" w:hAnsi="Georgia"/>
          <w:sz w:val="18"/>
          <w:szCs w:val="18"/>
          <w:b w:val="1"/>
          <w:bCs w:val="1"/>
          <w:color w:val="auto"/>
        </w:rPr>
      </w:pPr>
    </w:p>
    <w:p>
      <w:pPr>
        <w:jc w:val="both"/>
        <w:ind w:left="644" w:right="260" w:hanging="644"/>
        <w:spacing w:after="0" w:line="237" w:lineRule="auto"/>
        <w:tabs>
          <w:tab w:leader="none" w:pos="644" w:val="left"/>
        </w:tabs>
        <w:numPr>
          <w:ilvl w:val="0"/>
          <w:numId w:val="47"/>
        </w:numPr>
        <w:rPr>
          <w:rFonts w:ascii="Georgia" w:cs="Georgia" w:eastAsia="Georgia" w:hAnsi="Georgia"/>
          <w:sz w:val="18"/>
          <w:szCs w:val="18"/>
          <w:b w:val="1"/>
          <w:bCs w:val="1"/>
          <w:color w:val="auto"/>
        </w:rPr>
      </w:pPr>
      <w:r>
        <w:rPr>
          <w:rFonts w:ascii="Georgia" w:cs="Georgia" w:eastAsia="Georgia" w:hAnsi="Georgia"/>
          <w:sz w:val="18"/>
          <w:szCs w:val="18"/>
          <w:b w:val="1"/>
          <w:bCs w:val="1"/>
          <w:i w:val="1"/>
          <w:iCs w:val="1"/>
          <w:color w:val="auto"/>
        </w:rPr>
        <w:t xml:space="preserve">Agnostic approach. </w:t>
      </w:r>
      <w:r>
        <w:rPr>
          <w:rFonts w:ascii="Georgia" w:cs="Georgia" w:eastAsia="Georgia" w:hAnsi="Georgia"/>
          <w:sz w:val="18"/>
          <w:szCs w:val="18"/>
          <w:color w:val="auto"/>
        </w:rPr>
        <w:t>Our immune-gene therapy approach is designed to be a tumor-agnostic immunotherapy that does</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not rely on any specific target or tumor type, and we believe it could be successfully applied to a potentially broad range of cancers and immune contexts.</w:t>
      </w:r>
    </w:p>
    <w:p>
      <w:pPr>
        <w:spacing w:after="0" w:line="204" w:lineRule="exact"/>
        <w:rPr>
          <w:rFonts w:ascii="Georgia" w:cs="Georgia" w:eastAsia="Georgia" w:hAnsi="Georgia"/>
          <w:sz w:val="18"/>
          <w:szCs w:val="18"/>
          <w:b w:val="1"/>
          <w:bCs w:val="1"/>
          <w:color w:val="auto"/>
        </w:rPr>
      </w:pPr>
    </w:p>
    <w:p>
      <w:pPr>
        <w:ind w:left="644" w:right="20" w:hanging="644"/>
        <w:spacing w:after="0" w:line="237" w:lineRule="auto"/>
        <w:tabs>
          <w:tab w:leader="none" w:pos="644" w:val="left"/>
        </w:tabs>
        <w:numPr>
          <w:ilvl w:val="0"/>
          <w:numId w:val="47"/>
        </w:numPr>
        <w:rPr>
          <w:rFonts w:ascii="Georgia" w:cs="Georgia" w:eastAsia="Georgia" w:hAnsi="Georgia"/>
          <w:sz w:val="18"/>
          <w:szCs w:val="18"/>
          <w:b w:val="1"/>
          <w:bCs w:val="1"/>
          <w:color w:val="auto"/>
        </w:rPr>
      </w:pPr>
      <w:r>
        <w:rPr>
          <w:rFonts w:ascii="Georgia" w:cs="Georgia" w:eastAsia="Georgia" w:hAnsi="Georgia"/>
          <w:sz w:val="18"/>
          <w:szCs w:val="18"/>
          <w:b w:val="1"/>
          <w:bCs w:val="1"/>
          <w:i w:val="1"/>
          <w:iCs w:val="1"/>
          <w:color w:val="auto"/>
        </w:rPr>
        <w:t xml:space="preserve">Solid tumors targeting. </w:t>
      </w:r>
      <w:r>
        <w:rPr>
          <w:rFonts w:ascii="Georgia" w:cs="Georgia" w:eastAsia="Georgia" w:hAnsi="Georgia"/>
          <w:sz w:val="18"/>
          <w:szCs w:val="18"/>
          <w:color w:val="auto"/>
        </w:rPr>
        <w:t>Our platform has the potential to efficiently target solid tumors. Solid tumors are difficult to</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treat, even by the most novel and leading-edge technologies such as ICIs and CAR-T cells. Our cellular carrier, TEMs, is spontaneously and actively recruited by growing tumors and is found in several human solid tumors, irrespective of location.</w:t>
      </w:r>
    </w:p>
    <w:p>
      <w:pPr>
        <w:spacing w:after="0" w:line="204" w:lineRule="exact"/>
        <w:rPr>
          <w:rFonts w:ascii="Georgia" w:cs="Georgia" w:eastAsia="Georgia" w:hAnsi="Georgia"/>
          <w:sz w:val="18"/>
          <w:szCs w:val="18"/>
          <w:b w:val="1"/>
          <w:bCs w:val="1"/>
          <w:color w:val="auto"/>
        </w:rPr>
      </w:pPr>
    </w:p>
    <w:p>
      <w:pPr>
        <w:ind w:left="644" w:right="380" w:hanging="644"/>
        <w:spacing w:after="0" w:line="237" w:lineRule="auto"/>
        <w:tabs>
          <w:tab w:leader="none" w:pos="644" w:val="left"/>
        </w:tabs>
        <w:numPr>
          <w:ilvl w:val="0"/>
          <w:numId w:val="4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Active and sustained tumor surveillance. </w:t>
      </w:r>
      <w:r>
        <w:rPr>
          <w:rFonts w:ascii="Georgia" w:cs="Georgia" w:eastAsia="Georgia" w:hAnsi="Georgia"/>
          <w:sz w:val="18"/>
          <w:szCs w:val="18"/>
          <w:color w:val="auto"/>
        </w:rPr>
        <w:t>Our immune-gene investigational therapy is designed to trigger the</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patient’s own immune response and establish 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204" w:lineRule="exact"/>
        <w:rPr>
          <w:rFonts w:ascii="Georgia" w:cs="Georgia" w:eastAsia="Georgia" w:hAnsi="Georgia"/>
          <w:sz w:val="18"/>
          <w:szCs w:val="18"/>
          <w:color w:val="auto"/>
        </w:rPr>
      </w:pPr>
    </w:p>
    <w:p>
      <w:pPr>
        <w:ind w:left="644" w:right="620" w:hanging="644"/>
        <w:spacing w:after="0" w:line="237" w:lineRule="auto"/>
        <w:tabs>
          <w:tab w:leader="none" w:pos="644" w:val="left"/>
        </w:tabs>
        <w:numPr>
          <w:ilvl w:val="0"/>
          <w:numId w:val="4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Fine dose tuning. </w:t>
      </w:r>
      <w:r>
        <w:rPr>
          <w:rFonts w:ascii="Georgia" w:cs="Georgia" w:eastAsia="Georgia" w:hAnsi="Georgia"/>
          <w:sz w:val="18"/>
          <w:szCs w:val="18"/>
          <w:color w:val="auto"/>
        </w:rPr>
        <w:t>Our platform holds promise to fine tune the dose to be administered based on individual patient</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characteristics.</w:t>
      </w:r>
    </w:p>
    <w:p>
      <w:pPr>
        <w:spacing w:after="0" w:line="203" w:lineRule="exact"/>
        <w:rPr>
          <w:rFonts w:ascii="Georgia" w:cs="Georgia" w:eastAsia="Georgia" w:hAnsi="Georgia"/>
          <w:sz w:val="18"/>
          <w:szCs w:val="18"/>
          <w:color w:val="auto"/>
        </w:rPr>
      </w:pPr>
    </w:p>
    <w:p>
      <w:pPr>
        <w:ind w:left="644" w:right="60" w:hanging="644"/>
        <w:spacing w:after="0" w:line="237" w:lineRule="auto"/>
        <w:tabs>
          <w:tab w:leader="none" w:pos="644" w:val="left"/>
        </w:tabs>
        <w:numPr>
          <w:ilvl w:val="0"/>
          <w:numId w:val="4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Preliminary data indicate that our approach is feasible and well-tolerated. </w:t>
      </w:r>
      <w:r>
        <w:rPr>
          <w:rFonts w:ascii="Georgia" w:cs="Georgia" w:eastAsia="Georgia" w:hAnsi="Georgia"/>
          <w:sz w:val="18"/>
          <w:szCs w:val="18"/>
          <w:color w:val="auto"/>
        </w:rPr>
        <w:t>Temferon has been well-tolerated</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 xml:space="preserve">in the limited number of patients treated to date. Our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modification of the patient’s own HSPCs and cryopreservation allow us to formulate the patient’s drug product prior to administering the therapy.</w:t>
      </w:r>
    </w:p>
    <w:p>
      <w:pPr>
        <w:spacing w:after="0" w:line="204" w:lineRule="exact"/>
        <w:rPr>
          <w:rFonts w:ascii="Georgia" w:cs="Georgia" w:eastAsia="Georgia" w:hAnsi="Georgia"/>
          <w:sz w:val="18"/>
          <w:szCs w:val="18"/>
          <w:color w:val="auto"/>
        </w:rPr>
      </w:pPr>
    </w:p>
    <w:p>
      <w:pPr>
        <w:ind w:left="644" w:right="100" w:hanging="644"/>
        <w:spacing w:after="0" w:line="237" w:lineRule="auto"/>
        <w:tabs>
          <w:tab w:leader="none" w:pos="644" w:val="left"/>
        </w:tabs>
        <w:numPr>
          <w:ilvl w:val="0"/>
          <w:numId w:val="4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LVV as transgene payload delivery vehicles. </w:t>
      </w:r>
      <w:r>
        <w:rPr>
          <w:rFonts w:ascii="Georgia" w:cs="Georgia" w:eastAsia="Georgia" w:hAnsi="Georgia"/>
          <w:sz w:val="18"/>
          <w:szCs w:val="18"/>
          <w:color w:val="auto"/>
        </w:rPr>
        <w:t>LVVs are particularly attractive for clinical applications due to their</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 xml:space="preserve">capacity to transfer large 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approach.</w:t>
      </w:r>
    </w:p>
    <w:p>
      <w:pPr>
        <w:spacing w:after="0" w:line="206" w:lineRule="exact"/>
        <w:rPr>
          <w:rFonts w:ascii="Georgia" w:cs="Georgia" w:eastAsia="Georgia" w:hAnsi="Georgia"/>
          <w:sz w:val="18"/>
          <w:szCs w:val="18"/>
          <w:color w:val="auto"/>
        </w:rPr>
      </w:pPr>
    </w:p>
    <w:p>
      <w:pPr>
        <w:ind w:left="644" w:right="20" w:hanging="644"/>
        <w:spacing w:after="0" w:line="237" w:lineRule="auto"/>
        <w:tabs>
          <w:tab w:leader="none" w:pos="644" w:val="left"/>
        </w:tabs>
        <w:numPr>
          <w:ilvl w:val="0"/>
          <w:numId w:val="4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Applicability to a potentially large number of patients and indications</w:t>
      </w:r>
      <w:r>
        <w:rPr>
          <w:rFonts w:ascii="Georgia" w:cs="Georgia" w:eastAsia="Georgia" w:hAnsi="Georgia"/>
          <w:sz w:val="18"/>
          <w:szCs w:val="18"/>
          <w:color w:val="auto"/>
        </w:rPr>
        <w:t>. We believe our autologous</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i w:val="1"/>
          <w:iCs w:val="1"/>
          <w:color w:val="auto"/>
        </w:rPr>
        <w:t>ex-vivo</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gene</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 xml:space="preserve">therapy approach has broad therapeutic potential across a large number of malignancies. The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18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690" w:right="379" w:bottom="1440" w:gutter="0" w:footer="0" w:header="0"/>
        </w:sectPr>
      </w:pPr>
    </w:p>
    <w:bookmarkStart w:id="63" w:name="page64"/>
    <w:bookmarkEnd w:id="63"/>
    <w:p>
      <w:pPr>
        <w:ind w:left="660"/>
        <w:spacing w:after="0"/>
        <w:rPr>
          <w:sz w:val="20"/>
          <w:szCs w:val="20"/>
          <w:color w:val="auto"/>
        </w:rPr>
      </w:pPr>
      <w:r>
        <w:rPr>
          <w:rFonts w:ascii="Georgia" w:cs="Georgia" w:eastAsia="Georgia" w:hAnsi="Georgia"/>
          <w:sz w:val="18"/>
          <w:szCs w:val="18"/>
          <w:b w:val="1"/>
          <w:bCs w:val="1"/>
          <w:color w:val="auto"/>
        </w:rPr>
        <w:t>Status of Current IO Treatments</w:t>
      </w:r>
    </w:p>
    <w:p>
      <w:pPr>
        <w:spacing w:after="0" w:line="202" w:lineRule="exact"/>
        <w:rPr>
          <w:sz w:val="20"/>
          <w:szCs w:val="20"/>
          <w:color w:val="auto"/>
        </w:rPr>
      </w:pPr>
    </w:p>
    <w:p>
      <w:pPr>
        <w:jc w:val="both"/>
        <w:ind w:right="160"/>
        <w:spacing w:after="0" w:line="237" w:lineRule="auto"/>
        <w:rPr>
          <w:sz w:val="20"/>
          <w:szCs w:val="20"/>
          <w:color w:val="auto"/>
        </w:rPr>
      </w:pPr>
      <w:r>
        <w:rPr>
          <w:rFonts w:ascii="Georgia" w:cs="Georgia" w:eastAsia="Georgia" w:hAnsi="Georgia"/>
          <w:sz w:val="18"/>
          <w:szCs w:val="18"/>
          <w:color w:val="auto"/>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w:t>
      </w:r>
    </w:p>
    <w:p>
      <w:pPr>
        <w:spacing w:after="0" w:line="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132080</wp:posOffset>
            </wp:positionV>
            <wp:extent cx="5323205" cy="4474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23205"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689" w:right="559" w:bottom="1440" w:gutter="0" w:footer="0" w:header="0"/>
        </w:sectPr>
      </w:pPr>
    </w:p>
    <w:bookmarkStart w:id="64" w:name="page65"/>
    <w:bookmarkEnd w:id="64"/>
    <w:p>
      <w:pPr>
        <w:ind w:left="660"/>
        <w:spacing w:after="0"/>
        <w:rPr>
          <w:sz w:val="20"/>
          <w:szCs w:val="20"/>
          <w:color w:val="auto"/>
        </w:rPr>
      </w:pPr>
      <w:r>
        <w:rPr>
          <w:rFonts w:ascii="Georgia" w:cs="Georgia" w:eastAsia="Georgia" w:hAnsi="Georgia"/>
          <w:sz w:val="18"/>
          <w:szCs w:val="18"/>
          <w:b w:val="1"/>
          <w:bCs w:val="1"/>
          <w:color w:val="auto"/>
        </w:rPr>
        <w:t>Current Limitations of IO Approaches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Despite significant advances, the clinical application of immunotherapy for cancer patients still faces challenges, including:</w:t>
      </w:r>
    </w:p>
    <w:p>
      <w:pPr>
        <w:spacing w:after="0" w:line="200" w:lineRule="exact"/>
        <w:rPr>
          <w:sz w:val="20"/>
          <w:szCs w:val="20"/>
          <w:color w:val="auto"/>
        </w:rPr>
      </w:pPr>
    </w:p>
    <w:p>
      <w:pPr>
        <w:ind w:left="1300" w:hanging="644"/>
        <w:spacing w:after="0"/>
        <w:tabs>
          <w:tab w:leader="none" w:pos="130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Development of tumor resistance (positive selection of tumor cells bearing advantageous mutations);</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Dependence on specific targets;</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Poor response for many patients;</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Lack of a durable response;</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Side effects;</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Need for multiple dosing for most IO classes; and</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Inability to efficiently target many solid tumors.</w:t>
      </w:r>
    </w:p>
    <w:p>
      <w:pPr>
        <w:spacing w:after="0" w:line="202" w:lineRule="exact"/>
        <w:rPr>
          <w:sz w:val="20"/>
          <w:szCs w:val="20"/>
          <w:color w:val="auto"/>
        </w:rPr>
      </w:pPr>
    </w:p>
    <w:p>
      <w:pPr>
        <w:ind w:right="460"/>
        <w:spacing w:after="0" w:line="237" w:lineRule="auto"/>
        <w:rPr>
          <w:sz w:val="20"/>
          <w:szCs w:val="20"/>
          <w:color w:val="auto"/>
        </w:rPr>
      </w:pPr>
      <w:r>
        <w:rPr>
          <w:rFonts w:ascii="Georgia" w:cs="Georgia" w:eastAsia="Georgia" w:hAnsi="Georgia"/>
          <w:sz w:val="18"/>
          <w:szCs w:val="18"/>
          <w:color w:val="auto"/>
        </w:rPr>
        <w:t>In addition, manufacturing scalability of some IO approaches remains a challenge and significantly limits market penetration. The table below reports some of the main limitations for each IO class.</w:t>
      </w:r>
    </w:p>
    <w:p>
      <w:pPr>
        <w:sectPr>
          <w:pgSz w:w="11900" w:h="16838" w:orient="portrait"/>
          <w:cols w:equalWidth="0" w:num="1">
            <w:col w:w="11220"/>
          </w:cols>
          <w:pgMar w:left="320" w:top="689" w:right="359" w:bottom="1440" w:gutter="0" w:footer="0" w:header="0"/>
        </w:sect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IO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543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Cell-based immunotherapies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Antibody-based targeted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Oncolytic viruses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7"/>
        <w:spacing w:after="0"/>
        <w:rPr>
          <w:sz w:val="20"/>
          <w:szCs w:val="20"/>
          <w:color w:val="auto"/>
        </w:rPr>
      </w:pPr>
      <w:r>
        <w:rPr>
          <w:rFonts w:ascii="Georgia" w:cs="Georgia" w:eastAsia="Georgia" w:hAnsi="Georgia"/>
          <w:sz w:val="18"/>
          <w:szCs w:val="18"/>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1319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line="207" w:lineRule="exact"/>
        <w:rPr>
          <w:sz w:val="20"/>
          <w:szCs w:val="20"/>
          <w:color w:val="auto"/>
        </w:rPr>
      </w:pPr>
    </w:p>
    <w:p>
      <w:pPr>
        <w:ind w:left="667" w:hanging="667"/>
        <w:spacing w:after="0"/>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Graft versus host disease (GVHD)</w:t>
      </w: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Only a limited number of antigens may be targeted currently</w:t>
      </w: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Inability to target multiple antigens at the same time</w:t>
      </w: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Some antigens targeting may be ineffective</w:t>
      </w:r>
    </w:p>
    <w:p>
      <w:pPr>
        <w:ind w:left="667" w:right="12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The majority of TILs within the tumor microenvironment are exhausted so even tumor-specific T cells are hypo-responsive</w:t>
      </w:r>
    </w:p>
    <w:p>
      <w:pPr>
        <w:spacing w:after="0" w:line="1" w:lineRule="exact"/>
        <w:rPr>
          <w:rFonts w:ascii="Georgia" w:cs="Georgia" w:eastAsia="Georgia" w:hAnsi="Georgia"/>
          <w:sz w:val="18"/>
          <w:szCs w:val="18"/>
          <w:color w:val="auto"/>
        </w:rPr>
      </w:pPr>
    </w:p>
    <w:p>
      <w:pPr>
        <w:jc w:val="both"/>
        <w:ind w:left="667" w:right="16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CAR-T cells can only recognize antigens that are naturally expressed on the cell surface, so the range of potential antigen targets is smaller than with TCRs</w:t>
      </w:r>
    </w:p>
    <w:p>
      <w:pPr>
        <w:spacing w:after="0" w:line="1" w:lineRule="exact"/>
        <w:rPr>
          <w:rFonts w:ascii="Georgia" w:cs="Georgia" w:eastAsia="Georgia" w:hAnsi="Georgia"/>
          <w:sz w:val="18"/>
          <w:szCs w:val="18"/>
          <w:color w:val="auto"/>
        </w:rPr>
      </w:pPr>
    </w:p>
    <w:p>
      <w:pPr>
        <w:ind w:left="-233" w:right="300" w:firstLine="233"/>
        <w:spacing w:after="0" w:line="239" w:lineRule="auto"/>
        <w:tabs>
          <w:tab w:leader="none" w:pos="672"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 xml:space="preserve">Presence of target-negative tumor cells cause relapse in the long-term </w:t>
      </w:r>
      <w:r>
        <w:rPr>
          <w:rFonts w:ascii="Georgia" w:cs="Georgia" w:eastAsia="Georgia" w:hAnsi="Georgia"/>
          <w:sz w:val="1"/>
          <w:szCs w:val="1"/>
          <w:color w:val="auto"/>
        </w:rPr>
        <w:drawing>
          <wp:inline distT="0" distB="0" distL="0" distR="0">
            <wp:extent cx="146050" cy="10477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104775"/>
                    </a:xfrm>
                    <a:prstGeom prst="rect">
                      <a:avLst/>
                    </a:prstGeom>
                    <a:noFill/>
                    <a:ln>
                      <a:noFill/>
                    </a:ln>
                  </pic:spPr>
                </pic:pic>
              </a:graphicData>
            </a:graphic>
          </wp:inline>
        </w:drawing>
      </w:r>
      <w:r>
        <w:rPr>
          <w:rFonts w:ascii="Georgia" w:cs="Georgia" w:eastAsia="Georgia" w:hAnsi="Georgia"/>
          <w:sz w:val="18"/>
          <w:szCs w:val="18"/>
          <w:color w:val="auto"/>
        </w:rPr>
        <w:t>● Limited penetration and distribution into solid tumor tissues</w:t>
      </w:r>
    </w:p>
    <w:p>
      <w:pPr>
        <w:spacing w:after="0" w:line="200" w:lineRule="exact"/>
        <w:rPr>
          <w:rFonts w:ascii="Georgia" w:cs="Georgia" w:eastAsia="Georgia" w:hAnsi="Georgia"/>
          <w:sz w:val="18"/>
          <w:szCs w:val="18"/>
          <w:color w:val="auto"/>
        </w:rPr>
      </w:pPr>
    </w:p>
    <w:p>
      <w:pPr>
        <w:ind w:left="667" w:right="26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Loss of self-tolerance (establishment of autoimmunity associated with failure of tumor rejection)</w:t>
      </w:r>
    </w:p>
    <w:p>
      <w:pPr>
        <w:spacing w:after="0" w:line="1" w:lineRule="exact"/>
        <w:rPr>
          <w:rFonts w:ascii="Georgia" w:cs="Georgia" w:eastAsia="Georgia" w:hAnsi="Georgia"/>
          <w:sz w:val="18"/>
          <w:szCs w:val="18"/>
          <w:color w:val="auto"/>
        </w:rPr>
      </w:pPr>
    </w:p>
    <w:p>
      <w:pPr>
        <w:ind w:left="667" w:right="8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Absence of reliable biomarkers and thresholds to identify the most likely responsive population</w:t>
      </w:r>
    </w:p>
    <w:p>
      <w:pPr>
        <w:spacing w:after="0" w:line="1" w:lineRule="exact"/>
        <w:rPr>
          <w:rFonts w:ascii="Georgia" w:cs="Georgia" w:eastAsia="Georgia" w:hAnsi="Georgia"/>
          <w:sz w:val="18"/>
          <w:szCs w:val="18"/>
          <w:color w:val="auto"/>
        </w:rPr>
      </w:pPr>
    </w:p>
    <w:p>
      <w:pPr>
        <w:ind w:left="667" w:right="24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Induction of overactive immune responses as well off-target responses against healthy cells</w:t>
      </w:r>
    </w:p>
    <w:p>
      <w:pPr>
        <w:spacing w:after="0" w:line="1" w:lineRule="exact"/>
        <w:rPr>
          <w:rFonts w:ascii="Georgia" w:cs="Georgia" w:eastAsia="Georgia" w:hAnsi="Georgia"/>
          <w:sz w:val="18"/>
          <w:szCs w:val="18"/>
          <w:color w:val="auto"/>
        </w:rPr>
      </w:pPr>
    </w:p>
    <w:p>
      <w:pPr>
        <w:ind w:left="667" w:hanging="667"/>
        <w:spacing w:after="0" w:line="238"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Limited penetration and distribution into solid tumor tissues</w:t>
      </w:r>
    </w:p>
    <w:p>
      <w:pPr>
        <w:spacing w:after="0" w:line="202" w:lineRule="exact"/>
        <w:rPr>
          <w:rFonts w:ascii="Georgia" w:cs="Georgia" w:eastAsia="Georgia" w:hAnsi="Georgia"/>
          <w:sz w:val="18"/>
          <w:szCs w:val="18"/>
          <w:color w:val="auto"/>
        </w:rPr>
      </w:pPr>
    </w:p>
    <w:p>
      <w:pPr>
        <w:ind w:left="667" w:right="4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Absence of universal antigens (each individual’s tumor is unique and has its own distinguishing antigens)</w:t>
      </w:r>
    </w:p>
    <w:p>
      <w:pPr>
        <w:spacing w:after="0" w:line="1" w:lineRule="exact"/>
        <w:rPr>
          <w:rFonts w:ascii="Georgia" w:cs="Georgia" w:eastAsia="Georgia" w:hAnsi="Georgia"/>
          <w:sz w:val="18"/>
          <w:szCs w:val="18"/>
          <w:color w:val="auto"/>
        </w:rPr>
      </w:pPr>
    </w:p>
    <w:p>
      <w:pPr>
        <w:ind w:left="667" w:hanging="667"/>
        <w:spacing w:after="0" w:line="238"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Presence of a compromised/weak/immunosuppressed immune system</w:t>
      </w:r>
    </w:p>
    <w:p>
      <w:pPr>
        <w:spacing w:after="0" w:line="202" w:lineRule="exact"/>
        <w:rPr>
          <w:rFonts w:ascii="Georgia" w:cs="Georgia" w:eastAsia="Georgia" w:hAnsi="Georgia"/>
          <w:sz w:val="18"/>
          <w:szCs w:val="18"/>
          <w:color w:val="auto"/>
        </w:rPr>
      </w:pPr>
    </w:p>
    <w:p>
      <w:pPr>
        <w:ind w:left="667" w:right="10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2" w:lineRule="exact"/>
        <w:rPr>
          <w:rFonts w:ascii="Georgia" w:cs="Georgia" w:eastAsia="Georgia" w:hAnsi="Georgia"/>
          <w:sz w:val="18"/>
          <w:szCs w:val="18"/>
          <w:color w:val="auto"/>
        </w:rPr>
      </w:pP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Low binding affinity between the antibody and its receptor</w:t>
      </w: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Antibody uptake limit</w:t>
      </w:r>
    </w:p>
    <w:p>
      <w:pPr>
        <w:ind w:left="667" w:right="8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Competition for target binding between the therapeutic antibodies and a patient’s antibodies</w:t>
      </w:r>
    </w:p>
    <w:p>
      <w:pPr>
        <w:spacing w:after="0" w:line="1" w:lineRule="exact"/>
        <w:rPr>
          <w:rFonts w:ascii="Georgia" w:cs="Georgia" w:eastAsia="Georgia" w:hAnsi="Georgia"/>
          <w:sz w:val="18"/>
          <w:szCs w:val="18"/>
          <w:color w:val="auto"/>
        </w:rPr>
      </w:pPr>
    </w:p>
    <w:p>
      <w:pPr>
        <w:ind w:left="667" w:right="22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Speed of diffusion through tumors is mAb size dependent (large tumor masses may be more difficult to treat by mAb therapy)</w:t>
      </w:r>
    </w:p>
    <w:p>
      <w:pPr>
        <w:spacing w:after="0" w:line="203" w:lineRule="exact"/>
        <w:rPr>
          <w:rFonts w:ascii="Georgia" w:cs="Georgia" w:eastAsia="Georgia" w:hAnsi="Georgia"/>
          <w:sz w:val="18"/>
          <w:szCs w:val="18"/>
          <w:color w:val="auto"/>
        </w:rPr>
      </w:pP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Development of neutralizing antibodies by the host, which limits the viral delivery to cancer sites and the therapeutic effect</w:t>
      </w:r>
    </w:p>
    <w:p>
      <w:pPr>
        <w:spacing w:after="0" w:line="1" w:lineRule="exact"/>
        <w:rPr>
          <w:rFonts w:ascii="Georgia" w:cs="Georgia" w:eastAsia="Georgia" w:hAnsi="Georgia"/>
          <w:sz w:val="18"/>
          <w:szCs w:val="18"/>
          <w:color w:val="auto"/>
        </w:rPr>
      </w:pP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Limited penetration and distribution of the virus into tumor tissues</w:t>
      </w: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Limited viral tropism and oncolysis capacity</w:t>
      </w:r>
    </w:p>
    <w:p>
      <w:pPr>
        <w:ind w:left="667"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Tricky dosing strategies</w:t>
      </w:r>
    </w:p>
    <w:p>
      <w:pPr>
        <w:ind w:left="667" w:right="240" w:hanging="667"/>
        <w:spacing w:after="0" w:line="237"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Induction of overactive immune responses as well off-target responses against healthy cells</w:t>
      </w:r>
    </w:p>
    <w:p>
      <w:pPr>
        <w:spacing w:after="0" w:line="1" w:lineRule="exact"/>
        <w:rPr>
          <w:rFonts w:ascii="Georgia" w:cs="Georgia" w:eastAsia="Georgia" w:hAnsi="Georgia"/>
          <w:sz w:val="18"/>
          <w:szCs w:val="18"/>
          <w:color w:val="auto"/>
        </w:rPr>
      </w:pPr>
    </w:p>
    <w:p>
      <w:pPr>
        <w:ind w:left="667" w:hanging="667"/>
        <w:spacing w:after="0" w:line="238" w:lineRule="auto"/>
        <w:tabs>
          <w:tab w:leader="none" w:pos="667"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-5527040</wp:posOffset>
            </wp:positionV>
            <wp:extent cx="7132320" cy="141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-2955290</wp:posOffset>
            </wp:positionV>
            <wp:extent cx="7132320" cy="386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-1026160</wp:posOffset>
            </wp:positionV>
            <wp:extent cx="7132320" cy="1028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167" w:lineRule="exact"/>
        <w:rPr>
          <w:sz w:val="20"/>
          <w:szCs w:val="20"/>
          <w:color w:val="auto"/>
        </w:rPr>
      </w:pPr>
    </w:p>
    <w:p>
      <w:pPr>
        <w:ind w:left="807"/>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13" w:space="720"/>
            <w:col w:w="6487"/>
          </w:cols>
          <w:pgMar w:left="320" w:top="689" w:right="359" w:bottom="1440" w:gutter="0" w:footer="0" w:header="0"/>
          <w:type w:val="continuous"/>
        </w:sectPr>
      </w:pPr>
    </w:p>
    <w:bookmarkStart w:id="65" w:name="page66"/>
    <w:bookmarkEnd w:id="65"/>
    <w:p>
      <w:pPr>
        <w:ind w:left="660"/>
        <w:spacing w:after="0"/>
        <w:rPr>
          <w:sz w:val="20"/>
          <w:szCs w:val="20"/>
          <w:color w:val="auto"/>
        </w:rPr>
      </w:pPr>
      <w:r>
        <w:rPr>
          <w:rFonts w:ascii="Georgia" w:cs="Georgia" w:eastAsia="Georgia" w:hAnsi="Georgia"/>
          <w:sz w:val="18"/>
          <w:szCs w:val="18"/>
          <w:b w:val="1"/>
          <w:bCs w:val="1"/>
          <w:color w:val="auto"/>
        </w:rPr>
        <w:t>IO for Solid Tumors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To overcome the current limitations of IO therapies in solid tumors, a new, effective tumor therapeutic must:</w:t>
      </w:r>
    </w:p>
    <w:p>
      <w:pPr>
        <w:spacing w:after="0" w:line="200" w:lineRule="exact"/>
        <w:rPr>
          <w:sz w:val="20"/>
          <w:szCs w:val="20"/>
          <w:color w:val="auto"/>
        </w:rPr>
      </w:pPr>
    </w:p>
    <w:p>
      <w:pPr>
        <w:ind w:left="1300" w:hanging="644"/>
        <w:spacing w:after="0"/>
        <w:tabs>
          <w:tab w:leader="none" w:pos="1300" w:val="left"/>
        </w:tabs>
        <w:numPr>
          <w:ilvl w:val="0"/>
          <w:numId w:val="50"/>
        </w:numPr>
        <w:rPr>
          <w:rFonts w:ascii="Georgia" w:cs="Georgia" w:eastAsia="Georgia" w:hAnsi="Georgia"/>
          <w:sz w:val="18"/>
          <w:szCs w:val="18"/>
          <w:color w:val="auto"/>
        </w:rPr>
      </w:pPr>
      <w:r>
        <w:rPr>
          <w:rFonts w:ascii="Georgia" w:cs="Georgia" w:eastAsia="Georgia" w:hAnsi="Georgia"/>
          <w:sz w:val="18"/>
          <w:szCs w:val="18"/>
          <w:color w:val="auto"/>
        </w:rPr>
        <w:t>achieve a local and tumor-targeted delivery;</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50"/>
        </w:numPr>
        <w:rPr>
          <w:rFonts w:ascii="Georgia" w:cs="Georgia" w:eastAsia="Georgia" w:hAnsi="Georgia"/>
          <w:sz w:val="18"/>
          <w:szCs w:val="18"/>
          <w:color w:val="auto"/>
        </w:rPr>
      </w:pPr>
      <w:r>
        <w:rPr>
          <w:rFonts w:ascii="Georgia" w:cs="Georgia" w:eastAsia="Georgia" w:hAnsi="Georgia"/>
          <w:sz w:val="18"/>
          <w:szCs w:val="18"/>
          <w:color w:val="auto"/>
        </w:rPr>
        <w:t>maximize on-target effects;</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50"/>
        </w:numPr>
        <w:rPr>
          <w:rFonts w:ascii="Georgia" w:cs="Georgia" w:eastAsia="Georgia" w:hAnsi="Georgia"/>
          <w:sz w:val="18"/>
          <w:szCs w:val="18"/>
          <w:color w:val="auto"/>
        </w:rPr>
      </w:pPr>
      <w:r>
        <w:rPr>
          <w:rFonts w:ascii="Georgia" w:cs="Georgia" w:eastAsia="Georgia" w:hAnsi="Georgia"/>
          <w:sz w:val="18"/>
          <w:szCs w:val="18"/>
          <w:color w:val="auto"/>
        </w:rPr>
        <w:t>reach the desired therapeutic index;</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50"/>
        </w:numPr>
        <w:rPr>
          <w:rFonts w:ascii="Georgia" w:cs="Georgia" w:eastAsia="Georgia" w:hAnsi="Georgia"/>
          <w:sz w:val="18"/>
          <w:szCs w:val="18"/>
          <w:color w:val="auto"/>
        </w:rPr>
      </w:pPr>
      <w:r>
        <w:rPr>
          <w:rFonts w:ascii="Georgia" w:cs="Georgia" w:eastAsia="Georgia" w:hAnsi="Georgia"/>
          <w:sz w:val="18"/>
          <w:szCs w:val="18"/>
          <w:color w:val="auto"/>
        </w:rPr>
        <w:t>minimize the off-target side effects; and</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50"/>
        </w:numPr>
        <w:rPr>
          <w:rFonts w:ascii="Georgia" w:cs="Georgia" w:eastAsia="Georgia" w:hAnsi="Georgia"/>
          <w:sz w:val="18"/>
          <w:szCs w:val="18"/>
          <w:color w:val="auto"/>
        </w:rPr>
      </w:pPr>
      <w:r>
        <w:rPr>
          <w:rFonts w:ascii="Georgia" w:cs="Georgia" w:eastAsia="Georgia" w:hAnsi="Georgia"/>
          <w:sz w:val="18"/>
          <w:szCs w:val="18"/>
          <w:color w:val="auto"/>
        </w:rPr>
        <w:t>potentially provide long term results.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Our Platform</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206"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 xml:space="preserve">Specifically, we adapted an autologous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1" w:lineRule="exact"/>
        <w:rPr>
          <w:sz w:val="20"/>
          <w:szCs w:val="20"/>
          <w:color w:val="auto"/>
        </w:rPr>
      </w:pPr>
    </w:p>
    <w:p>
      <w:pPr>
        <w:spacing w:after="0"/>
        <w:rPr>
          <w:sz w:val="20"/>
          <w:szCs w:val="20"/>
          <w:color w:val="auto"/>
        </w:rPr>
      </w:pPr>
      <w:r>
        <w:rPr>
          <w:rFonts w:ascii="Georgia" w:cs="Georgia" w:eastAsia="Georgia" w:hAnsi="Georgia"/>
          <w:sz w:val="18"/>
          <w:szCs w:val="18"/>
          <w:color w:val="auto"/>
        </w:rPr>
        <w:t>Our platform technology employs the following key components:</w:t>
      </w:r>
    </w:p>
    <w:p>
      <w:pPr>
        <w:spacing w:after="0" w:line="200" w:lineRule="exact"/>
        <w:rPr>
          <w:sz w:val="20"/>
          <w:szCs w:val="20"/>
          <w:color w:val="auto"/>
        </w:rPr>
      </w:pPr>
    </w:p>
    <w:p>
      <w:pPr>
        <w:ind w:left="1300" w:hanging="644"/>
        <w:spacing w:after="0"/>
        <w:tabs>
          <w:tab w:leader="none" w:pos="1300" w:val="left"/>
        </w:tabs>
        <w:numPr>
          <w:ilvl w:val="0"/>
          <w:numId w:val="51"/>
        </w:numPr>
        <w:rPr>
          <w:rFonts w:ascii="Georgia" w:cs="Georgia" w:eastAsia="Georgia" w:hAnsi="Georgia"/>
          <w:sz w:val="18"/>
          <w:szCs w:val="18"/>
          <w:color w:val="auto"/>
        </w:rPr>
      </w:pPr>
      <w:r>
        <w:rPr>
          <w:rFonts w:ascii="Georgia" w:cs="Georgia" w:eastAsia="Georgia" w:hAnsi="Georgia"/>
          <w:sz w:val="18"/>
          <w:szCs w:val="18"/>
          <w:color w:val="auto"/>
        </w:rPr>
        <w:t>use of the patient’s own autologous HSPCs;</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51"/>
        </w:numPr>
        <w:rPr>
          <w:rFonts w:ascii="Georgia" w:cs="Georgia" w:eastAsia="Georgia" w:hAnsi="Georgia"/>
          <w:sz w:val="18"/>
          <w:szCs w:val="18"/>
          <w:color w:val="auto"/>
        </w:rPr>
      </w:pPr>
      <w:r>
        <w:rPr>
          <w:rFonts w:ascii="Georgia" w:cs="Georgia" w:eastAsia="Georgia" w:hAnsi="Georgia"/>
          <w:sz w:val="18"/>
          <w:szCs w:val="18"/>
          <w:color w:val="auto"/>
        </w:rPr>
        <w:t xml:space="preserve">use of LVVs for </w:t>
      </w:r>
      <w:r>
        <w:rPr>
          <w:rFonts w:ascii="Georgia" w:cs="Georgia" w:eastAsia="Georgia" w:hAnsi="Georgia"/>
          <w:sz w:val="18"/>
          <w:szCs w:val="18"/>
          <w:i w:val="1"/>
          <w:iCs w:val="1"/>
          <w:color w:val="auto"/>
        </w:rPr>
        <w:t>ex vivo</w:t>
      </w:r>
      <w:r>
        <w:rPr>
          <w:rFonts w:ascii="Georgia" w:cs="Georgia" w:eastAsia="Georgia" w:hAnsi="Georgia"/>
          <w:sz w:val="18"/>
          <w:szCs w:val="18"/>
          <w:color w:val="auto"/>
        </w:rPr>
        <w:t xml:space="preserve"> HSPCs transduction; and</w:t>
      </w:r>
    </w:p>
    <w:p>
      <w:pPr>
        <w:spacing w:after="0" w:line="201" w:lineRule="exact"/>
        <w:rPr>
          <w:rFonts w:ascii="Georgia" w:cs="Georgia" w:eastAsia="Georgia" w:hAnsi="Georgia"/>
          <w:sz w:val="18"/>
          <w:szCs w:val="18"/>
          <w:color w:val="auto"/>
        </w:rPr>
      </w:pPr>
    </w:p>
    <w:p>
      <w:pPr>
        <w:ind w:left="1300" w:right="60" w:hanging="644"/>
        <w:spacing w:after="0" w:line="237" w:lineRule="auto"/>
        <w:tabs>
          <w:tab w:leader="none" w:pos="1300" w:val="left"/>
        </w:tabs>
        <w:numPr>
          <w:ilvl w:val="0"/>
          <w:numId w:val="51"/>
        </w:numPr>
        <w:rPr>
          <w:rFonts w:ascii="Georgia" w:cs="Georgia" w:eastAsia="Georgia" w:hAnsi="Georgia"/>
          <w:sz w:val="18"/>
          <w:szCs w:val="18"/>
          <w:color w:val="auto"/>
        </w:rPr>
      </w:pPr>
      <w:r>
        <w:rPr>
          <w:rFonts w:ascii="Georgia" w:cs="Georgia" w:eastAsia="Georgia" w:hAnsi="Georgia"/>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66" w:name="page67"/>
    <w:bookmarkEnd w:id="66"/>
    <w:p>
      <w:pPr>
        <w:spacing w:after="0"/>
        <w:rPr>
          <w:sz w:val="20"/>
          <w:szCs w:val="20"/>
          <w:color w:val="auto"/>
        </w:rPr>
      </w:pPr>
      <w:r>
        <w:rPr>
          <w:rFonts w:ascii="Georgia" w:cs="Georgia" w:eastAsia="Georgia" w:hAnsi="Georgia"/>
          <w:sz w:val="18"/>
          <w:szCs w:val="18"/>
          <w:color w:val="auto"/>
        </w:rPr>
        <w:t xml:space="preserve">The image below illustrates the steps of our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5314950" cy="27260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49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Illustration of our ex-vivo approach (steps 1-2-3) and treatment process (step 4)</w:t>
      </w:r>
    </w:p>
    <w:p>
      <w:pPr>
        <w:spacing w:after="0" w:line="202" w:lineRule="exact"/>
        <w:rPr>
          <w:sz w:val="20"/>
          <w:szCs w:val="20"/>
          <w:color w:val="auto"/>
        </w:rPr>
      </w:pPr>
    </w:p>
    <w:p>
      <w:pPr>
        <w:ind w:right="40" w:firstLine="8"/>
        <w:spacing w:after="0" w:line="237" w:lineRule="auto"/>
        <w:tabs>
          <w:tab w:leader="none" w:pos="256" w:val="left"/>
        </w:tabs>
        <w:numPr>
          <w:ilvl w:val="0"/>
          <w:numId w:val="52"/>
        </w:numPr>
        <w:rPr>
          <w:rFonts w:ascii="Georgia" w:cs="Georgia" w:eastAsia="Georgia" w:hAnsi="Georgia"/>
          <w:sz w:val="18"/>
          <w:szCs w:val="18"/>
          <w:color w:val="auto"/>
        </w:rPr>
      </w:pPr>
      <w:r>
        <w:rPr>
          <w:rFonts w:ascii="Georgia" w:cs="Georgia" w:eastAsia="Georgia" w:hAnsi="Georgia"/>
          <w:sz w:val="18"/>
          <w:szCs w:val="18"/>
          <w:color w:val="auto"/>
        </w:rPr>
        <w:t xml:space="preserve">Patient’s HSPCs are harvested by means of an apheresis process, and (2)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Georgia" w:cs="Georgia" w:eastAsia="Georgia" w:hAnsi="Georgia"/>
          <w:sz w:val="18"/>
          <w:szCs w:val="18"/>
          <w:i w:val="1"/>
          <w:iCs w:val="1"/>
          <w:color w:val="auto"/>
        </w:rPr>
        <w:t>.</w:t>
      </w:r>
    </w:p>
    <w:p>
      <w:pPr>
        <w:spacing w:after="0" w:line="202" w:lineRule="exact"/>
        <w:rPr>
          <w:rFonts w:ascii="Georgia" w:cs="Georgia" w:eastAsia="Georgia" w:hAnsi="Georgia"/>
          <w:sz w:val="18"/>
          <w:szCs w:val="18"/>
          <w:color w:val="auto"/>
        </w:rPr>
      </w:pPr>
    </w:p>
    <w:p>
      <w:pPr>
        <w:ind w:left="900" w:hanging="244"/>
        <w:spacing w:after="0"/>
        <w:tabs>
          <w:tab w:leader="none" w:pos="900" w:val="left"/>
        </w:tabs>
        <w:numPr>
          <w:ilvl w:val="1"/>
          <w:numId w:val="52"/>
        </w:numPr>
        <w:rPr>
          <w:rFonts w:ascii="Georgia" w:cs="Georgia" w:eastAsia="Georgia" w:hAnsi="Georgia"/>
          <w:sz w:val="18"/>
          <w:szCs w:val="18"/>
          <w:b w:val="1"/>
          <w:bCs w:val="1"/>
          <w:i w:val="1"/>
          <w:iCs w:val="1"/>
          <w:color w:val="auto"/>
        </w:rPr>
      </w:pPr>
      <w:r>
        <w:rPr>
          <w:rFonts w:ascii="Georgia" w:cs="Georgia" w:eastAsia="Georgia" w:hAnsi="Georgia"/>
          <w:sz w:val="18"/>
          <w:szCs w:val="18"/>
          <w:b w:val="1"/>
          <w:bCs w:val="1"/>
          <w:i w:val="1"/>
          <w:iCs w:val="1"/>
          <w:color w:val="auto"/>
        </w:rPr>
        <w:t>HSPCs are the Source of the Delivery Vehicle for Our Gene Therapy Approach</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b) Ex-vivo LVV based Transduction</w:t>
      </w:r>
    </w:p>
    <w:p>
      <w:pPr>
        <w:spacing w:after="0" w:line="202" w:lineRule="exact"/>
        <w:rPr>
          <w:sz w:val="20"/>
          <w:szCs w:val="20"/>
          <w:color w:val="auto"/>
        </w:rPr>
      </w:pPr>
    </w:p>
    <w:p>
      <w:pPr>
        <w:jc w:val="both"/>
        <w:ind w:right="20"/>
        <w:spacing w:after="0" w:line="237" w:lineRule="auto"/>
        <w:rPr>
          <w:sz w:val="20"/>
          <w:szCs w:val="20"/>
          <w:color w:val="auto"/>
        </w:rPr>
      </w:pPr>
      <w:r>
        <w:rPr>
          <w:rFonts w:ascii="Georgia" w:cs="Georgia" w:eastAsia="Georgia" w:hAnsi="Georgia"/>
          <w:sz w:val="18"/>
          <w:szCs w:val="18"/>
          <w:color w:val="auto"/>
        </w:rPr>
        <w:t xml:space="preserve">After collection, a functional copy of the therapeutic gene is inserted into the patient’s own HSPCs using a non-replicating LVV. This is an </w:t>
      </w:r>
      <w:r>
        <w:rPr>
          <w:rFonts w:ascii="Georgia" w:cs="Georgia" w:eastAsia="Georgia" w:hAnsi="Georgia"/>
          <w:sz w:val="18"/>
          <w:szCs w:val="18"/>
          <w:i w:val="1"/>
          <w:iCs w:val="1"/>
          <w:color w:val="auto"/>
        </w:rPr>
        <w:t xml:space="preserve">ex-vivo </w:t>
      </w:r>
      <w:r>
        <w:rPr>
          <w:rFonts w:ascii="Georgia" w:cs="Georgia" w:eastAsia="Georgia" w:hAnsi="Georgia"/>
          <w:sz w:val="18"/>
          <w:szCs w:val="18"/>
          <w:color w:val="auto"/>
        </w:rPr>
        <w:t>process called transduction. We have chosen an</w:t>
      </w:r>
      <w:r>
        <w:rPr>
          <w:rFonts w:ascii="Georgia" w:cs="Georgia" w:eastAsia="Georgia" w:hAnsi="Georgia"/>
          <w:sz w:val="18"/>
          <w:szCs w:val="18"/>
          <w:i w:val="1"/>
          <w:iCs w:val="1"/>
          <w:color w:val="auto"/>
        </w:rPr>
        <w:t xml:space="preserve"> ex-vivo </w:t>
      </w:r>
      <w:r>
        <w:rPr>
          <w:rFonts w:ascii="Georgia" w:cs="Georgia" w:eastAsia="Georgia" w:hAnsi="Georgia"/>
          <w:sz w:val="18"/>
          <w:szCs w:val="18"/>
          <w:color w:val="auto"/>
        </w:rPr>
        <w:t>gene therapy approach because it enables us to optimize the quantity, or dose, of</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modified cells to be infused in each patient since we know, ahead of the administration, the drug product characteristics.</w:t>
      </w:r>
    </w:p>
    <w:p>
      <w:pPr>
        <w:spacing w:after="0" w:line="204" w:lineRule="exact"/>
        <w:rPr>
          <w:sz w:val="20"/>
          <w:szCs w:val="20"/>
          <w:color w:val="auto"/>
        </w:rPr>
      </w:pPr>
    </w:p>
    <w:p>
      <w:pPr>
        <w:ind w:right="20"/>
        <w:spacing w:after="0" w:line="251" w:lineRule="auto"/>
        <w:rPr>
          <w:sz w:val="20"/>
          <w:szCs w:val="20"/>
          <w:color w:val="auto"/>
        </w:rPr>
      </w:pPr>
      <w:r>
        <w:rPr>
          <w:rFonts w:ascii="Georgia" w:cs="Georgia" w:eastAsia="Georgia" w:hAnsi="Georgia"/>
          <w:sz w:val="17"/>
          <w:szCs w:val="17"/>
          <w:color w:val="auto"/>
        </w:rPr>
        <w:t xml:space="preserve">We believe that LVVs are the first choice for </w:t>
      </w:r>
      <w:r>
        <w:rPr>
          <w:rFonts w:ascii="Georgia" w:cs="Georgia" w:eastAsia="Georgia" w:hAnsi="Georgia"/>
          <w:sz w:val="17"/>
          <w:szCs w:val="17"/>
          <w:i w:val="1"/>
          <w:iCs w:val="1"/>
          <w:color w:val="auto"/>
        </w:rPr>
        <w:t>ex-vivo</w:t>
      </w:r>
      <w:r>
        <w:rPr>
          <w:rFonts w:ascii="Georgia" w:cs="Georgia" w:eastAsia="Georgia" w:hAnsi="Georgia"/>
          <w:sz w:val="17"/>
          <w:szCs w:val="17"/>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w:t>
      </w:r>
    </w:p>
    <w:p>
      <w:pPr>
        <w:spacing w:after="0" w:line="2" w:lineRule="exact"/>
        <w:rPr>
          <w:sz w:val="20"/>
          <w:szCs w:val="20"/>
          <w:color w:val="auto"/>
        </w:rPr>
      </w:pPr>
    </w:p>
    <w:p>
      <w:pPr>
        <w:ind w:right="600"/>
        <w:spacing w:after="0" w:line="210" w:lineRule="auto"/>
        <w:rPr>
          <w:sz w:val="20"/>
          <w:szCs w:val="20"/>
          <w:color w:val="auto"/>
        </w:rPr>
      </w:pPr>
      <w:r>
        <w:rPr>
          <w:rFonts w:ascii="Georgia" w:cs="Georgia" w:eastAsia="Georgia" w:hAnsi="Georgia"/>
          <w:sz w:val="18"/>
          <w:szCs w:val="18"/>
          <w:color w:val="auto"/>
        </w:rPr>
        <w:t>such as Kymriah</w:t>
      </w:r>
      <w:r>
        <w:rPr>
          <w:rFonts w:ascii="Georgia" w:cs="Georgia" w:eastAsia="Georgia" w:hAnsi="Georgia"/>
          <w:sz w:val="29"/>
          <w:szCs w:val="29"/>
          <w:color w:val="auto"/>
          <w:vertAlign w:val="superscript"/>
        </w:rPr>
        <w:t>®</w:t>
      </w:r>
      <w:r>
        <w:rPr>
          <w:rFonts w:ascii="Georgia" w:cs="Georgia" w:eastAsia="Georgia" w:hAnsi="Georgia"/>
          <w:sz w:val="18"/>
          <w:szCs w:val="18"/>
          <w:color w:val="auto"/>
        </w:rPr>
        <w:t xml:space="preserve"> (CD-19 CAR-T, Novartis Pharma) and Zynteglo</w:t>
      </w:r>
      <w:r>
        <w:rPr>
          <w:rFonts w:ascii="Georgia" w:cs="Georgia" w:eastAsia="Georgia" w:hAnsi="Georgia"/>
          <w:sz w:val="29"/>
          <w:szCs w:val="29"/>
          <w:color w:val="auto"/>
          <w:vertAlign w:val="superscript"/>
        </w:rPr>
        <w:t>®</w:t>
      </w:r>
      <w:r>
        <w:rPr>
          <w:rFonts w:ascii="Georgia" w:cs="Georgia" w:eastAsia="Georgia" w:hAnsi="Georgia"/>
          <w:sz w:val="18"/>
          <w:szCs w:val="18"/>
          <w:color w:val="auto"/>
        </w:rPr>
        <w:t xml:space="preserve"> (β-Thal, BlueBird Bio). With more than 100 clinical trials either completed or in progress using LVVs worldwide, this delivery method accounts for more than a third of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modified gene therapy clinical trials.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67" w:name="page68"/>
    <w:bookmarkEnd w:id="67"/>
    <w:p>
      <w:pPr>
        <w:spacing w:after="0" w:line="220" w:lineRule="auto"/>
        <w:rPr>
          <w:sz w:val="20"/>
          <w:szCs w:val="20"/>
          <w:color w:val="auto"/>
        </w:rPr>
      </w:pPr>
      <w:r>
        <w:rPr>
          <w:rFonts w:ascii="Georgia" w:cs="Georgia" w:eastAsia="Georgia" w:hAnsi="Georgia"/>
          <w:sz w:val="18"/>
          <w:szCs w:val="18"/>
          <w:color w:val="auto"/>
        </w:rPr>
        <w:t xml:space="preserve">Accordingly, extensive clinical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studies, based on LVV gene transfer, have been performed in recent years by SR-Tiget for the prevention and treatment of some severe inherited disorders, resulting in approved drugs, such as Libmeldy</w:t>
      </w:r>
      <w:r>
        <w:rPr>
          <w:rFonts w:ascii="Georgia" w:cs="Georgia" w:eastAsia="Georgia" w:hAnsi="Georgia"/>
          <w:sz w:val="29"/>
          <w:szCs w:val="29"/>
          <w:color w:val="auto"/>
          <w:vertAlign w:val="superscript"/>
        </w:rPr>
        <w:t>TM</w:t>
      </w:r>
      <w:r>
        <w:rPr>
          <w:rFonts w:ascii="Georgia" w:cs="Georgia" w:eastAsia="Georgia" w:hAnsi="Georgia"/>
          <w:sz w:val="18"/>
          <w:szCs w:val="18"/>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Differences exist between LVVs used for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206" w:lineRule="exact"/>
        <w:rPr>
          <w:sz w:val="20"/>
          <w:szCs w:val="20"/>
          <w:color w:val="auto"/>
        </w:rPr>
      </w:pPr>
    </w:p>
    <w:p>
      <w:pPr>
        <w:ind w:right="80"/>
        <w:spacing w:after="0" w:line="220" w:lineRule="auto"/>
        <w:rPr>
          <w:sz w:val="20"/>
          <w:szCs w:val="20"/>
          <w:color w:val="auto"/>
        </w:rPr>
      </w:pPr>
      <w:r>
        <w:rPr>
          <w:rFonts w:ascii="Georgia" w:cs="Georgia" w:eastAsia="Georgia" w:hAnsi="Georgia"/>
          <w:sz w:val="18"/>
          <w:szCs w:val="18"/>
          <w:color w:val="auto"/>
        </w:rPr>
        <w:t>In February 2021, BlueBird Bio temporary suspended its gene therapy clinical trials for SCD (HGB-206 and HGB-210) and the marketing of Zynteglo</w:t>
      </w:r>
      <w:r>
        <w:rPr>
          <w:rFonts w:ascii="Georgia" w:cs="Georgia" w:eastAsia="Georgia" w:hAnsi="Georgia"/>
          <w:sz w:val="29"/>
          <w:szCs w:val="29"/>
          <w:color w:val="auto"/>
          <w:vertAlign w:val="superscript"/>
        </w:rPr>
        <w:t>®</w:t>
      </w:r>
      <w:r>
        <w:rPr>
          <w:rFonts w:ascii="Georgia" w:cs="Georgia" w:eastAsia="Georgia" w:hAnsi="Georgia"/>
          <w:sz w:val="18"/>
          <w:szCs w:val="18"/>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c) Tumor-Targeted Payload Delivery</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132715</wp:posOffset>
            </wp:positionV>
            <wp:extent cx="5314950" cy="1963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1495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68" w:name="page69"/>
    <w:bookmarkEnd w:id="68"/>
    <w:p>
      <w:pPr>
        <w:ind w:right="480" w:firstLine="648"/>
        <w:spacing w:after="0" w:line="237" w:lineRule="auto"/>
        <w:rPr>
          <w:sz w:val="20"/>
          <w:szCs w:val="20"/>
          <w:color w:val="auto"/>
        </w:rPr>
      </w:pPr>
      <w:r>
        <w:rPr>
          <w:rFonts w:ascii="Georgia" w:cs="Georgia" w:eastAsia="Georgia" w:hAnsi="Georgia"/>
          <w:sz w:val="18"/>
          <w:szCs w:val="18"/>
          <w:i w:val="1"/>
          <w:iCs w:val="1"/>
          <w:color w:val="auto"/>
        </w:rPr>
        <w:t>Our transgene payload expression cassette consists of two key components: the Tie-2 promoter (RED) and miRNA-126 target sequences (LIGHT BLUE)</w:t>
      </w:r>
    </w:p>
    <w:p>
      <w:pPr>
        <w:spacing w:after="0" w:line="204" w:lineRule="exact"/>
        <w:rPr>
          <w:sz w:val="20"/>
          <w:szCs w:val="20"/>
          <w:color w:val="auto"/>
        </w:rPr>
      </w:pPr>
    </w:p>
    <w:p>
      <w:pPr>
        <w:ind w:left="1300" w:hanging="644"/>
        <w:spacing w:after="0" w:line="237" w:lineRule="auto"/>
        <w:tabs>
          <w:tab w:leader="none" w:pos="1300" w:val="left"/>
        </w:tabs>
        <w:numPr>
          <w:ilvl w:val="0"/>
          <w:numId w:val="53"/>
        </w:numPr>
        <w:rPr>
          <w:rFonts w:ascii="Georgia" w:cs="Georgia" w:eastAsia="Georgia" w:hAnsi="Georgia"/>
          <w:sz w:val="18"/>
          <w:szCs w:val="18"/>
          <w:b w:val="1"/>
          <w:bCs w:val="1"/>
          <w:i w:val="1"/>
          <w:iCs w:val="1"/>
          <w:color w:val="auto"/>
        </w:rPr>
      </w:pPr>
      <w:r>
        <w:rPr>
          <w:rFonts w:ascii="Georgia" w:cs="Georgia" w:eastAsia="Georgia" w:hAnsi="Georgia"/>
          <w:sz w:val="18"/>
          <w:szCs w:val="18"/>
          <w:b w:val="1"/>
          <w:bCs w:val="1"/>
          <w:i w:val="1"/>
          <w:iCs w:val="1"/>
          <w:color w:val="auto"/>
        </w:rPr>
        <w:t xml:space="preserve">Tie-2 promoter. </w:t>
      </w:r>
      <w:r>
        <w:rPr>
          <w:rFonts w:ascii="Georgia" w:cs="Georgia" w:eastAsia="Georgia" w:hAnsi="Georgia"/>
          <w:sz w:val="18"/>
          <w:szCs w:val="18"/>
          <w:color w:val="auto"/>
        </w:rPr>
        <w:t>The Tie-2 promoter enables the transformation of TEMs into a “Trojan Horse”, to deliver the therapeutic</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payload within the 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211" w:lineRule="exact"/>
        <w:rPr>
          <w:rFonts w:ascii="Georgia" w:cs="Georgia" w:eastAsia="Georgia" w:hAnsi="Georgia"/>
          <w:sz w:val="18"/>
          <w:szCs w:val="18"/>
          <w:b w:val="1"/>
          <w:bCs w:val="1"/>
          <w:i w:val="1"/>
          <w:iCs w:val="1"/>
          <w:color w:val="auto"/>
        </w:rPr>
      </w:pPr>
    </w:p>
    <w:p>
      <w:pPr>
        <w:ind w:left="1300" w:right="40" w:hanging="644"/>
        <w:spacing w:after="0" w:line="237" w:lineRule="auto"/>
        <w:tabs>
          <w:tab w:leader="none" w:pos="1300" w:val="left"/>
        </w:tabs>
        <w:numPr>
          <w:ilvl w:val="0"/>
          <w:numId w:val="53"/>
        </w:numPr>
        <w:rPr>
          <w:rFonts w:ascii="Georgia" w:cs="Georgia" w:eastAsia="Georgia" w:hAnsi="Georgia"/>
          <w:sz w:val="18"/>
          <w:szCs w:val="18"/>
          <w:b w:val="1"/>
          <w:bCs w:val="1"/>
          <w:i w:val="1"/>
          <w:iCs w:val="1"/>
          <w:color w:val="auto"/>
        </w:rPr>
      </w:pPr>
      <w:r>
        <w:rPr>
          <w:rFonts w:ascii="Georgia" w:cs="Georgia" w:eastAsia="Georgia" w:hAnsi="Georgia"/>
          <w:sz w:val="18"/>
          <w:szCs w:val="18"/>
          <w:b w:val="1"/>
          <w:bCs w:val="1"/>
          <w:i w:val="1"/>
          <w:iCs w:val="1"/>
          <w:color w:val="auto"/>
        </w:rPr>
        <w:t>miRNA-126 target sequences</w:t>
      </w:r>
      <w:r>
        <w:rPr>
          <w:rFonts w:ascii="Georgia" w:cs="Georgia" w:eastAsia="Georgia" w:hAnsi="Georgia"/>
          <w:sz w:val="18"/>
          <w:szCs w:val="18"/>
          <w:color w:val="auto"/>
        </w:rPr>
        <w:t>. The miRNA-126 target sequence serves as a post-transcriptional regulation layer that</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allows the expression of the 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132715</wp:posOffset>
            </wp:positionV>
            <wp:extent cx="5314950" cy="255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1495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Post-transcriptional control mechanism of transgene expression</w:t>
      </w:r>
    </w:p>
    <w:p>
      <w:pPr>
        <w:spacing w:after="0" w:line="202" w:lineRule="exact"/>
        <w:rPr>
          <w:sz w:val="20"/>
          <w:szCs w:val="20"/>
          <w:color w:val="auto"/>
        </w:rPr>
      </w:pPr>
    </w:p>
    <w:p>
      <w:pPr>
        <w:ind w:right="240" w:firstLine="656"/>
        <w:spacing w:after="0" w:line="237" w:lineRule="auto"/>
        <w:tabs>
          <w:tab w:leader="none" w:pos="880" w:val="left"/>
        </w:tabs>
        <w:numPr>
          <w:ilvl w:val="0"/>
          <w:numId w:val="54"/>
        </w:numPr>
        <w:rPr>
          <w:rFonts w:ascii="Georgia" w:cs="Georgia" w:eastAsia="Georgia" w:hAnsi="Georgia"/>
          <w:sz w:val="18"/>
          <w:szCs w:val="18"/>
          <w:i w:val="1"/>
          <w:iCs w:val="1"/>
          <w:color w:val="auto"/>
        </w:rPr>
      </w:pPr>
      <w:r>
        <w:rPr>
          <w:rFonts w:ascii="Georgia" w:cs="Georgia" w:eastAsia="Georgia" w:hAnsi="Georgia"/>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9" w:name="page70"/>
    <w:bookmarkEnd w:id="69"/>
    <w:p>
      <w:pPr>
        <w:ind w:right="20" w:firstLine="656"/>
        <w:spacing w:after="0" w:line="263" w:lineRule="auto"/>
        <w:tabs>
          <w:tab w:leader="none" w:pos="877" w:val="left"/>
        </w:tabs>
        <w:numPr>
          <w:ilvl w:val="0"/>
          <w:numId w:val="55"/>
        </w:numPr>
        <w:rPr>
          <w:rFonts w:ascii="Georgia" w:cs="Georgia" w:eastAsia="Georgia" w:hAnsi="Georgia"/>
          <w:sz w:val="17"/>
          <w:szCs w:val="17"/>
          <w:i w:val="1"/>
          <w:iCs w:val="1"/>
          <w:color w:val="auto"/>
        </w:rPr>
      </w:pPr>
      <w:r>
        <w:rPr>
          <w:rFonts w:ascii="Georgia" w:cs="Georgia" w:eastAsia="Georgia" w:hAnsi="Georgia"/>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118745</wp:posOffset>
            </wp:positionV>
            <wp:extent cx="5314950" cy="1560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1495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40" w:firstLine="648"/>
        <w:spacing w:after="0" w:line="237" w:lineRule="auto"/>
        <w:rPr>
          <w:sz w:val="20"/>
          <w:szCs w:val="20"/>
          <w:color w:val="auto"/>
        </w:rPr>
      </w:pPr>
      <w:r>
        <w:rPr>
          <w:rFonts w:ascii="Georgia" w:cs="Georgia" w:eastAsia="Georgia" w:hAnsi="Georgia"/>
          <w:sz w:val="18"/>
          <w:szCs w:val="18"/>
          <w:i w:val="1"/>
          <w:iCs w:val="1"/>
          <w:color w:val="auto"/>
        </w:rPr>
        <w:t>Transgene payload expression as the result of the transcriptional (promoter) and post-transcriptional regulation (miRNA-126 target sequence) imposed by our expression cassette.</w:t>
      </w:r>
    </w:p>
    <w:p>
      <w:pPr>
        <w:spacing w:after="0" w:line="204"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We believe that combining our built-in post-transcriptional control mechanism (</w:t>
      </w:r>
      <w:r>
        <w:rPr>
          <w:rFonts w:ascii="Georgia" w:cs="Georgia" w:eastAsia="Georgia" w:hAnsi="Georgia"/>
          <w:sz w:val="18"/>
          <w:szCs w:val="18"/>
          <w:i w:val="1"/>
          <w:iCs w:val="1"/>
          <w:color w:val="auto"/>
        </w:rPr>
        <w:t>miRNA-126 target sequences</w:t>
      </w:r>
      <w:r>
        <w:rPr>
          <w:rFonts w:ascii="Georgia" w:cs="Georgia" w:eastAsia="Georgia" w:hAnsi="Georgia"/>
          <w:sz w:val="18"/>
          <w:szCs w:val="18"/>
          <w:color w:val="auto"/>
        </w:rPr>
        <w:t>), with TEMs designed as a “Trojan Horse” allows our platform to restrict transgene expression and avoid systemic toxicity while reaching the therapeutic index to drive efficacy.</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Our Leading Product Candidate: Temferon</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7" w:lineRule="exact"/>
        <w:rPr>
          <w:sz w:val="20"/>
          <w:szCs w:val="20"/>
          <w:color w:val="auto"/>
        </w:rPr>
      </w:pPr>
    </w:p>
    <w:p>
      <w:pPr>
        <w:jc w:val="both"/>
        <w:ind w:right="60"/>
        <w:spacing w:after="0" w:line="263" w:lineRule="auto"/>
        <w:rPr>
          <w:sz w:val="20"/>
          <w:szCs w:val="20"/>
          <w:color w:val="auto"/>
        </w:rPr>
      </w:pPr>
      <w:r>
        <w:rPr>
          <w:rFonts w:ascii="Georgia" w:cs="Georgia" w:eastAsia="Georgia" w:hAnsi="Georgia"/>
          <w:sz w:val="17"/>
          <w:szCs w:val="17"/>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118745</wp:posOffset>
            </wp:positionV>
            <wp:extent cx="5314950" cy="27774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1495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0" w:right="399" w:bottom="1440" w:gutter="0" w:footer="0" w:header="0"/>
        </w:sectPr>
      </w:pPr>
    </w:p>
    <w:bookmarkStart w:id="70" w:name="page71"/>
    <w:bookmarkEnd w:id="70"/>
    <w:p>
      <w:pPr>
        <w:ind w:left="660"/>
        <w:spacing w:after="0"/>
        <w:rPr>
          <w:sz w:val="20"/>
          <w:szCs w:val="20"/>
          <w:color w:val="auto"/>
        </w:rPr>
      </w:pPr>
      <w:r>
        <w:rPr>
          <w:rFonts w:ascii="Georgia" w:cs="Georgia" w:eastAsia="Georgia" w:hAnsi="Georgia"/>
          <w:sz w:val="18"/>
          <w:szCs w:val="18"/>
          <w:i w:val="1"/>
          <w:iCs w:val="1"/>
          <w:color w:val="auto"/>
        </w:rPr>
        <w:t>Overview of Temferon manufacturing process and mechanism of action.</w:t>
      </w:r>
    </w:p>
    <w:p>
      <w:pPr>
        <w:spacing w:after="0" w:line="202" w:lineRule="exact"/>
        <w:rPr>
          <w:sz w:val="20"/>
          <w:szCs w:val="20"/>
          <w:color w:val="auto"/>
        </w:rPr>
      </w:pPr>
    </w:p>
    <w:p>
      <w:pPr>
        <w:ind w:right="260" w:firstLine="648"/>
        <w:spacing w:after="0" w:line="237" w:lineRule="auto"/>
        <w:rPr>
          <w:sz w:val="20"/>
          <w:szCs w:val="20"/>
          <w:color w:val="auto"/>
        </w:rPr>
      </w:pPr>
      <w:r>
        <w:rPr>
          <w:rFonts w:ascii="Georgia" w:cs="Georgia" w:eastAsia="Georgia" w:hAnsi="Georgia"/>
          <w:sz w:val="18"/>
          <w:szCs w:val="18"/>
          <w:i w:val="1"/>
          <w:iCs w:val="1"/>
          <w:color w:val="auto"/>
        </w:rPr>
        <w:t xml:space="preserve">Patient’s </w:t>
      </w:r>
      <w:r>
        <w:rPr>
          <w:rFonts w:ascii="Georgia" w:cs="Georgia" w:eastAsia="Georgia" w:hAnsi="Georgia"/>
          <w:sz w:val="18"/>
          <w:szCs w:val="18"/>
          <w:b w:val="1"/>
          <w:bCs w:val="1"/>
          <w:i w:val="1"/>
          <w:iCs w:val="1"/>
          <w:color w:val="auto"/>
        </w:rPr>
        <w:t>HSPCs</w:t>
      </w:r>
      <w:r>
        <w:rPr>
          <w:rFonts w:ascii="Georgia" w:cs="Georgia" w:eastAsia="Georgia" w:hAnsi="Georgia"/>
          <w:sz w:val="18"/>
          <w:szCs w:val="18"/>
          <w:i w:val="1"/>
          <w:iCs w:val="1"/>
          <w:color w:val="auto"/>
        </w:rPr>
        <w:t xml:space="preserve"> are harvested, (1) </w:t>
      </w:r>
      <w:r>
        <w:rPr>
          <w:rFonts w:ascii="Georgia" w:cs="Georgia" w:eastAsia="Georgia" w:hAnsi="Georgia"/>
          <w:sz w:val="18"/>
          <w:szCs w:val="18"/>
          <w:b w:val="1"/>
          <w:bCs w:val="1"/>
          <w:i w:val="1"/>
          <w:iCs w:val="1"/>
          <w:color w:val="auto"/>
        </w:rPr>
        <w:t>ex-vivo</w:t>
      </w:r>
      <w:r>
        <w:rPr>
          <w:rFonts w:ascii="Georgia" w:cs="Georgia" w:eastAsia="Georgia" w:hAnsi="Georgia"/>
          <w:sz w:val="18"/>
          <w:szCs w:val="18"/>
          <w:i w:val="1"/>
          <w:iCs w:val="1"/>
          <w:color w:val="auto"/>
        </w:rPr>
        <w:t xml:space="preserve"> modified by </w:t>
      </w:r>
      <w:r>
        <w:rPr>
          <w:rFonts w:ascii="Georgia" w:cs="Georgia" w:eastAsia="Georgia" w:hAnsi="Georgia"/>
          <w:sz w:val="18"/>
          <w:szCs w:val="18"/>
          <w:b w:val="1"/>
          <w:bCs w:val="1"/>
          <w:i w:val="1"/>
          <w:iCs w:val="1"/>
          <w:color w:val="auto"/>
        </w:rPr>
        <w:t>LVVs</w:t>
      </w:r>
      <w:r>
        <w:rPr>
          <w:rFonts w:ascii="Georgia" w:cs="Georgia" w:eastAsia="Georgia" w:hAnsi="Georgia"/>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GBM is a solid tumor affecting the brain. We have chosen this indication due to the following factors:</w:t>
      </w:r>
    </w:p>
    <w:p>
      <w:pPr>
        <w:spacing w:after="0" w:line="202" w:lineRule="exact"/>
        <w:rPr>
          <w:sz w:val="20"/>
          <w:szCs w:val="20"/>
          <w:color w:val="auto"/>
        </w:rPr>
      </w:pPr>
    </w:p>
    <w:p>
      <w:pPr>
        <w:ind w:left="1300" w:right="280" w:hanging="644"/>
        <w:spacing w:after="0" w:line="237" w:lineRule="auto"/>
        <w:tabs>
          <w:tab w:leader="none" w:pos="1300" w:val="left"/>
        </w:tabs>
        <w:numPr>
          <w:ilvl w:val="0"/>
          <w:numId w:val="5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High unmet medical need. </w:t>
      </w:r>
      <w:r>
        <w:rPr>
          <w:rFonts w:ascii="Georgia" w:cs="Georgia" w:eastAsia="Georgia" w:hAnsi="Georgia"/>
          <w:sz w:val="18"/>
          <w:szCs w:val="18"/>
          <w:color w:val="auto"/>
        </w:rPr>
        <w:t>The prognosis for GBM patients remains poor with few therapeutic options having limited</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clinical benefits.</w:t>
      </w:r>
    </w:p>
    <w:p>
      <w:pPr>
        <w:spacing w:after="0" w:line="203" w:lineRule="exact"/>
        <w:rPr>
          <w:rFonts w:ascii="Georgia" w:cs="Georgia" w:eastAsia="Georgia" w:hAnsi="Georgia"/>
          <w:sz w:val="18"/>
          <w:szCs w:val="18"/>
          <w:color w:val="auto"/>
        </w:rPr>
      </w:pPr>
    </w:p>
    <w:p>
      <w:pPr>
        <w:ind w:left="1300" w:right="120" w:hanging="644"/>
        <w:spacing w:after="0" w:line="237" w:lineRule="auto"/>
        <w:tabs>
          <w:tab w:leader="none" w:pos="1300" w:val="left"/>
        </w:tabs>
        <w:numPr>
          <w:ilvl w:val="0"/>
          <w:numId w:val="5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Temferon’s MoA targets TEMs which have an active role in uMGMT-GBM pathology. </w:t>
      </w:r>
      <w:r>
        <w:rPr>
          <w:rFonts w:ascii="Georgia" w:cs="Georgia" w:eastAsia="Georgia" w:hAnsi="Georgia"/>
          <w:sz w:val="18"/>
          <w:szCs w:val="18"/>
          <w:color w:val="auto"/>
        </w:rPr>
        <w:t>GBMs are highly</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vascularized tumors that critically 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206" w:lineRule="exact"/>
        <w:rPr>
          <w:rFonts w:ascii="Georgia" w:cs="Georgia" w:eastAsia="Georgia" w:hAnsi="Georgia"/>
          <w:sz w:val="18"/>
          <w:szCs w:val="18"/>
          <w:color w:val="auto"/>
        </w:rPr>
      </w:pPr>
    </w:p>
    <w:p>
      <w:pPr>
        <w:jc w:val="both"/>
        <w:ind w:left="1300" w:right="80" w:hanging="644"/>
        <w:spacing w:after="0" w:line="237" w:lineRule="auto"/>
        <w:tabs>
          <w:tab w:leader="none" w:pos="1300" w:val="left"/>
        </w:tabs>
        <w:numPr>
          <w:ilvl w:val="0"/>
          <w:numId w:val="5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Immunosuppressive tumor microenvironment. </w:t>
      </w:r>
      <w:r>
        <w:rPr>
          <w:rFonts w:ascii="Georgia" w:cs="Georgia" w:eastAsia="Georgia" w:hAnsi="Georgia"/>
          <w:sz w:val="18"/>
          <w:szCs w:val="18"/>
          <w:color w:val="auto"/>
        </w:rPr>
        <w:t>GBM is characterized by an immunosuppressive microenvironment</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that is mediated by tumor 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04" w:lineRule="exact"/>
        <w:rPr>
          <w:rFonts w:ascii="Georgia" w:cs="Georgia" w:eastAsia="Georgia" w:hAnsi="Georgia"/>
          <w:sz w:val="18"/>
          <w:szCs w:val="18"/>
          <w:color w:val="auto"/>
        </w:rPr>
      </w:pPr>
    </w:p>
    <w:p>
      <w:pPr>
        <w:ind w:left="1300" w:hanging="644"/>
        <w:spacing w:after="0" w:line="237" w:lineRule="auto"/>
        <w:tabs>
          <w:tab w:leader="none" w:pos="1300" w:val="left"/>
        </w:tabs>
        <w:numPr>
          <w:ilvl w:val="0"/>
          <w:numId w:val="5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Availability of a “competent” immune system. </w:t>
      </w:r>
      <w:r>
        <w:rPr>
          <w:rFonts w:ascii="Georgia" w:cs="Georgia" w:eastAsia="Georgia" w:hAnsi="Georgia"/>
          <w:sz w:val="18"/>
          <w:szCs w:val="18"/>
          <w:color w:val="auto"/>
        </w:rPr>
        <w:t>Our approach relies on a patient’s immune system being capable of</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providing an immune response upon recognition of the tumor. Therefore, we believe newly diagnosed uMGMT-GBM patients who have relatively “competent” immune systems, not yet damaged by repeated cycles of chemotherapies, are strong candidates for our candidate.</w:t>
      </w:r>
    </w:p>
    <w:p>
      <w:pPr>
        <w:spacing w:after="0" w:line="204" w:lineRule="exact"/>
        <w:rPr>
          <w:rFonts w:ascii="Georgia" w:cs="Georgia" w:eastAsia="Georgia" w:hAnsi="Georgia"/>
          <w:sz w:val="18"/>
          <w:szCs w:val="18"/>
          <w:color w:val="auto"/>
        </w:rPr>
      </w:pPr>
    </w:p>
    <w:p>
      <w:pPr>
        <w:ind w:left="1300" w:right="60" w:hanging="644"/>
        <w:spacing w:after="0" w:line="237" w:lineRule="auto"/>
        <w:tabs>
          <w:tab w:leader="none" w:pos="1300" w:val="left"/>
        </w:tabs>
        <w:numPr>
          <w:ilvl w:val="0"/>
          <w:numId w:val="5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Compelling preclinical data. </w:t>
      </w:r>
      <w:r>
        <w:rPr>
          <w:rFonts w:ascii="Georgia" w:cs="Georgia" w:eastAsia="Georgia" w:hAnsi="Georgia"/>
          <w:sz w:val="18"/>
          <w:szCs w:val="18"/>
          <w:color w:val="auto"/>
        </w:rPr>
        <w:t>Our preclinical studies, published in peer-reviewed papers, suggest that TEMs play an</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active role in uMGMT-GBM, 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205" w:lineRule="exact"/>
        <w:rPr>
          <w:rFonts w:ascii="Georgia" w:cs="Georgia" w:eastAsia="Georgia" w:hAnsi="Georgia"/>
          <w:sz w:val="18"/>
          <w:szCs w:val="18"/>
          <w:color w:val="auto"/>
        </w:rPr>
      </w:pPr>
    </w:p>
    <w:p>
      <w:pPr>
        <w:ind w:left="1300" w:right="140" w:hanging="644"/>
        <w:spacing w:after="0" w:line="237" w:lineRule="auto"/>
        <w:tabs>
          <w:tab w:leader="none" w:pos="1300" w:val="left"/>
        </w:tabs>
        <w:numPr>
          <w:ilvl w:val="0"/>
          <w:numId w:val="5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Market Opportunity. </w:t>
      </w:r>
      <w:r>
        <w:rPr>
          <w:rFonts w:ascii="Georgia" w:cs="Georgia" w:eastAsia="Georgia" w:hAnsi="Georgia"/>
          <w:sz w:val="18"/>
          <w:szCs w:val="18"/>
          <w:color w:val="auto"/>
        </w:rPr>
        <w:t>Based on currently available treatments, the global market size for all GBM is projected to grow to</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over $1.5 billion by 2026. We believe a novel therapeutic which demonstrates improvement over existing therapies would greatly increase the market size.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71" w:name="page72"/>
    <w:bookmarkEnd w:id="71"/>
    <w:p>
      <w:pPr>
        <w:ind w:right="220"/>
        <w:spacing w:after="0" w:line="237" w:lineRule="auto"/>
        <w:rPr>
          <w:sz w:val="20"/>
          <w:szCs w:val="20"/>
          <w:color w:val="auto"/>
        </w:rPr>
      </w:pPr>
      <w:r>
        <w:rPr>
          <w:rFonts w:ascii="Georgia" w:cs="Georgia" w:eastAsia="Georgia" w:hAnsi="Georgia"/>
          <w:sz w:val="18"/>
          <w:szCs w:val="18"/>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202"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Temferon for uMGMT-GBM</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Disease Overview</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206"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Current Treatment Landscape and Limitations</w:t>
      </w:r>
    </w:p>
    <w:p>
      <w:pPr>
        <w:spacing w:after="0" w:line="202" w:lineRule="exact"/>
        <w:rPr>
          <w:sz w:val="20"/>
          <w:szCs w:val="20"/>
          <w:color w:val="auto"/>
        </w:rPr>
      </w:pPr>
    </w:p>
    <w:p>
      <w:pPr>
        <w:ind w:right="280"/>
        <w:spacing w:after="0" w:line="237" w:lineRule="auto"/>
        <w:rPr>
          <w:sz w:val="20"/>
          <w:szCs w:val="20"/>
          <w:color w:val="auto"/>
        </w:rPr>
      </w:pPr>
      <w:r>
        <w:rPr>
          <w:rFonts w:ascii="Georgia" w:cs="Georgia" w:eastAsia="Georgia" w:hAnsi="Georgia"/>
          <w:sz w:val="18"/>
          <w:szCs w:val="18"/>
          <w:color w:val="auto"/>
        </w:rPr>
        <w:t>The current standard of care for GBM includes surgery to remove the accessible tumor followed by radiation therapy (RTx), chemotherapy with temozolomide (TMZ) and/or tumor treating fields (TTFields).</w:t>
      </w:r>
    </w:p>
    <w:p>
      <w:pPr>
        <w:spacing w:after="0" w:line="204" w:lineRule="exact"/>
        <w:rPr>
          <w:sz w:val="20"/>
          <w:szCs w:val="20"/>
          <w:color w:val="auto"/>
        </w:rPr>
      </w:pPr>
    </w:p>
    <w:p>
      <w:pPr>
        <w:ind w:left="1300" w:right="180" w:hanging="644"/>
        <w:spacing w:after="0" w:line="237" w:lineRule="auto"/>
        <w:tabs>
          <w:tab w:leader="none" w:pos="1300" w:val="left"/>
        </w:tabs>
        <w:numPr>
          <w:ilvl w:val="0"/>
          <w:numId w:val="5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Surgery </w:t>
      </w:r>
      <w:r>
        <w:rPr>
          <w:rFonts w:ascii="Georgia" w:cs="Georgia" w:eastAsia="Georgia" w:hAnsi="Georgia"/>
          <w:sz w:val="18"/>
          <w:szCs w:val="18"/>
          <w:color w:val="auto"/>
        </w:rPr>
        <w:t>remains the mainstay of initial treatment. If the tumor is located in a resectable region of the brain, it is used to</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histologically confirm the 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205" w:lineRule="exact"/>
        <w:rPr>
          <w:rFonts w:ascii="Georgia" w:cs="Georgia" w:eastAsia="Georgia" w:hAnsi="Georgia"/>
          <w:sz w:val="18"/>
          <w:szCs w:val="18"/>
          <w:color w:val="auto"/>
        </w:rPr>
      </w:pPr>
    </w:p>
    <w:p>
      <w:pPr>
        <w:ind w:left="1300" w:right="160" w:hanging="644"/>
        <w:spacing w:after="0" w:line="237" w:lineRule="auto"/>
        <w:tabs>
          <w:tab w:leader="none" w:pos="1300" w:val="left"/>
        </w:tabs>
        <w:numPr>
          <w:ilvl w:val="0"/>
          <w:numId w:val="5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Radiation therapy </w:t>
      </w:r>
      <w:r>
        <w:rPr>
          <w:rFonts w:ascii="Georgia" w:cs="Georgia" w:eastAsia="Georgia" w:hAnsi="Georgia"/>
          <w:sz w:val="18"/>
          <w:szCs w:val="18"/>
          <w:color w:val="auto"/>
        </w:rPr>
        <w:t>improves survival and is typically started approximately 3 to 4 weeks after surgery. RTx is performed</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daily for approximately 6 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204" w:lineRule="exact"/>
        <w:rPr>
          <w:rFonts w:ascii="Georgia" w:cs="Georgia" w:eastAsia="Georgia" w:hAnsi="Georgia"/>
          <w:sz w:val="18"/>
          <w:szCs w:val="18"/>
          <w:color w:val="auto"/>
        </w:rPr>
      </w:pPr>
    </w:p>
    <w:p>
      <w:pPr>
        <w:ind w:left="1300" w:right="40" w:hanging="644"/>
        <w:spacing w:after="0" w:line="237" w:lineRule="auto"/>
        <w:tabs>
          <w:tab w:leader="none" w:pos="1300" w:val="left"/>
        </w:tabs>
        <w:numPr>
          <w:ilvl w:val="0"/>
          <w:numId w:val="57"/>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Chemotherapy. </w:t>
      </w:r>
      <w:r>
        <w:rPr>
          <w:rFonts w:ascii="Georgia" w:cs="Georgia" w:eastAsia="Georgia" w:hAnsi="Georgia"/>
          <w:sz w:val="18"/>
          <w:szCs w:val="18"/>
          <w:color w:val="auto"/>
        </w:rPr>
        <w:t>Temozolomide, the current chemotherapeutic standard of care, is a DNA-alkylating agent that can cross</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the blood-brain barrier to 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72" w:name="page73"/>
    <w:bookmarkEnd w:id="72"/>
    <w:p>
      <w:pPr>
        <w:ind w:left="1300" w:right="120" w:hanging="644"/>
        <w:spacing w:after="0" w:line="237" w:lineRule="auto"/>
        <w:tabs>
          <w:tab w:leader="none" w:pos="1300" w:val="left"/>
        </w:tabs>
        <w:numPr>
          <w:ilvl w:val="0"/>
          <w:numId w:val="58"/>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Tumor-Treating Fields (TTFields)</w:t>
      </w:r>
      <w:r>
        <w:rPr>
          <w:rFonts w:ascii="Georgia" w:cs="Georgia" w:eastAsia="Georgia" w:hAnsi="Georgia"/>
          <w:sz w:val="18"/>
          <w:szCs w:val="18"/>
          <w:color w:val="auto"/>
        </w:rPr>
        <w:t>. The use of TTFields to extend temozolomide maintenance chemotherapy for newly</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diagnosed glioblastoma 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205" w:lineRule="exact"/>
        <w:rPr>
          <w:rFonts w:ascii="Georgia" w:cs="Georgia" w:eastAsia="Georgia" w:hAnsi="Georgia"/>
          <w:sz w:val="18"/>
          <w:szCs w:val="18"/>
          <w:color w:val="auto"/>
        </w:rPr>
      </w:pPr>
    </w:p>
    <w:p>
      <w:pPr>
        <w:ind w:left="1300" w:right="40" w:hanging="644"/>
        <w:spacing w:after="0" w:line="237" w:lineRule="auto"/>
        <w:tabs>
          <w:tab w:leader="none" w:pos="1300" w:val="left"/>
        </w:tabs>
        <w:numPr>
          <w:ilvl w:val="0"/>
          <w:numId w:val="5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Experimental Treatments. </w:t>
      </w:r>
      <w:r>
        <w:rPr>
          <w:rFonts w:ascii="Georgia" w:cs="Georgia" w:eastAsia="Georgia" w:hAnsi="Georgia"/>
          <w:sz w:val="18"/>
          <w:szCs w:val="18"/>
          <w:color w:val="auto"/>
        </w:rPr>
        <w:t>Along with the above-mentioned treatments, the addition of the antiangiogenic agent</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bevacizumab (BEV) to RTx and TMZ has been explored with mixed clinical results BEV was tested both a first-line treatment together with RTx and concomitant TMZ administration in newly diagnosed glioblastoma patients, as well as in combination with RTx in recurrent GBM patients. BEV was approved by 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8"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Our Solution</w:t>
      </w:r>
    </w:p>
    <w:p>
      <w:pPr>
        <w:spacing w:after="0" w:line="202" w:lineRule="exact"/>
        <w:rPr>
          <w:sz w:val="20"/>
          <w:szCs w:val="20"/>
          <w:color w:val="auto"/>
        </w:rPr>
      </w:pPr>
    </w:p>
    <w:p>
      <w:pPr>
        <w:jc w:val="both"/>
        <w:ind w:right="80"/>
        <w:spacing w:after="0" w:line="237" w:lineRule="auto"/>
        <w:rPr>
          <w:sz w:val="20"/>
          <w:szCs w:val="20"/>
          <w:color w:val="auto"/>
        </w:rPr>
      </w:pPr>
      <w:r>
        <w:rPr>
          <w:rFonts w:ascii="Georgia" w:cs="Georgia" w:eastAsia="Georgia" w:hAnsi="Georgia"/>
          <w:sz w:val="18"/>
          <w:szCs w:val="18"/>
          <w:color w:val="auto"/>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Temferon utilizes our platform and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Georgia" w:cs="Georgia" w:eastAsia="Georgia" w:hAnsi="Georgia"/>
          <w:sz w:val="18"/>
          <w:szCs w:val="18"/>
          <w:i w:val="1"/>
          <w:iCs w:val="1"/>
          <w:color w:val="auto"/>
        </w:rPr>
        <w:t>see</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“Our Leading Product Candidate: Temferon” and “Our Platform”</w:t>
      </w:r>
      <w:r>
        <w:rPr>
          <w:rFonts w:ascii="Georgia" w:cs="Georgia" w:eastAsia="Georgia" w:hAnsi="Georgia"/>
          <w:sz w:val="18"/>
          <w:szCs w:val="18"/>
          <w:color w:val="auto"/>
        </w:rPr>
        <w:t>). Temferon is designed to colonize the patient’s bone marrow with the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genetically modified HSPCs to continuously generate TEMs containing the IFN-α payload. Since TEMs are recruited within the tumor microenvironment, IFN-α is released solely at the targeted tumor, which may result in clinical activity without inducing systemic toxicity.</w:t>
      </w:r>
    </w:p>
    <w:p>
      <w:pPr>
        <w:spacing w:after="0" w:line="205" w:lineRule="exact"/>
        <w:rPr>
          <w:sz w:val="20"/>
          <w:szCs w:val="20"/>
          <w:color w:val="auto"/>
        </w:rPr>
      </w:pPr>
    </w:p>
    <w:p>
      <w:pPr>
        <w:ind w:right="880"/>
        <w:spacing w:after="0" w:line="237" w:lineRule="auto"/>
        <w:rPr>
          <w:sz w:val="20"/>
          <w:szCs w:val="20"/>
          <w:color w:val="auto"/>
        </w:rPr>
      </w:pPr>
      <w:r>
        <w:rPr>
          <w:rFonts w:ascii="Georgia" w:cs="Georgia" w:eastAsia="Georgia" w:hAnsi="Georgia"/>
          <w:sz w:val="18"/>
          <w:szCs w:val="18"/>
          <w:color w:val="auto"/>
        </w:rPr>
        <w:t xml:space="preserve">Once within the tumor microenvironment, IFN-α is expected to act both </w:t>
      </w:r>
      <w:r>
        <w:rPr>
          <w:rFonts w:ascii="Georgia" w:cs="Georgia" w:eastAsia="Georgia" w:hAnsi="Georgia"/>
          <w:sz w:val="18"/>
          <w:szCs w:val="18"/>
          <w:i w:val="1"/>
          <w:iCs w:val="1"/>
          <w:color w:val="auto"/>
        </w:rPr>
        <w:t>directly</w:t>
      </w:r>
      <w:r>
        <w:rPr>
          <w:rFonts w:ascii="Georgia" w:cs="Georgia" w:eastAsia="Georgia" w:hAnsi="Georgia"/>
          <w:sz w:val="18"/>
          <w:szCs w:val="18"/>
          <w:color w:val="auto"/>
        </w:rPr>
        <w:t xml:space="preserve"> by promoting cancer cell apoptosis and inhibiting vascularization and </w:t>
      </w:r>
      <w:r>
        <w:rPr>
          <w:rFonts w:ascii="Georgia" w:cs="Georgia" w:eastAsia="Georgia" w:hAnsi="Georgia"/>
          <w:sz w:val="18"/>
          <w:szCs w:val="18"/>
          <w:i w:val="1"/>
          <w:iCs w:val="1"/>
          <w:color w:val="auto"/>
        </w:rPr>
        <w:t>indirectly</w:t>
      </w:r>
      <w:r>
        <w:rPr>
          <w:rFonts w:ascii="Georgia" w:cs="Georgia" w:eastAsia="Georgia" w:hAnsi="Georgia"/>
          <w:sz w:val="18"/>
          <w:szCs w:val="18"/>
          <w:color w:val="auto"/>
        </w:rPr>
        <w:t xml:space="preserve"> by restoring the body’s anti-tumor immune response, as follows:</w:t>
      </w:r>
    </w:p>
    <w:p>
      <w:pPr>
        <w:spacing w:after="0" w:line="204" w:lineRule="exact"/>
        <w:rPr>
          <w:sz w:val="20"/>
          <w:szCs w:val="20"/>
          <w:color w:val="auto"/>
        </w:rPr>
      </w:pPr>
    </w:p>
    <w:p>
      <w:pPr>
        <w:ind w:left="1300" w:right="660" w:hanging="644"/>
        <w:spacing w:after="0" w:line="237" w:lineRule="auto"/>
        <w:tabs>
          <w:tab w:leader="none" w:pos="1300" w:val="left"/>
        </w:tabs>
        <w:numPr>
          <w:ilvl w:val="0"/>
          <w:numId w:val="59"/>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Direct Effects. </w:t>
      </w:r>
      <w:r>
        <w:rPr>
          <w:rFonts w:ascii="Georgia" w:cs="Georgia" w:eastAsia="Georgia" w:hAnsi="Georgia"/>
          <w:sz w:val="18"/>
          <w:szCs w:val="18"/>
          <w:color w:val="auto"/>
        </w:rPr>
        <w:t>IFN-α suppresses tumor cell proliferation and promotes the apoptosis of tumor and stromal cells by</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induction of proapoptotic genes or repression of anti-apoptotic genes. Moreover, IFN-α inhibits angiogenesis by downregulating the expression of proangiogenic factors.</w:t>
      </w:r>
    </w:p>
    <w:p>
      <w:pPr>
        <w:spacing w:after="0" w:line="204" w:lineRule="exact"/>
        <w:rPr>
          <w:rFonts w:ascii="Georgia" w:cs="Georgia" w:eastAsia="Georgia" w:hAnsi="Georgia"/>
          <w:sz w:val="18"/>
          <w:szCs w:val="18"/>
          <w:color w:val="auto"/>
        </w:rPr>
      </w:pPr>
    </w:p>
    <w:p>
      <w:pPr>
        <w:ind w:left="1300" w:right="60" w:hanging="644"/>
        <w:spacing w:after="0" w:line="237" w:lineRule="auto"/>
        <w:tabs>
          <w:tab w:leader="none" w:pos="1300" w:val="left"/>
        </w:tabs>
        <w:numPr>
          <w:ilvl w:val="0"/>
          <w:numId w:val="59"/>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Indirect Effects. </w:t>
      </w:r>
      <w:r>
        <w:rPr>
          <w:rFonts w:ascii="Georgia" w:cs="Georgia" w:eastAsia="Georgia" w:hAnsi="Georgia"/>
          <w:sz w:val="18"/>
          <w:szCs w:val="18"/>
          <w:color w:val="auto"/>
        </w:rPr>
        <w:t>IFN-α stimulates early innate immune responses and the subsequent adaptive immune response via</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multiple pathways and 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6" w:lineRule="exact"/>
        <w:rPr>
          <w:sz w:val="20"/>
          <w:szCs w:val="20"/>
          <w:color w:val="auto"/>
        </w:rPr>
      </w:pPr>
    </w:p>
    <w:p>
      <w:pPr>
        <w:jc w:val="both"/>
        <w:ind w:right="400"/>
        <w:spacing w:after="0" w:line="237" w:lineRule="auto"/>
        <w:rPr>
          <w:sz w:val="20"/>
          <w:szCs w:val="20"/>
          <w:color w:val="auto"/>
        </w:rPr>
      </w:pPr>
      <w:r>
        <w:rPr>
          <w:rFonts w:ascii="Georgia" w:cs="Georgia" w:eastAsia="Georgia" w:hAnsi="Georgia"/>
          <w:sz w:val="18"/>
          <w:szCs w:val="18"/>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440690</wp:posOffset>
            </wp:positionV>
            <wp:extent cx="5314950" cy="2665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31495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Overview of Temferon antitumor activity</w:t>
      </w:r>
    </w:p>
    <w:p>
      <w:pPr>
        <w:spacing w:after="0" w:line="202" w:lineRule="exact"/>
        <w:rPr>
          <w:sz w:val="20"/>
          <w:szCs w:val="20"/>
          <w:color w:val="auto"/>
        </w:rPr>
      </w:pPr>
    </w:p>
    <w:p>
      <w:pPr>
        <w:ind w:right="60" w:firstLine="648"/>
        <w:spacing w:after="0" w:line="237" w:lineRule="auto"/>
        <w:rPr>
          <w:sz w:val="20"/>
          <w:szCs w:val="20"/>
          <w:color w:val="auto"/>
        </w:rPr>
      </w:pPr>
      <w:r>
        <w:rPr>
          <w:rFonts w:ascii="Georgia" w:cs="Georgia" w:eastAsia="Georgia" w:hAnsi="Georgia"/>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202"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Clinical Development of Temferon in uMGMT-GBM</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Preclinical Data</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440690</wp:posOffset>
            </wp:positionV>
            <wp:extent cx="2623185" cy="29146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262318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Inhibition of Human Gliomas in IFN-α Gene Therapy Treated Athymic Mice (De Palma et al., 2008).</w:t>
      </w:r>
    </w:p>
    <w:p>
      <w:pPr>
        <w:spacing w:after="0" w:line="202"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b w:val="1"/>
          <w:bCs w:val="1"/>
          <w:i w:val="1"/>
          <w:iCs w:val="1"/>
          <w:color w:val="auto"/>
        </w:rPr>
        <w:t xml:space="preserve">A-B) </w:t>
      </w:r>
      <w:r>
        <w:rPr>
          <w:rFonts w:ascii="Georgia" w:cs="Georgia" w:eastAsia="Georgia" w:hAnsi="Georgia"/>
          <w:sz w:val="18"/>
          <w:szCs w:val="18"/>
          <w:i w:val="1"/>
          <w:iCs w:val="1"/>
          <w:color w:val="auto"/>
        </w:rPr>
        <w:t>Glioma growth (mean tumor volume ± SEM, measured by MRI) in individual control and IFN-α gene therapy treated mice</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i w:val="1"/>
          <w:iCs w:val="1"/>
          <w:color w:val="auto"/>
        </w:rPr>
        <w:t xml:space="preserve">(Tie2-IFN) at 3 weeks post tumor injection (PTI). Tumor volume and progression decreased in IFN-α gene therapy treated mice. </w:t>
      </w:r>
      <w:r>
        <w:rPr>
          <w:rFonts w:ascii="Georgia" w:cs="Georgia" w:eastAsia="Georgia" w:hAnsi="Georgia"/>
          <w:sz w:val="18"/>
          <w:szCs w:val="18"/>
          <w:b w:val="1"/>
          <w:bCs w:val="1"/>
          <w:i w:val="1"/>
          <w:iCs w:val="1"/>
          <w:color w:val="auto"/>
        </w:rPr>
        <w:t>C)</w:t>
      </w:r>
      <w:r>
        <w:rPr>
          <w:rFonts w:ascii="Georgia" w:cs="Georgia" w:eastAsia="Georgia" w:hAnsi="Georgia"/>
          <w:sz w:val="18"/>
          <w:szCs w:val="18"/>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Georgia" w:cs="Georgia" w:eastAsia="Georgia" w:hAnsi="Georgia"/>
          <w:sz w:val="18"/>
          <w:szCs w:val="18"/>
          <w:b w:val="1"/>
          <w:bCs w:val="1"/>
          <w:i w:val="1"/>
          <w:iCs w:val="1"/>
          <w:color w:val="auto"/>
        </w:rPr>
        <w:t>D)</w:t>
      </w:r>
      <w:r>
        <w:rPr>
          <w:rFonts w:ascii="Georgia" w:cs="Georgia" w:eastAsia="Georgia" w:hAnsi="Georgia"/>
          <w:sz w:val="18"/>
          <w:szCs w:val="18"/>
          <w:i w:val="1"/>
          <w:iCs w:val="1"/>
          <w:color w:val="auto"/>
        </w:rPr>
        <w:t xml:space="preserve"> Measurement of tumor necrotic fraction (mean necrotic fraction, % ± SEM) by MRI in individual Ctrl and Tie2-IFN mice at 3 weeks PTI, evidencing cancer cell death. </w:t>
      </w:r>
      <w:r>
        <w:rPr>
          <w:rFonts w:ascii="Georgia" w:cs="Georgia" w:eastAsia="Georgia" w:hAnsi="Georgia"/>
          <w:sz w:val="18"/>
          <w:szCs w:val="18"/>
          <w:b w:val="1"/>
          <w:bCs w:val="1"/>
          <w:i w:val="1"/>
          <w:iCs w:val="1"/>
          <w:color w:val="auto"/>
        </w:rPr>
        <w:t>E)</w:t>
      </w:r>
      <w:r>
        <w:rPr>
          <w:rFonts w:ascii="Georgia" w:cs="Georgia" w:eastAsia="Georgia" w:hAnsi="Georgia"/>
          <w:sz w:val="18"/>
          <w:szCs w:val="18"/>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6"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Phase 1/2a Clinical Trial</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the second quarter of 2019, we enrolled our first patient in a single-arm, open label, dose escalation, Phase 1/2a clinical trial, in adult patients aged 18 to 70 years (“TEM-GBM 001 study”). The trial is being conducted at two clinical centers of excellence located in Milan, Italy:</w:t>
      </w:r>
    </w:p>
    <w:p>
      <w:pPr>
        <w:spacing w:after="0" w:line="1" w:lineRule="exact"/>
        <w:rPr>
          <w:sz w:val="20"/>
          <w:szCs w:val="20"/>
          <w:color w:val="auto"/>
        </w:rPr>
      </w:pPr>
    </w:p>
    <w:p>
      <w:pPr>
        <w:ind w:right="200" w:firstLine="8"/>
        <w:spacing w:after="0" w:line="237" w:lineRule="auto"/>
        <w:tabs>
          <w:tab w:leader="none" w:pos="231" w:val="left"/>
        </w:tabs>
        <w:numPr>
          <w:ilvl w:val="0"/>
          <w:numId w:val="60"/>
        </w:numPr>
        <w:rPr>
          <w:rFonts w:ascii="Georgia" w:cs="Georgia" w:eastAsia="Georgia" w:hAnsi="Georgia"/>
          <w:sz w:val="18"/>
          <w:szCs w:val="18"/>
          <w:color w:val="auto"/>
        </w:rPr>
      </w:pPr>
      <w:r>
        <w:rPr>
          <w:rFonts w:ascii="Georgia" w:cs="Georgia" w:eastAsia="Georgia" w:hAnsi="Georgia"/>
          <w:sz w:val="18"/>
          <w:szCs w:val="18"/>
          <w:color w:val="auto"/>
        </w:rPr>
        <w:t>Istituto Nazionale Neurologico “</w:t>
      </w:r>
      <w:r>
        <w:rPr>
          <w:rFonts w:ascii="Georgia" w:cs="Georgia" w:eastAsia="Georgia" w:hAnsi="Georgia"/>
          <w:sz w:val="18"/>
          <w:szCs w:val="18"/>
          <w:i w:val="1"/>
          <w:iCs w:val="1"/>
          <w:color w:val="auto"/>
        </w:rPr>
        <w:t>Carlo Besta</w:t>
      </w:r>
      <w:r>
        <w:rPr>
          <w:rFonts w:ascii="Georgia" w:cs="Georgia" w:eastAsia="Georgia" w:hAnsi="Georgia"/>
          <w:sz w:val="18"/>
          <w:szCs w:val="18"/>
          <w:color w:val="auto"/>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132715</wp:posOffset>
            </wp:positionV>
            <wp:extent cx="3394710" cy="19716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9471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5" w:name="page76"/>
    <w:bookmarkEnd w:id="75"/>
    <w:p>
      <w:pPr>
        <w:ind w:left="660"/>
        <w:spacing w:after="0"/>
        <w:rPr>
          <w:sz w:val="20"/>
          <w:szCs w:val="20"/>
          <w:color w:val="auto"/>
        </w:rPr>
      </w:pPr>
      <w:r>
        <w:rPr>
          <w:rFonts w:ascii="Georgia" w:cs="Georgia" w:eastAsia="Georgia" w:hAnsi="Georgia"/>
          <w:sz w:val="18"/>
          <w:szCs w:val="18"/>
          <w:i w:val="1"/>
          <w:iCs w:val="1"/>
          <w:color w:val="auto"/>
        </w:rPr>
        <w:t>TEM-GBM 001 Study Design.</w:t>
      </w:r>
    </w:p>
    <w:p>
      <w:pPr>
        <w:spacing w:after="0" w:line="202" w:lineRule="exact"/>
        <w:rPr>
          <w:sz w:val="20"/>
          <w:szCs w:val="20"/>
          <w:color w:val="auto"/>
        </w:rPr>
      </w:pPr>
    </w:p>
    <w:p>
      <w:pPr>
        <w:ind w:right="440"/>
        <w:spacing w:after="0" w:line="237" w:lineRule="auto"/>
        <w:rPr>
          <w:sz w:val="20"/>
          <w:szCs w:val="20"/>
          <w:color w:val="auto"/>
        </w:rPr>
      </w:pPr>
      <w:r>
        <w:rPr>
          <w:rFonts w:ascii="Georgia" w:cs="Georgia" w:eastAsia="Georgia" w:hAnsi="Georgia"/>
          <w:sz w:val="18"/>
          <w:szCs w:val="18"/>
          <w:color w:val="auto"/>
        </w:rPr>
        <w:t>Our study aims to evaluate the short-term (up to 90 Days) and long-term (up to 2 years) tolerability and safety of five escalating doses of Temferon in up to 21 patients with uMGMT-GBM and an unmethylated MGMT promoter, following first line radiotherapy.</w:t>
      </w: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Initially the study was designed with a dose escalation phase in 15 patients assigned to 5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spacing w:after="0" w:line="205" w:lineRule="exact"/>
        <w:rPr>
          <w:sz w:val="20"/>
          <w:szCs w:val="20"/>
          <w:color w:val="auto"/>
        </w:rPr>
      </w:pPr>
    </w:p>
    <w:p>
      <w:pPr>
        <w:ind w:right="140"/>
        <w:spacing w:after="0" w:line="200" w:lineRule="auto"/>
        <w:rPr>
          <w:sz w:val="20"/>
          <w:szCs w:val="20"/>
          <w:color w:val="auto"/>
        </w:rPr>
      </w:pPr>
      <w:r>
        <w:rPr>
          <w:rFonts w:ascii="Georgia" w:cs="Georgia" w:eastAsia="Georgia" w:hAnsi="Georgia"/>
          <w:sz w:val="18"/>
          <w:szCs w:val="18"/>
          <w:color w:val="auto"/>
        </w:rPr>
        <w:t>Patients in cohorts 1, 2 and 3 received Temferon dose escalation up to 2 x 10</w:t>
      </w:r>
      <w:r>
        <w:rPr>
          <w:rFonts w:ascii="Georgia" w:cs="Georgia" w:eastAsia="Georgia" w:hAnsi="Georgia"/>
          <w:sz w:val="29"/>
          <w:szCs w:val="29"/>
          <w:color w:val="auto"/>
          <w:vertAlign w:val="superscript"/>
        </w:rPr>
        <w:t>6</w:t>
      </w:r>
      <w:r>
        <w:rPr>
          <w:rFonts w:ascii="Georgia" w:cs="Georgia" w:eastAsia="Georgia" w:hAnsi="Georgia"/>
          <w:sz w:val="18"/>
          <w:szCs w:val="18"/>
          <w:color w:val="auto"/>
        </w:rPr>
        <w:t xml:space="preserve"> CD34+ cells/kg (Dose Level 3) and 3 x 10</w:t>
      </w:r>
      <w:r>
        <w:rPr>
          <w:rFonts w:ascii="Georgia" w:cs="Georgia" w:eastAsia="Georgia" w:hAnsi="Georgia"/>
          <w:sz w:val="29"/>
          <w:szCs w:val="29"/>
          <w:color w:val="auto"/>
          <w:vertAlign w:val="superscript"/>
        </w:rPr>
        <w:t>6</w:t>
      </w:r>
      <w:r>
        <w:rPr>
          <w:rFonts w:ascii="Georgia" w:cs="Georgia" w:eastAsia="Georgia" w:hAnsi="Georgia"/>
          <w:sz w:val="18"/>
          <w:szCs w:val="18"/>
          <w:color w:val="auto"/>
        </w:rPr>
        <w:t xml:space="preserve"> CD34+ cells/kg as unmanipulated supporter HSPCs. Patients in Cohorts 4 and 5 were infused with Temferon Dose Level 3 but received 2 x 10</w:t>
      </w:r>
      <w:r>
        <w:rPr>
          <w:rFonts w:ascii="Georgia" w:cs="Georgia" w:eastAsia="Georgia" w:hAnsi="Georgia"/>
          <w:sz w:val="29"/>
          <w:szCs w:val="29"/>
          <w:color w:val="auto"/>
          <w:vertAlign w:val="superscript"/>
        </w:rPr>
        <w:t>6</w:t>
      </w:r>
      <w:r>
        <w:rPr>
          <w:rFonts w:ascii="Georgia" w:cs="Georgia" w:eastAsia="Georgia" w:hAnsi="Georgia"/>
          <w:sz w:val="18"/>
          <w:szCs w:val="18"/>
          <w:color w:val="auto"/>
        </w:rPr>
        <w:t xml:space="preserve"> CD34+ cells/kg and were conditioned with 2 different conditioning regimens (BCNU &amp; thiotepa for Cohort 4, also utilized in Cohort 1-3 and Busulfan &amp; thiothepa for Cohort 5).</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Based on the results collected in the Part A of the study, we have amended the study to add two additional dose escalation cohorts (numbers 6</w:t>
      </w:r>
    </w:p>
    <w:p>
      <w:pPr>
        <w:ind w:right="280"/>
        <w:spacing w:after="0" w:line="200" w:lineRule="auto"/>
        <w:rPr>
          <w:sz w:val="20"/>
          <w:szCs w:val="20"/>
          <w:color w:val="auto"/>
        </w:rPr>
      </w:pPr>
      <w:r>
        <w:rPr>
          <w:rFonts w:ascii="Georgia" w:cs="Georgia" w:eastAsia="Georgia" w:hAnsi="Georgia"/>
          <w:sz w:val="18"/>
          <w:szCs w:val="18"/>
          <w:color w:val="auto"/>
        </w:rPr>
        <w:t>and 7). The Clinical Protocol amendment was submitted on July 20</w:t>
      </w:r>
      <w:r>
        <w:rPr>
          <w:rFonts w:ascii="Georgia" w:cs="Georgia" w:eastAsia="Georgia" w:hAnsi="Georgia"/>
          <w:sz w:val="29"/>
          <w:szCs w:val="29"/>
          <w:color w:val="auto"/>
          <w:vertAlign w:val="superscript"/>
        </w:rPr>
        <w:t>th</w:t>
      </w:r>
      <w:r>
        <w:rPr>
          <w:rFonts w:ascii="Georgia" w:cs="Georgia" w:eastAsia="Georgia" w:hAnsi="Georgia"/>
          <w:sz w:val="18"/>
          <w:szCs w:val="18"/>
          <w:color w:val="auto"/>
        </w:rPr>
        <w:t>, 2021 to the Italian Competent Authorities, and approved by AIFA in September 2021.</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As per the submitted clinical protocol amendment, Cohorts 6 and 7 will recruit three patients each who will be conditioned with BCNU and</w:t>
      </w:r>
    </w:p>
    <w:p>
      <w:pPr>
        <w:ind w:right="540"/>
        <w:spacing w:after="0" w:line="209" w:lineRule="auto"/>
        <w:rPr>
          <w:sz w:val="20"/>
          <w:szCs w:val="20"/>
          <w:color w:val="auto"/>
        </w:rPr>
      </w:pPr>
      <w:r>
        <w:rPr>
          <w:rFonts w:ascii="Georgia" w:cs="Georgia" w:eastAsia="Georgia" w:hAnsi="Georgia"/>
          <w:sz w:val="17"/>
          <w:szCs w:val="17"/>
          <w:color w:val="auto"/>
        </w:rPr>
        <w:t>thiotepa and will receive 2 x 10</w:t>
      </w:r>
      <w:r>
        <w:rPr>
          <w:rFonts w:ascii="Georgia" w:cs="Georgia" w:eastAsia="Georgia" w:hAnsi="Georgia"/>
          <w:sz w:val="28"/>
          <w:szCs w:val="28"/>
          <w:color w:val="auto"/>
          <w:vertAlign w:val="superscript"/>
        </w:rPr>
        <w:t>6</w:t>
      </w:r>
      <w:r>
        <w:rPr>
          <w:rFonts w:ascii="Georgia" w:cs="Georgia" w:eastAsia="Georgia" w:hAnsi="Georgia"/>
          <w:sz w:val="17"/>
          <w:szCs w:val="17"/>
          <w:color w:val="auto"/>
        </w:rPr>
        <w:t>/kg supporter HSPCs and a Temferon dose of 3 x 10</w:t>
      </w:r>
      <w:r>
        <w:rPr>
          <w:rFonts w:ascii="Georgia" w:cs="Georgia" w:eastAsia="Georgia" w:hAnsi="Georgia"/>
          <w:sz w:val="28"/>
          <w:szCs w:val="28"/>
          <w:color w:val="auto"/>
          <w:vertAlign w:val="superscript"/>
        </w:rPr>
        <w:t>6</w:t>
      </w:r>
      <w:r>
        <w:rPr>
          <w:rFonts w:ascii="Georgia" w:cs="Georgia" w:eastAsia="Georgia" w:hAnsi="Georgia"/>
          <w:sz w:val="17"/>
          <w:szCs w:val="17"/>
          <w:color w:val="auto"/>
        </w:rPr>
        <w:t xml:space="preserve"> cells/kg and (Cohort 6, Dose Level 4), and 4 x 10</w:t>
      </w:r>
      <w:r>
        <w:rPr>
          <w:rFonts w:ascii="Georgia" w:cs="Georgia" w:eastAsia="Georgia" w:hAnsi="Georgia"/>
          <w:sz w:val="28"/>
          <w:szCs w:val="28"/>
          <w:color w:val="auto"/>
          <w:vertAlign w:val="superscript"/>
        </w:rPr>
        <w:t>6</w:t>
      </w:r>
      <w:r>
        <w:rPr>
          <w:rFonts w:ascii="Georgia" w:cs="Georgia" w:eastAsia="Georgia" w:hAnsi="Georgia"/>
          <w:sz w:val="17"/>
          <w:szCs w:val="17"/>
          <w:color w:val="auto"/>
        </w:rPr>
        <w:t xml:space="preserve"> cells/kg (Cohort 7, Dose Level 5), respectively.</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figure below represents the amended TEM-GBM 001 study scheme with interim and anticipated milestones. The study EudraCT Number is 2018-001404-11 and can be found at clinicaltrialsregister.eu/ctr-search/trial/2018-001404-11/IT.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131445</wp:posOffset>
            </wp:positionV>
            <wp:extent cx="5314950" cy="30435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1495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76" w:name="page77"/>
    <w:bookmarkEnd w:id="76"/>
    <w:p>
      <w:pPr>
        <w:ind w:left="660"/>
        <w:spacing w:after="0"/>
        <w:rPr>
          <w:sz w:val="20"/>
          <w:szCs w:val="20"/>
          <w:color w:val="auto"/>
        </w:rPr>
      </w:pPr>
      <w:r>
        <w:rPr>
          <w:rFonts w:ascii="Georgia" w:cs="Georgia" w:eastAsia="Georgia" w:hAnsi="Georgia"/>
          <w:sz w:val="18"/>
          <w:szCs w:val="18"/>
          <w:i w:val="1"/>
          <w:iCs w:val="1"/>
          <w:color w:val="auto"/>
        </w:rPr>
        <w:t>TEM-GBM 001 Amended Study Design.</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Preliminary Interim Results.</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204"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 Temferon and to evaluate its mechanism of action in patients. We enrolled our first patient in April 2019 and as of</w:t>
      </w:r>
    </w:p>
    <w:p>
      <w:pPr>
        <w:spacing w:after="0" w:line="2" w:lineRule="exact"/>
        <w:rPr>
          <w:sz w:val="20"/>
          <w:szCs w:val="20"/>
          <w:color w:val="auto"/>
        </w:rPr>
      </w:pPr>
    </w:p>
    <w:p>
      <w:pPr>
        <w:ind w:right="340"/>
        <w:spacing w:after="0" w:line="200" w:lineRule="auto"/>
        <w:rPr>
          <w:sz w:val="20"/>
          <w:szCs w:val="20"/>
          <w:color w:val="auto"/>
        </w:rPr>
      </w:pPr>
      <w:r>
        <w:rPr>
          <w:rFonts w:ascii="Georgia" w:cs="Georgia" w:eastAsia="Georgia" w:hAnsi="Georgia"/>
          <w:sz w:val="18"/>
          <w:szCs w:val="18"/>
          <w:color w:val="auto"/>
        </w:rPr>
        <w:t>November 15</w:t>
      </w:r>
      <w:r>
        <w:rPr>
          <w:rFonts w:ascii="Georgia" w:cs="Georgia" w:eastAsia="Georgia" w:hAnsi="Georgia"/>
          <w:sz w:val="29"/>
          <w:szCs w:val="29"/>
          <w:color w:val="auto"/>
          <w:vertAlign w:val="superscript"/>
        </w:rPr>
        <w:t>th</w:t>
      </w:r>
      <w:r>
        <w:rPr>
          <w:rFonts w:ascii="Georgia" w:cs="Georgia" w:eastAsia="Georgia" w:hAnsi="Georgia"/>
          <w:sz w:val="18"/>
          <w:szCs w:val="18"/>
          <w:color w:val="auto"/>
        </w:rPr>
        <w:t>, 2021, we had dosed 15 patients, from cohort 1 to 5. We expect to complete the enrollment and the dosing of patients to be assigned to cohorts 6 and 7 by the end of the second quarter of 2022.</w:t>
      </w:r>
    </w:p>
    <w:p>
      <w:pPr>
        <w:spacing w:after="0" w:line="201"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Overview of the current status of TEM-GBM 001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5314950" cy="8401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49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440055</wp:posOffset>
            </wp:positionV>
            <wp:extent cx="5314950" cy="19799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31495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Engineered myeloid cells persist in peripheral blood for up to 18 months</w:t>
      </w:r>
    </w:p>
    <w:p>
      <w:pPr>
        <w:spacing w:after="0" w:line="202" w:lineRule="exact"/>
        <w:rPr>
          <w:sz w:val="20"/>
          <w:szCs w:val="20"/>
          <w:color w:val="auto"/>
        </w:rPr>
      </w:pPr>
    </w:p>
    <w:p>
      <w:pPr>
        <w:ind w:right="640"/>
        <w:spacing w:after="0" w:line="237" w:lineRule="auto"/>
        <w:rPr>
          <w:sz w:val="20"/>
          <w:szCs w:val="20"/>
          <w:color w:val="auto"/>
        </w:rPr>
      </w:pPr>
      <w:r>
        <w:rPr>
          <w:rFonts w:ascii="Georgia" w:cs="Georgia" w:eastAsia="Georgia" w:hAnsi="Georgia"/>
          <w:sz w:val="18"/>
          <w:szCs w:val="18"/>
          <w:color w:val="auto"/>
        </w:rPr>
        <w:t>We also detected very low concentrations of IFN-α in the plasma and cerebrospinal fluid, suggesting the transgene expression control mechanism may be working as intended by limiting systemic IFN-a exposure.</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Nine deaths have been reported to date: seven at +241, +322, +340, +402, +478, +646 and +749 days after Temferon administration due to disease progression, and two deaths at +60 and +122 days which the Investigator considered not related to Temferon but possibly related to complications following the chronic steroid treatment and the conditioning regimens prior to Temferon administration.</w:t>
      </w:r>
    </w:p>
    <w:p>
      <w:pPr>
        <w:spacing w:after="0" w:line="207" w:lineRule="exact"/>
        <w:rPr>
          <w:sz w:val="20"/>
          <w:szCs w:val="20"/>
          <w:color w:val="auto"/>
        </w:rPr>
      </w:pPr>
    </w:p>
    <w:p>
      <w:pPr>
        <w:ind w:right="160"/>
        <w:spacing w:after="0" w:line="224" w:lineRule="auto"/>
        <w:rPr>
          <w:sz w:val="20"/>
          <w:szCs w:val="20"/>
          <w:color w:val="auto"/>
        </w:rPr>
      </w:pPr>
      <w:r>
        <w:rPr>
          <w:rFonts w:ascii="Georgia" w:cs="Georgia" w:eastAsia="Georgia" w:hAnsi="Georgia"/>
          <w:sz w:val="18"/>
          <w:szCs w:val="18"/>
          <w:color w:val="auto"/>
        </w:rPr>
        <w:t>The last evaluable disease status as assessed by immunotherapy response assessment for neuro-oncology (iRANO) criteria as of November 15</w:t>
      </w:r>
      <w:r>
        <w:rPr>
          <w:rFonts w:ascii="Georgia" w:cs="Georgia" w:eastAsia="Georgia" w:hAnsi="Georgia"/>
          <w:sz w:val="29"/>
          <w:szCs w:val="29"/>
          <w:color w:val="auto"/>
          <w:vertAlign w:val="superscript"/>
        </w:rPr>
        <w:t>th</w:t>
      </w:r>
      <w:r>
        <w:rPr>
          <w:rFonts w:ascii="Georgia" w:cs="Georgia" w:eastAsia="Georgia" w:hAnsi="Georgia"/>
          <w:sz w:val="18"/>
          <w:szCs w:val="18"/>
          <w:color w:val="auto"/>
        </w:rPr>
        <w:t>, 2021, the last evaluable time point for all 15 treated patients (prior to death, where applicable), was as follows: six patients had shown stable disease (SD), two patients had demonstrated partial response, seven patients had shown progressive disease (PD).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 -month window for confirmation of progression on follow-up imaging, and further advises that progressive imaging changes beyond six months after immunotherapy initiation are more likely true tumor progression.</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ind w:right="60"/>
        <w:spacing w:after="0" w:line="237" w:lineRule="auto"/>
        <w:rPr>
          <w:sz w:val="20"/>
          <w:szCs w:val="20"/>
          <w:color w:val="auto"/>
        </w:rPr>
      </w:pPr>
      <w:r>
        <w:rPr>
          <w:rFonts w:ascii="Georgia" w:cs="Georgia" w:eastAsia="Georgia" w:hAnsi="Georgia"/>
          <w:sz w:val="18"/>
          <w:szCs w:val="18"/>
          <w:color w:val="auto"/>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and 7.</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TEM-GBM Clinical Development Plan</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intend to submit the CTA for a Temferon Phase 2 study for uMGMT-GBM patients by the fourth quarter of 2022. The Phase 2 study will evaluate the safety, tolerability, biological reprogramming of the tumor 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color w:val="auto"/>
        </w:rPr>
        <w:t>Key components of the anticipated clinical trial are as follows:</w:t>
      </w:r>
    </w:p>
    <w:p>
      <w:pPr>
        <w:spacing w:after="0" w:line="200" w:lineRule="exact"/>
        <w:rPr>
          <w:sz w:val="20"/>
          <w:szCs w:val="20"/>
          <w:color w:val="auto"/>
        </w:rPr>
      </w:pPr>
    </w:p>
    <w:p>
      <w:pPr>
        <w:ind w:left="1300" w:hanging="644"/>
        <w:spacing w:after="0"/>
        <w:tabs>
          <w:tab w:leader="none" w:pos="1300" w:val="left"/>
        </w:tabs>
        <w:numPr>
          <w:ilvl w:val="0"/>
          <w:numId w:val="61"/>
        </w:numPr>
        <w:rPr>
          <w:rFonts w:ascii="Georgia" w:cs="Georgia" w:eastAsia="Georgia" w:hAnsi="Georgia"/>
          <w:sz w:val="18"/>
          <w:szCs w:val="18"/>
          <w:color w:val="auto"/>
        </w:rPr>
      </w:pPr>
      <w:r>
        <w:rPr>
          <w:rFonts w:ascii="Georgia" w:cs="Georgia" w:eastAsia="Georgia" w:hAnsi="Georgia"/>
          <w:sz w:val="18"/>
          <w:szCs w:val="18"/>
          <w:color w:val="auto"/>
        </w:rPr>
        <w:t>Multicenter study evaluating Temferon for safety, tolerability and efficacy compared to the current standard of care;</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61"/>
        </w:numPr>
        <w:rPr>
          <w:rFonts w:ascii="Georgia" w:cs="Georgia" w:eastAsia="Georgia" w:hAnsi="Georgia"/>
          <w:sz w:val="18"/>
          <w:szCs w:val="18"/>
          <w:color w:val="auto"/>
        </w:rPr>
      </w:pPr>
      <w:r>
        <w:rPr>
          <w:rFonts w:ascii="Georgia" w:cs="Georgia" w:eastAsia="Georgia" w:hAnsi="Georgia"/>
          <w:sz w:val="18"/>
          <w:szCs w:val="18"/>
          <w:color w:val="auto"/>
        </w:rPr>
        <w:t>Enrollment and treatment of up to 27 patients with newly diagnosed and recurrent uMGMT-GBM;</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61"/>
        </w:numPr>
        <w:rPr>
          <w:rFonts w:ascii="Georgia" w:cs="Georgia" w:eastAsia="Georgia" w:hAnsi="Georgia"/>
          <w:sz w:val="18"/>
          <w:szCs w:val="18"/>
          <w:color w:val="auto"/>
        </w:rPr>
      </w:pPr>
      <w:r>
        <w:rPr>
          <w:rFonts w:ascii="Georgia" w:cs="Georgia" w:eastAsia="Georgia" w:hAnsi="Georgia"/>
          <w:sz w:val="18"/>
          <w:szCs w:val="18"/>
          <w:color w:val="auto"/>
        </w:rPr>
        <w:t>PFS and mOS as co-primary study endpoints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study design as discussed with FDA at the Pre-IND meeting may be subject to modifications.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Second Solid Tumor Indication</w:t>
      </w:r>
    </w:p>
    <w:p>
      <w:pPr>
        <w:spacing w:after="0" w:line="202"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We are also evaluating liver cancers as a potential second solid tumor to be investigated. HCC and ICC are gastrointestinal cancers affecting the digestive system. We chose to pursue these indications for similar reasons as the uMGMT-GBM indication, namely:</w:t>
      </w:r>
    </w:p>
    <w:p>
      <w:pPr>
        <w:spacing w:after="0" w:line="204" w:lineRule="exact"/>
        <w:rPr>
          <w:sz w:val="20"/>
          <w:szCs w:val="20"/>
          <w:color w:val="auto"/>
        </w:rPr>
      </w:pPr>
    </w:p>
    <w:p>
      <w:pPr>
        <w:ind w:left="1300" w:right="160" w:hanging="644"/>
        <w:spacing w:after="0" w:line="237" w:lineRule="auto"/>
        <w:tabs>
          <w:tab w:leader="none" w:pos="1300" w:val="left"/>
        </w:tabs>
        <w:numPr>
          <w:ilvl w:val="0"/>
          <w:numId w:val="62"/>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High unmet medical need and market opportunity</w:t>
      </w:r>
      <w:r>
        <w:rPr>
          <w:rFonts w:ascii="Georgia" w:cs="Georgia" w:eastAsia="Georgia" w:hAnsi="Georgia"/>
          <w:sz w:val="18"/>
          <w:szCs w:val="18"/>
          <w:b w:val="1"/>
          <w:bCs w:val="1"/>
          <w:color w:val="auto"/>
        </w:rPr>
        <w:t>.</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The prognosis for patients with locally advanced HCC and ICC</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remains poor with few therapeutic options having limited clinical benefits.</w:t>
      </w:r>
    </w:p>
    <w:p>
      <w:pPr>
        <w:spacing w:after="0" w:line="202" w:lineRule="exact"/>
        <w:rPr>
          <w:rFonts w:ascii="Georgia" w:cs="Georgia" w:eastAsia="Georgia" w:hAnsi="Georgia"/>
          <w:sz w:val="18"/>
          <w:szCs w:val="18"/>
          <w:color w:val="auto"/>
        </w:rPr>
      </w:pPr>
    </w:p>
    <w:p>
      <w:pPr>
        <w:ind w:left="1300" w:hanging="644"/>
        <w:spacing w:after="0"/>
        <w:tabs>
          <w:tab w:leader="none" w:pos="1300" w:val="left"/>
        </w:tabs>
        <w:numPr>
          <w:ilvl w:val="0"/>
          <w:numId w:val="62"/>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TEMs have an active role in HCC and ICC pathology.</w:t>
      </w:r>
    </w:p>
    <w:p>
      <w:pPr>
        <w:spacing w:after="0" w:line="201" w:lineRule="exact"/>
        <w:rPr>
          <w:rFonts w:ascii="Georgia" w:cs="Georgia" w:eastAsia="Georgia" w:hAnsi="Georgia"/>
          <w:sz w:val="18"/>
          <w:szCs w:val="18"/>
          <w:color w:val="auto"/>
        </w:rPr>
      </w:pPr>
    </w:p>
    <w:p>
      <w:pPr>
        <w:ind w:left="1960" w:right="100" w:hanging="656"/>
        <w:spacing w:after="0" w:line="236" w:lineRule="auto"/>
        <w:tabs>
          <w:tab w:leader="none" w:pos="1960" w:val="left"/>
        </w:tabs>
        <w:numPr>
          <w:ilvl w:val="1"/>
          <w:numId w:val="62"/>
        </w:numPr>
        <w:rPr>
          <w:rFonts w:ascii="Times New Roman" w:cs="Times New Roman" w:eastAsia="Times New Roman" w:hAnsi="Times New Roman"/>
          <w:sz w:val="18"/>
          <w:szCs w:val="18"/>
          <w:color w:val="auto"/>
        </w:rPr>
      </w:pPr>
      <w:r>
        <w:rPr>
          <w:rFonts w:ascii="Georgia" w:cs="Georgia" w:eastAsia="Georgia" w:hAnsi="Georgia"/>
          <w:sz w:val="18"/>
          <w:szCs w:val="18"/>
          <w:color w:val="auto"/>
        </w:rPr>
        <w:t>Several third-party studies have shown that tumor infiltration by tumor associated myeloid cells, including TEMs, is a negative prognostic factor in HCC and ICC.</w:t>
      </w:r>
    </w:p>
    <w:p>
      <w:pPr>
        <w:spacing w:after="0" w:line="19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2"/>
        </w:numPr>
        <w:rPr>
          <w:rFonts w:ascii="Times New Roman" w:cs="Times New Roman" w:eastAsia="Times New Roman" w:hAnsi="Times New Roman"/>
          <w:sz w:val="18"/>
          <w:szCs w:val="18"/>
          <w:color w:val="auto"/>
        </w:rPr>
      </w:pPr>
      <w:r>
        <w:rPr>
          <w:rFonts w:ascii="Georgia" w:cs="Georgia" w:eastAsia="Georgia" w:hAnsi="Georgia"/>
          <w:sz w:val="18"/>
          <w:szCs w:val="18"/>
          <w:color w:val="auto"/>
        </w:rPr>
        <w:t>In HCC, TEMs are the most abundant proportion of tumor associated myeloid cells.</w:t>
      </w:r>
    </w:p>
    <w:p>
      <w:pPr>
        <w:spacing w:after="0" w:line="215" w:lineRule="exact"/>
        <w:rPr>
          <w:rFonts w:ascii="Times New Roman" w:cs="Times New Roman" w:eastAsia="Times New Roman" w:hAnsi="Times New Roman"/>
          <w:sz w:val="18"/>
          <w:szCs w:val="18"/>
          <w:color w:val="auto"/>
        </w:rPr>
      </w:pPr>
    </w:p>
    <w:p>
      <w:pPr>
        <w:ind w:left="1960" w:right="740" w:hanging="656"/>
        <w:spacing w:after="0" w:line="236" w:lineRule="auto"/>
        <w:tabs>
          <w:tab w:leader="none" w:pos="1960" w:val="left"/>
        </w:tabs>
        <w:numPr>
          <w:ilvl w:val="1"/>
          <w:numId w:val="62"/>
        </w:numPr>
        <w:rPr>
          <w:rFonts w:ascii="Times New Roman" w:cs="Times New Roman" w:eastAsia="Times New Roman" w:hAnsi="Times New Roman"/>
          <w:sz w:val="18"/>
          <w:szCs w:val="18"/>
          <w:color w:val="auto"/>
        </w:rPr>
      </w:pPr>
      <w:r>
        <w:rPr>
          <w:rFonts w:ascii="Georgia" w:cs="Georgia" w:eastAsia="Georgia" w:hAnsi="Georgia"/>
          <w:sz w:val="18"/>
          <w:szCs w:val="18"/>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203" w:lineRule="exact"/>
        <w:rPr>
          <w:rFonts w:ascii="Times New Roman" w:cs="Times New Roman" w:eastAsia="Times New Roman" w:hAnsi="Times New Roman"/>
          <w:sz w:val="18"/>
          <w:szCs w:val="18"/>
          <w:color w:val="auto"/>
        </w:rPr>
      </w:pPr>
    </w:p>
    <w:p>
      <w:pPr>
        <w:ind w:left="1960" w:right="40" w:hanging="656"/>
        <w:spacing w:after="0" w:line="236" w:lineRule="auto"/>
        <w:tabs>
          <w:tab w:leader="none" w:pos="1960" w:val="left"/>
        </w:tabs>
        <w:numPr>
          <w:ilvl w:val="1"/>
          <w:numId w:val="62"/>
        </w:numPr>
        <w:rPr>
          <w:rFonts w:ascii="Times New Roman" w:cs="Times New Roman" w:eastAsia="Times New Roman" w:hAnsi="Times New Roman"/>
          <w:sz w:val="18"/>
          <w:szCs w:val="18"/>
          <w:color w:val="auto"/>
        </w:rPr>
      </w:pPr>
      <w:r>
        <w:rPr>
          <w:rFonts w:ascii="Georgia" w:cs="Georgia" w:eastAsia="Georgia" w:hAnsi="Georgia"/>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02" w:lineRule="exact"/>
        <w:rPr>
          <w:sz w:val="20"/>
          <w:szCs w:val="20"/>
          <w:color w:val="auto"/>
        </w:rPr>
      </w:pPr>
    </w:p>
    <w:p>
      <w:pPr>
        <w:ind w:left="1300" w:right="160" w:hanging="644"/>
        <w:spacing w:after="0" w:line="233" w:lineRule="auto"/>
        <w:tabs>
          <w:tab w:leader="none" w:pos="1300" w:val="left"/>
        </w:tabs>
        <w:numPr>
          <w:ilvl w:val="0"/>
          <w:numId w:val="63"/>
        </w:numPr>
        <w:rPr>
          <w:rFonts w:ascii="Arial" w:cs="Arial" w:eastAsia="Arial" w:hAnsi="Arial"/>
          <w:sz w:val="18"/>
          <w:szCs w:val="18"/>
          <w:color w:val="auto"/>
        </w:rPr>
      </w:pPr>
      <w:r>
        <w:rPr>
          <w:rFonts w:ascii="Georgia" w:cs="Georgia" w:eastAsia="Georgia" w:hAnsi="Georgia"/>
          <w:sz w:val="18"/>
          <w:szCs w:val="18"/>
          <w:b w:val="1"/>
          <w:bCs w:val="1"/>
          <w:i w:val="1"/>
          <w:iCs w:val="1"/>
          <w:color w:val="auto"/>
        </w:rPr>
        <w:t xml:space="preserve">Pro-inflammatory and immunosuppressive tumor microenvironment. </w:t>
      </w:r>
      <w:r>
        <w:rPr>
          <w:rFonts w:ascii="Arial" w:cs="Arial" w:eastAsia="Arial" w:hAnsi="Arial"/>
          <w:sz w:val="18"/>
          <w:szCs w:val="18"/>
          <w:color w:val="auto"/>
        </w:rPr>
        <w:t>Both locally advanced HCC and ICC are</w:t>
      </w:r>
      <w:r>
        <w:rPr>
          <w:rFonts w:ascii="Georgia" w:cs="Georgia" w:eastAsia="Georgia" w:hAnsi="Georgia"/>
          <w:sz w:val="18"/>
          <w:szCs w:val="18"/>
          <w:b w:val="1"/>
          <w:bCs w:val="1"/>
          <w:i w:val="1"/>
          <w:iCs w:val="1"/>
          <w:color w:val="auto"/>
        </w:rPr>
        <w:t xml:space="preserve"> </w:t>
      </w:r>
      <w:r>
        <w:rPr>
          <w:rFonts w:ascii="Arial" w:cs="Arial" w:eastAsia="Arial" w:hAnsi="Arial"/>
          <w:sz w:val="18"/>
          <w:szCs w:val="18"/>
          <w:color w:val="auto"/>
        </w:rPr>
        <w:t>characterized by a pro-inflammatory and immunosuppressive tumor microenvironment with TEMs playing a key role.</w:t>
      </w:r>
    </w:p>
    <w:p>
      <w:pPr>
        <w:spacing w:after="0" w:line="203" w:lineRule="exact"/>
        <w:rPr>
          <w:rFonts w:ascii="Arial" w:cs="Arial" w:eastAsia="Arial" w:hAnsi="Arial"/>
          <w:sz w:val="18"/>
          <w:szCs w:val="18"/>
          <w:color w:val="auto"/>
        </w:rPr>
      </w:pPr>
    </w:p>
    <w:p>
      <w:pPr>
        <w:ind w:left="1300" w:right="60" w:hanging="644"/>
        <w:spacing w:after="0" w:line="234" w:lineRule="auto"/>
        <w:tabs>
          <w:tab w:leader="none" w:pos="1300" w:val="left"/>
        </w:tabs>
        <w:numPr>
          <w:ilvl w:val="0"/>
          <w:numId w:val="63"/>
        </w:numPr>
        <w:rPr>
          <w:rFonts w:ascii="Arial" w:cs="Arial" w:eastAsia="Arial" w:hAnsi="Arial"/>
          <w:sz w:val="18"/>
          <w:szCs w:val="18"/>
          <w:color w:val="auto"/>
        </w:rPr>
      </w:pPr>
      <w:r>
        <w:rPr>
          <w:rFonts w:ascii="Georgia" w:cs="Georgia" w:eastAsia="Georgia" w:hAnsi="Georgia"/>
          <w:sz w:val="18"/>
          <w:szCs w:val="18"/>
          <w:b w:val="1"/>
          <w:bCs w:val="1"/>
          <w:i w:val="1"/>
          <w:iCs w:val="1"/>
          <w:color w:val="auto"/>
        </w:rPr>
        <w:t xml:space="preserve">IFN-α and liver tumors. </w:t>
      </w:r>
      <w:r>
        <w:rPr>
          <w:rFonts w:ascii="Arial" w:cs="Arial" w:eastAsia="Arial" w:hAnsi="Arial"/>
          <w:sz w:val="18"/>
          <w:szCs w:val="18"/>
          <w:color w:val="auto"/>
        </w:rPr>
        <w:t>Chronic inflammation resulting from HBV and HCV infection are key contributors for the</w:t>
      </w:r>
      <w:r>
        <w:rPr>
          <w:rFonts w:ascii="Georgia" w:cs="Georgia" w:eastAsia="Georgia" w:hAnsi="Georgia"/>
          <w:sz w:val="18"/>
          <w:szCs w:val="18"/>
          <w:b w:val="1"/>
          <w:bCs w:val="1"/>
          <w:i w:val="1"/>
          <w:iCs w:val="1"/>
          <w:color w:val="auto"/>
        </w:rPr>
        <w:t xml:space="preserve"> </w:t>
      </w:r>
      <w:r>
        <w:rPr>
          <w:rFonts w:ascii="Arial" w:cs="Arial" w:eastAsia="Arial" w:hAnsi="Arial"/>
          <w:sz w:val="18"/>
          <w:szCs w:val="18"/>
          <w:color w:val="auto"/>
        </w:rPr>
        <w:t>development of HCC or ICC. 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204"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63"/>
        </w:numPr>
        <w:rPr>
          <w:rFonts w:ascii="Arial" w:cs="Arial" w:eastAsia="Arial" w:hAnsi="Arial"/>
          <w:sz w:val="18"/>
          <w:szCs w:val="18"/>
          <w:color w:val="auto"/>
        </w:rPr>
      </w:pPr>
      <w:r>
        <w:rPr>
          <w:rFonts w:ascii="Georgia" w:cs="Georgia" w:eastAsia="Georgia" w:hAnsi="Georgia"/>
          <w:sz w:val="18"/>
          <w:szCs w:val="18"/>
          <w:b w:val="1"/>
          <w:bCs w:val="1"/>
          <w:i w:val="1"/>
          <w:iCs w:val="1"/>
          <w:color w:val="auto"/>
        </w:rPr>
        <w:t xml:space="preserve">Available preclinical data. </w:t>
      </w:r>
      <w:r>
        <w:rPr>
          <w:rFonts w:ascii="Arial" w:cs="Arial" w:eastAsia="Arial" w:hAnsi="Arial"/>
          <w:sz w:val="18"/>
          <w:szCs w:val="18"/>
          <w:color w:val="auto"/>
        </w:rPr>
        <w:t>We have preclinical data, published in peer reviewed papers suggesting that TEMs used as a</w:t>
      </w:r>
      <w:r>
        <w:rPr>
          <w:rFonts w:ascii="Georgia" w:cs="Georgia" w:eastAsia="Georgia" w:hAnsi="Georgia"/>
          <w:sz w:val="18"/>
          <w:szCs w:val="18"/>
          <w:b w:val="1"/>
          <w:bCs w:val="1"/>
          <w:i w:val="1"/>
          <w:iCs w:val="1"/>
          <w:color w:val="auto"/>
        </w:rPr>
        <w:t xml:space="preserve"> </w:t>
      </w:r>
      <w:r>
        <w:rPr>
          <w:rFonts w:ascii="Arial" w:cs="Arial" w:eastAsia="Arial" w:hAnsi="Arial"/>
          <w:sz w:val="18"/>
          <w:szCs w:val="18"/>
          <w:color w:val="auto"/>
        </w:rPr>
        <w:t>“Trojan Horse” for cancer that has metastasized to the liver were able to induce a statistically significant tumor shrinkage and control disease progression.</w:t>
      </w:r>
    </w:p>
    <w:p>
      <w:pPr>
        <w:spacing w:after="0" w:line="201" w:lineRule="exact"/>
        <w:rPr>
          <w:rFonts w:ascii="Arial" w:cs="Arial" w:eastAsia="Arial" w:hAnsi="Arial"/>
          <w:sz w:val="18"/>
          <w:szCs w:val="18"/>
          <w:color w:val="auto"/>
        </w:rPr>
      </w:pPr>
    </w:p>
    <w:p>
      <w:pPr>
        <w:jc w:val="both"/>
        <w:ind w:left="1300" w:right="640" w:hanging="644"/>
        <w:spacing w:after="0" w:line="234" w:lineRule="auto"/>
        <w:tabs>
          <w:tab w:leader="none" w:pos="1300" w:val="left"/>
        </w:tabs>
        <w:numPr>
          <w:ilvl w:val="0"/>
          <w:numId w:val="63"/>
        </w:numPr>
        <w:rPr>
          <w:rFonts w:ascii="Arial" w:cs="Arial" w:eastAsia="Arial" w:hAnsi="Arial"/>
          <w:sz w:val="18"/>
          <w:szCs w:val="18"/>
          <w:color w:val="auto"/>
        </w:rPr>
      </w:pPr>
      <w:r>
        <w:rPr>
          <w:rFonts w:ascii="Georgia" w:cs="Georgia" w:eastAsia="Georgia" w:hAnsi="Georgia"/>
          <w:sz w:val="18"/>
          <w:szCs w:val="18"/>
          <w:b w:val="1"/>
          <w:bCs w:val="1"/>
          <w:i w:val="1"/>
          <w:iCs w:val="1"/>
          <w:color w:val="auto"/>
        </w:rPr>
        <w:t xml:space="preserve">Market Opportunity. </w:t>
      </w:r>
      <w:r>
        <w:rPr>
          <w:rFonts w:ascii="Arial" w:cs="Arial" w:eastAsia="Arial" w:hAnsi="Arial"/>
          <w:sz w:val="18"/>
          <w:szCs w:val="18"/>
          <w:color w:val="auto"/>
        </w:rPr>
        <w:t>Based on currently available treatments, the HCC and ICC combined global market value is</w:t>
      </w:r>
      <w:r>
        <w:rPr>
          <w:rFonts w:ascii="Georgia" w:cs="Georgia" w:eastAsia="Georgia" w:hAnsi="Georgia"/>
          <w:sz w:val="18"/>
          <w:szCs w:val="18"/>
          <w:b w:val="1"/>
          <w:bCs w:val="1"/>
          <w:i w:val="1"/>
          <w:iCs w:val="1"/>
          <w:color w:val="auto"/>
        </w:rPr>
        <w:t xml:space="preserve"> </w:t>
      </w:r>
      <w:r>
        <w:rPr>
          <w:rFonts w:ascii="Arial" w:cs="Arial" w:eastAsia="Arial" w:hAnsi="Arial"/>
          <w:sz w:val="18"/>
          <w:szCs w:val="18"/>
          <w:color w:val="auto"/>
        </w:rPr>
        <w:t>projected to grow to over $2.6 billion by 2026. We believe a novel therapeutic which demonstrates improvement over existing therapies would greatly grow the market size.</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Disease Overview</w:t>
      </w:r>
    </w:p>
    <w:p>
      <w:pPr>
        <w:spacing w:after="0" w:line="202"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06" w:lineRule="exact"/>
        <w:rPr>
          <w:sz w:val="20"/>
          <w:szCs w:val="20"/>
          <w:color w:val="auto"/>
        </w:rPr>
      </w:pPr>
    </w:p>
    <w:p>
      <w:pPr>
        <w:ind w:left="1300" w:right="40" w:hanging="644"/>
        <w:spacing w:after="0" w:line="234" w:lineRule="auto"/>
        <w:tabs>
          <w:tab w:leader="none" w:pos="1300" w:val="left"/>
        </w:tabs>
        <w:numPr>
          <w:ilvl w:val="0"/>
          <w:numId w:val="64"/>
        </w:numPr>
        <w:rPr>
          <w:rFonts w:ascii="Arial" w:cs="Arial" w:eastAsia="Arial" w:hAnsi="Arial"/>
          <w:sz w:val="18"/>
          <w:szCs w:val="18"/>
          <w:color w:val="auto"/>
        </w:rPr>
      </w:pPr>
      <w:r>
        <w:rPr>
          <w:rFonts w:ascii="Georgia" w:cs="Georgia" w:eastAsia="Georgia" w:hAnsi="Georgia"/>
          <w:sz w:val="18"/>
          <w:szCs w:val="18"/>
          <w:b w:val="1"/>
          <w:bCs w:val="1"/>
          <w:i w:val="1"/>
          <w:iCs w:val="1"/>
          <w:color w:val="auto"/>
        </w:rPr>
        <w:t xml:space="preserve">Hepatocellular carcinoma </w:t>
      </w:r>
      <w:r>
        <w:rPr>
          <w:rFonts w:ascii="Arial" w:cs="Arial" w:eastAsia="Arial" w:hAnsi="Arial"/>
          <w:sz w:val="18"/>
          <w:szCs w:val="18"/>
          <w:color w:val="auto"/>
        </w:rPr>
        <w:t>(HCC) is a primary malignancy of the liver that occurs predominantly in patients with</w:t>
      </w:r>
      <w:r>
        <w:rPr>
          <w:rFonts w:ascii="Georgia" w:cs="Georgia" w:eastAsia="Georgia" w:hAnsi="Georgia"/>
          <w:sz w:val="18"/>
          <w:szCs w:val="18"/>
          <w:b w:val="1"/>
          <w:bCs w:val="1"/>
          <w:i w:val="1"/>
          <w:iCs w:val="1"/>
          <w:color w:val="auto"/>
        </w:rPr>
        <w:t xml:space="preserve"> </w:t>
      </w:r>
      <w:r>
        <w:rPr>
          <w:rFonts w:ascii="Arial" w:cs="Arial" w:eastAsia="Arial" w:hAnsi="Arial"/>
          <w:sz w:val="18"/>
          <w:szCs w:val="18"/>
          <w:color w:val="auto"/>
        </w:rPr>
        <w:t>underlying chronic liver disease 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205" w:lineRule="exact"/>
        <w:rPr>
          <w:rFonts w:ascii="Arial" w:cs="Arial" w:eastAsia="Arial" w:hAnsi="Arial"/>
          <w:sz w:val="18"/>
          <w:szCs w:val="18"/>
          <w:color w:val="auto"/>
        </w:rPr>
      </w:pPr>
    </w:p>
    <w:p>
      <w:pPr>
        <w:ind w:left="1300" w:right="60" w:hanging="644"/>
        <w:spacing w:after="0" w:line="234" w:lineRule="auto"/>
        <w:tabs>
          <w:tab w:leader="none" w:pos="1300" w:val="left"/>
        </w:tabs>
        <w:numPr>
          <w:ilvl w:val="0"/>
          <w:numId w:val="64"/>
        </w:numPr>
        <w:rPr>
          <w:rFonts w:ascii="Georgia" w:cs="Georgia" w:eastAsia="Georgia" w:hAnsi="Georgia"/>
          <w:sz w:val="18"/>
          <w:szCs w:val="18"/>
          <w:b w:val="1"/>
          <w:bCs w:val="1"/>
          <w:i w:val="1"/>
          <w:iCs w:val="1"/>
          <w:color w:val="auto"/>
        </w:rPr>
      </w:pPr>
      <w:r>
        <w:rPr>
          <w:rFonts w:ascii="Georgia" w:cs="Georgia" w:eastAsia="Georgia" w:hAnsi="Georgia"/>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w:t>
      </w:r>
      <w:r>
        <w:rPr>
          <w:rFonts w:ascii="Georgia" w:cs="Georgia" w:eastAsia="Georgia" w:hAnsi="Georgia"/>
          <w:sz w:val="18"/>
          <w:szCs w:val="18"/>
          <w:b w:val="1"/>
          <w:bCs w:val="1"/>
          <w:i w:val="1"/>
          <w:iCs w:val="1"/>
          <w:color w:val="auto"/>
        </w:rPr>
        <w:t xml:space="preserve"> </w:t>
      </w:r>
      <w:r>
        <w:rPr>
          <w:rFonts w:ascii="Arial" w:cs="Arial" w:eastAsia="Arial" w:hAnsi="Arial"/>
          <w:sz w:val="18"/>
          <w:szCs w:val="18"/>
          <w:color w:val="auto"/>
        </w:rPr>
        <w:t>accounts for 5% to 10% of those cases. The incidence is 2.1 per 100,000 person years. Despite surgery, the prognosis remains poor with disease recurrence and progression occurring in approximately two-thirds of patients and a 5-year survival rate of only 30%.</w:t>
      </w:r>
    </w:p>
    <w:p>
      <w:pPr>
        <w:spacing w:after="0" w:line="201"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HCC Current Treatment Landscape and Limitations</w:t>
      </w:r>
    </w:p>
    <w:p>
      <w:pPr>
        <w:spacing w:after="0" w:line="20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07" w:lineRule="exact"/>
        <w:rPr>
          <w:sz w:val="20"/>
          <w:szCs w:val="20"/>
          <w:color w:val="auto"/>
        </w:rPr>
      </w:pPr>
    </w:p>
    <w:p>
      <w:pPr>
        <w:ind w:left="1300" w:right="240" w:hanging="644"/>
        <w:spacing w:after="0" w:line="234" w:lineRule="auto"/>
        <w:tabs>
          <w:tab w:leader="none" w:pos="1300" w:val="left"/>
        </w:tabs>
        <w:numPr>
          <w:ilvl w:val="0"/>
          <w:numId w:val="65"/>
        </w:numPr>
        <w:rPr>
          <w:rFonts w:ascii="Arial" w:cs="Arial" w:eastAsia="Arial" w:hAnsi="Arial"/>
          <w:sz w:val="18"/>
          <w:szCs w:val="18"/>
          <w:color w:val="auto"/>
        </w:rPr>
      </w:pPr>
      <w:r>
        <w:rPr>
          <w:rFonts w:ascii="Georgia" w:cs="Georgia" w:eastAsia="Georgia" w:hAnsi="Georgia"/>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w:t>
      </w:r>
      <w:r>
        <w:rPr>
          <w:rFonts w:ascii="Georgia" w:cs="Georgia" w:eastAsia="Georgia" w:hAnsi="Georgia"/>
          <w:sz w:val="18"/>
          <w:szCs w:val="18"/>
          <w:b w:val="1"/>
          <w:bCs w:val="1"/>
          <w:i w:val="1"/>
          <w:iCs w:val="1"/>
          <w:color w:val="auto"/>
        </w:rPr>
        <w:t xml:space="preserve"> </w:t>
      </w:r>
      <w:r>
        <w:rPr>
          <w:rFonts w:ascii="Arial" w:cs="Arial" w:eastAsia="Arial" w:hAnsi="Arial"/>
          <w:sz w:val="18"/>
          <w:szCs w:val="18"/>
          <w:color w:val="auto"/>
        </w:rPr>
        <w:t>effectiveness in terms of disease control and overall survival. However, despite the accurate selection of patients with early tumors and the complete tumor removal, HCC patients are at high risk of tumor recurrence.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0" w:name="page81"/>
    <w:bookmarkEnd w:id="80"/>
    <w:p>
      <w:pPr>
        <w:ind w:left="1300" w:right="80" w:hanging="644"/>
        <w:spacing w:after="0" w:line="237" w:lineRule="auto"/>
        <w:tabs>
          <w:tab w:leader="none" w:pos="1300" w:val="left"/>
        </w:tabs>
        <w:numPr>
          <w:ilvl w:val="0"/>
          <w:numId w:val="6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Percutaneous ethanol injection </w:t>
      </w:r>
      <w:r>
        <w:rPr>
          <w:rFonts w:ascii="Georgia" w:cs="Georgia" w:eastAsia="Georgia" w:hAnsi="Georgia"/>
          <w:sz w:val="18"/>
          <w:szCs w:val="18"/>
          <w:color w:val="auto"/>
        </w:rPr>
        <w:t>(PEI) is an effective technique used for early-stage HCC with a low complication rate</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that induces the complete 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204" w:lineRule="exact"/>
        <w:rPr>
          <w:rFonts w:ascii="Georgia" w:cs="Georgia" w:eastAsia="Georgia" w:hAnsi="Georgia"/>
          <w:sz w:val="18"/>
          <w:szCs w:val="18"/>
          <w:color w:val="auto"/>
        </w:rPr>
      </w:pPr>
    </w:p>
    <w:p>
      <w:pPr>
        <w:ind w:left="1300" w:right="60" w:hanging="644"/>
        <w:spacing w:after="0" w:line="237" w:lineRule="auto"/>
        <w:tabs>
          <w:tab w:leader="none" w:pos="1300" w:val="left"/>
        </w:tabs>
        <w:numPr>
          <w:ilvl w:val="0"/>
          <w:numId w:val="6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Radiofrequency ablation </w:t>
      </w:r>
      <w:r>
        <w:rPr>
          <w:rFonts w:ascii="Georgia" w:cs="Georgia" w:eastAsia="Georgia" w:hAnsi="Georgia"/>
          <w:sz w:val="18"/>
          <w:szCs w:val="18"/>
          <w:color w:val="auto"/>
        </w:rPr>
        <w:t>(RFA) has advantages compared to PEI including ease of performance, effectiveness similar to</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that of surgical resection, 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204" w:lineRule="exact"/>
        <w:rPr>
          <w:rFonts w:ascii="Georgia" w:cs="Georgia" w:eastAsia="Georgia" w:hAnsi="Georgia"/>
          <w:sz w:val="18"/>
          <w:szCs w:val="18"/>
          <w:color w:val="auto"/>
        </w:rPr>
      </w:pPr>
    </w:p>
    <w:p>
      <w:pPr>
        <w:ind w:left="1300" w:right="220" w:hanging="644"/>
        <w:spacing w:after="0" w:line="237" w:lineRule="auto"/>
        <w:tabs>
          <w:tab w:leader="none" w:pos="1300" w:val="left"/>
        </w:tabs>
        <w:numPr>
          <w:ilvl w:val="0"/>
          <w:numId w:val="6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Transarterial chemoembolization </w:t>
      </w:r>
      <w:r>
        <w:rPr>
          <w:rFonts w:ascii="Georgia" w:cs="Georgia" w:eastAsia="Georgia" w:hAnsi="Georgia"/>
          <w:sz w:val="18"/>
          <w:szCs w:val="18"/>
          <w:color w:val="auto"/>
        </w:rPr>
        <w:t>(TACE) is the current standard of care for patients with intermediate/late-stage</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HCC and who have relatively 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05" w:lineRule="exact"/>
        <w:rPr>
          <w:rFonts w:ascii="Georgia" w:cs="Georgia" w:eastAsia="Georgia" w:hAnsi="Georgia"/>
          <w:sz w:val="18"/>
          <w:szCs w:val="18"/>
          <w:color w:val="auto"/>
        </w:rPr>
      </w:pPr>
    </w:p>
    <w:p>
      <w:pPr>
        <w:ind w:left="1300" w:right="40" w:hanging="644"/>
        <w:spacing w:after="0" w:line="237" w:lineRule="auto"/>
        <w:tabs>
          <w:tab w:leader="none" w:pos="1300" w:val="left"/>
        </w:tabs>
        <w:numPr>
          <w:ilvl w:val="0"/>
          <w:numId w:val="66"/>
        </w:numPr>
        <w:rPr>
          <w:rFonts w:ascii="Georgia" w:cs="Georgia" w:eastAsia="Georgia" w:hAnsi="Georgia"/>
          <w:sz w:val="18"/>
          <w:szCs w:val="18"/>
          <w:color w:val="auto"/>
        </w:rPr>
      </w:pPr>
      <w:r>
        <w:rPr>
          <w:rFonts w:ascii="Georgia" w:cs="Georgia" w:eastAsia="Georgia" w:hAnsi="Georgia"/>
          <w:sz w:val="18"/>
          <w:szCs w:val="18"/>
          <w:b w:val="1"/>
          <w:bCs w:val="1"/>
          <w:i w:val="1"/>
          <w:iCs w:val="1"/>
          <w:color w:val="auto"/>
        </w:rPr>
        <w:t xml:space="preserve">Sorafenib </w:t>
      </w:r>
      <w:r>
        <w:rPr>
          <w:rFonts w:ascii="Georgia" w:cs="Georgia" w:eastAsia="Georgia" w:hAnsi="Georgia"/>
          <w:sz w:val="18"/>
          <w:szCs w:val="18"/>
          <w:color w:val="auto"/>
        </w:rPr>
        <w:t>has been the first line chemotherapy standard of care for patients with advanced unresectable hepatocellular</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carcinoma (HCC) since 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ICC Current Treatment Landscape and Limitations</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Our Solution</w:t>
      </w:r>
    </w:p>
    <w:p>
      <w:pPr>
        <w:spacing w:after="0" w:line="202" w:lineRule="exact"/>
        <w:rPr>
          <w:sz w:val="20"/>
          <w:szCs w:val="20"/>
          <w:color w:val="auto"/>
        </w:rPr>
      </w:pPr>
    </w:p>
    <w:p>
      <w:pPr>
        <w:ind w:right="640"/>
        <w:spacing w:after="0" w:line="237" w:lineRule="auto"/>
        <w:rPr>
          <w:sz w:val="20"/>
          <w:szCs w:val="20"/>
          <w:color w:val="auto"/>
        </w:rPr>
      </w:pPr>
      <w:r>
        <w:rPr>
          <w:rFonts w:ascii="Georgia" w:cs="Georgia" w:eastAsia="Georgia" w:hAnsi="Georgia"/>
          <w:sz w:val="18"/>
          <w:szCs w:val="18"/>
          <w:color w:val="auto"/>
        </w:rPr>
        <w:t>Similar to Temferon for GBM, we believe that Temferon may overcome the current treatment limitations of HCC and ICC that are not curative/resolutive by stopping/delaying disease progression.</w:t>
      </w:r>
    </w:p>
    <w:p>
      <w:pPr>
        <w:spacing w:after="0" w:line="202"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Clinical Development of Temferon in HCC and ICC</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Preclinical Data</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440055</wp:posOffset>
            </wp:positionV>
            <wp:extent cx="5314950" cy="4191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531495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In vivo data on Tie2-IFN gene therapy platform in a mouse model of colorectal cancer (CRC) liver metastasis (Catarinella et. al;</w:t>
      </w:r>
    </w:p>
    <w:p>
      <w:pPr>
        <w:spacing w:after="0" w:line="238" w:lineRule="auto"/>
        <w:rPr>
          <w:sz w:val="20"/>
          <w:szCs w:val="20"/>
          <w:color w:val="auto"/>
        </w:rPr>
      </w:pPr>
      <w:r>
        <w:rPr>
          <w:rFonts w:ascii="Georgia" w:cs="Georgia" w:eastAsia="Georgia" w:hAnsi="Georgia"/>
          <w:sz w:val="18"/>
          <w:szCs w:val="18"/>
          <w:i w:val="1"/>
          <w:iCs w:val="1"/>
          <w:color w:val="auto"/>
        </w:rPr>
        <w:t>2016)</w:t>
      </w:r>
    </w:p>
    <w:p>
      <w:pPr>
        <w:spacing w:after="0" w:line="201"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IFN-α gene therapy treatment impairs the metastatic growth in the liver CRC liver metastasis.</w:t>
      </w:r>
    </w:p>
    <w:p>
      <w:pPr>
        <w:spacing w:after="0" w:line="202" w:lineRule="exact"/>
        <w:rPr>
          <w:sz w:val="20"/>
          <w:szCs w:val="20"/>
          <w:color w:val="auto"/>
        </w:rPr>
      </w:pPr>
    </w:p>
    <w:p>
      <w:pPr>
        <w:ind w:right="40" w:firstLine="648"/>
        <w:spacing w:after="0" w:line="237" w:lineRule="auto"/>
        <w:rPr>
          <w:sz w:val="20"/>
          <w:szCs w:val="20"/>
          <w:color w:val="auto"/>
        </w:rPr>
      </w:pPr>
      <w:r>
        <w:rPr>
          <w:rFonts w:ascii="Georgia" w:cs="Georgia" w:eastAsia="Georgia" w:hAnsi="Georgia"/>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Second Solid Tumor Study Design</w:t>
      </w:r>
    </w:p>
    <w:p>
      <w:pPr>
        <w:spacing w:after="0" w:line="202"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As with the TEM-GBM 001 study, we plan to propose to the Italian regulatory bodies a non-randomized, open label, single center, Phase 1/2a, therapeutic-exploratory, prospective study, involving a single injection of Temferon administration in up to 9 patients. The study will recruit and track patients at OSR.</w:t>
      </w:r>
    </w:p>
    <w:p>
      <w:pPr>
        <w:spacing w:after="0" w:line="204"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ind w:left="660"/>
        <w:spacing w:after="0"/>
        <w:rPr>
          <w:sz w:val="20"/>
          <w:szCs w:val="20"/>
          <w:color w:val="auto"/>
        </w:rPr>
      </w:pPr>
      <w:r>
        <w:rPr>
          <w:rFonts w:ascii="Georgia" w:cs="Georgia" w:eastAsia="Georgia" w:hAnsi="Georgia"/>
          <w:sz w:val="18"/>
          <w:szCs w:val="18"/>
          <w:b w:val="1"/>
          <w:bCs w:val="1"/>
          <w:color w:val="auto"/>
        </w:rPr>
        <w:t>Additional Pipeline Pre-Clinical Programs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Combination Treatment</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potentially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207"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205" w:lineRule="exact"/>
        <w:rPr>
          <w:sz w:val="20"/>
          <w:szCs w:val="20"/>
          <w:color w:val="auto"/>
        </w:rPr>
      </w:pPr>
    </w:p>
    <w:p>
      <w:pPr>
        <w:ind w:right="140"/>
        <w:spacing w:after="0" w:line="257" w:lineRule="auto"/>
        <w:rPr>
          <w:sz w:val="20"/>
          <w:szCs w:val="20"/>
          <w:color w:val="auto"/>
        </w:rPr>
      </w:pPr>
      <w:r>
        <w:rPr>
          <w:rFonts w:ascii="Georgia" w:cs="Georgia" w:eastAsia="Georgia" w:hAnsi="Georgia"/>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88"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Switchable Platform</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161" w:lineRule="exact"/>
        <w:rPr>
          <w:sz w:val="20"/>
          <w:szCs w:val="20"/>
          <w:color w:val="auto"/>
        </w:rPr>
      </w:pPr>
    </w:p>
    <w:p>
      <w:pPr>
        <w:ind w:right="60"/>
        <w:spacing w:after="0" w:line="208" w:lineRule="exact"/>
        <w:rPr>
          <w:sz w:val="20"/>
          <w:szCs w:val="20"/>
          <w:color w:val="auto"/>
        </w:rPr>
      </w:pPr>
      <w:r>
        <w:rPr>
          <w:rFonts w:ascii="Georgia" w:cs="Georgia" w:eastAsia="Georgia" w:hAnsi="Georgia"/>
          <w:sz w:val="18"/>
          <w:szCs w:val="18"/>
          <w:color w:val="auto"/>
        </w:rPr>
        <w:t>An inducible version of the IFN-Gamma</w:t>
      </w:r>
      <w:r>
        <w:rPr>
          <w:rFonts w:ascii="MS PGothic" w:cs="MS PGothic" w:eastAsia="MS PGothic" w:hAnsi="MS PGothic"/>
          <w:sz w:val="18"/>
          <w:szCs w:val="18"/>
          <w:color w:val="auto"/>
        </w:rPr>
        <w:t>☐</w:t>
      </w:r>
      <w:r>
        <w:rPr>
          <w:rFonts w:ascii="Georgia" w:cs="Georgia" w:eastAsia="Georgia" w:hAnsi="Georgia"/>
          <w:sz w:val="18"/>
          <w:szCs w:val="18"/>
          <w:color w:val="auto"/>
        </w:rPr>
        <w:t>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IFN-Gamma payload in combination with CAR T cells to target glioblastoma-associated antigens or immune checkpoint blockers in an experimental tumor model in mice.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3" w:name="page84"/>
    <w:bookmarkEnd w:id="83"/>
    <w:p>
      <w:pPr>
        <w:ind w:left="660"/>
        <w:spacing w:after="0"/>
        <w:rPr>
          <w:sz w:val="20"/>
          <w:szCs w:val="20"/>
          <w:color w:val="auto"/>
        </w:rPr>
      </w:pPr>
      <w:r>
        <w:rPr>
          <w:rFonts w:ascii="Georgia" w:cs="Georgia" w:eastAsia="Georgia" w:hAnsi="Georgia"/>
          <w:sz w:val="18"/>
          <w:szCs w:val="18"/>
          <w:b w:val="1"/>
          <w:bCs w:val="1"/>
          <w:color w:val="auto"/>
        </w:rPr>
        <w:t>Other Payloads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platform is designed to allow the control of the expression of any payload we use. Similar to IFN-Gamma, there are several alternative payloads with immunotherapeutic properties that were previously systemically delivered to patients, but were discontinued due to significant toxicity that prevented the drug from reaching therapeutic dosages (e.g. TNF-Alpha). Because we believe that our first- and second-generation platforms may overcome the limitations associated with systemic administration, we are testing them with additional payloads such as IFN-Gamma, IL-12 and TNF-Alpha. Because each payload triggers a unique biological response, we believe our platform may enable a personalized treatment approach unique amongst the current treatment paradigms.</w:t>
      </w:r>
    </w:p>
    <w:p>
      <w:pPr>
        <w:spacing w:after="0" w:line="206"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IFN-Gamma and TNF-Alpha and further support our hypothesis that the specific transcriptional and microRNA regulated expression of the payload prevents toxicity. Data generated in the laboratory of our founders in a leukemia model showed that IFN-Gamma but not TNF-Alpha mediate anti-tumor activity when delivered </w:t>
      </w:r>
      <w:r>
        <w:rPr>
          <w:rFonts w:ascii="Georgia" w:cs="Georgia" w:eastAsia="Georgia" w:hAnsi="Georgia"/>
          <w:sz w:val="18"/>
          <w:szCs w:val="18"/>
          <w:i w:val="1"/>
          <w:iCs w:val="1"/>
          <w:color w:val="auto"/>
        </w:rPr>
        <w:t>ex</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vivo</w:t>
      </w:r>
      <w:r>
        <w:rPr>
          <w:rFonts w:ascii="Georgia" w:cs="Georgia" w:eastAsia="Georgia" w:hAnsi="Georgia"/>
          <w:sz w:val="18"/>
          <w:szCs w:val="18"/>
          <w:color w:val="auto"/>
        </w:rPr>
        <w:t>. Further</w:t>
      </w:r>
      <w:r>
        <w:rPr>
          <w:rFonts w:ascii="Georgia" w:cs="Georgia" w:eastAsia="Georgia" w:hAnsi="Georgia"/>
          <w:sz w:val="18"/>
          <w:szCs w:val="18"/>
          <w:i w:val="1"/>
          <w:iCs w:val="1"/>
          <w:color w:val="auto"/>
        </w:rPr>
        <w:t xml:space="preserve"> ex vivo </w:t>
      </w:r>
      <w:r>
        <w:rPr>
          <w:rFonts w:ascii="Georgia" w:cs="Georgia" w:eastAsia="Georgia" w:hAnsi="Georgia"/>
          <w:sz w:val="18"/>
          <w:szCs w:val="18"/>
          <w:color w:val="auto"/>
        </w:rPr>
        <w:t>studies showed enhanced anti-tumor activity upon combined delivery of two cytokines by the TEM-based platform.</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Competition</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Manufacturing</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manufacturing process for our autologous cell and gene therapy approach requires the following steps:</w:t>
      </w:r>
    </w:p>
    <w:p>
      <w:pPr>
        <w:spacing w:after="0" w:line="200" w:lineRule="exact"/>
        <w:rPr>
          <w:sz w:val="20"/>
          <w:szCs w:val="20"/>
          <w:color w:val="auto"/>
        </w:rPr>
      </w:pPr>
    </w:p>
    <w:p>
      <w:pPr>
        <w:ind w:left="1300" w:hanging="644"/>
        <w:spacing w:after="0"/>
        <w:tabs>
          <w:tab w:leader="none" w:pos="1300" w:val="left"/>
        </w:tabs>
        <w:numPr>
          <w:ilvl w:val="0"/>
          <w:numId w:val="67"/>
        </w:numPr>
        <w:rPr>
          <w:rFonts w:ascii="Georgia" w:cs="Georgia" w:eastAsia="Georgia" w:hAnsi="Georgia"/>
          <w:sz w:val="18"/>
          <w:szCs w:val="18"/>
          <w:color w:val="auto"/>
        </w:rPr>
      </w:pPr>
      <w:r>
        <w:rPr>
          <w:rFonts w:ascii="Georgia" w:cs="Georgia" w:eastAsia="Georgia" w:hAnsi="Georgia"/>
          <w:sz w:val="18"/>
          <w:szCs w:val="18"/>
          <w:color w:val="auto"/>
        </w:rPr>
        <w:t>HSPCs harvesting in a specialized clinical center (leukapheresis)</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67"/>
        </w:numPr>
        <w:rPr>
          <w:rFonts w:ascii="Georgia" w:cs="Georgia" w:eastAsia="Georgia" w:hAnsi="Georgia"/>
          <w:sz w:val="18"/>
          <w:szCs w:val="18"/>
          <w:color w:val="auto"/>
        </w:rPr>
      </w:pPr>
      <w:r>
        <w:rPr>
          <w:rFonts w:ascii="Georgia" w:cs="Georgia" w:eastAsia="Georgia" w:hAnsi="Georgia"/>
          <w:sz w:val="18"/>
          <w:szCs w:val="18"/>
          <w:color w:val="auto"/>
        </w:rPr>
        <w:t>Shipping of apheresis bag/s to the selected contract manufacturing organization (CMO)</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67"/>
        </w:numPr>
        <w:rPr>
          <w:rFonts w:ascii="Georgia" w:cs="Georgia" w:eastAsia="Georgia" w:hAnsi="Georgia"/>
          <w:sz w:val="18"/>
          <w:szCs w:val="18"/>
          <w:color w:val="auto"/>
        </w:rPr>
      </w:pPr>
      <w:r>
        <w:rPr>
          <w:rFonts w:ascii="Georgia" w:cs="Georgia" w:eastAsia="Georgia" w:hAnsi="Georgia"/>
          <w:sz w:val="18"/>
          <w:szCs w:val="18"/>
          <w:color w:val="auto"/>
        </w:rPr>
        <w:t>CD34+ cells enrichment</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67"/>
        </w:numPr>
        <w:rPr>
          <w:rFonts w:ascii="Georgia" w:cs="Georgia" w:eastAsia="Georgia" w:hAnsi="Georgia"/>
          <w:sz w:val="18"/>
          <w:szCs w:val="18"/>
          <w:color w:val="auto"/>
        </w:rPr>
      </w:pPr>
      <w:r>
        <w:rPr>
          <w:rFonts w:ascii="Georgia" w:cs="Georgia" w:eastAsia="Georgia" w:hAnsi="Georgia"/>
          <w:sz w:val="18"/>
          <w:szCs w:val="18"/>
          <w:i w:val="1"/>
          <w:iCs w:val="1"/>
          <w:color w:val="auto"/>
        </w:rPr>
        <w:t xml:space="preserve">Ex-vivo </w:t>
      </w:r>
      <w:r>
        <w:rPr>
          <w:rFonts w:ascii="Georgia" w:cs="Georgia" w:eastAsia="Georgia" w:hAnsi="Georgia"/>
          <w:sz w:val="18"/>
          <w:szCs w:val="18"/>
          <w:color w:val="auto"/>
        </w:rPr>
        <w:t>transduction of CD34+ cells with our LVV,</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67"/>
        </w:numPr>
        <w:rPr>
          <w:rFonts w:ascii="Georgia" w:cs="Georgia" w:eastAsia="Georgia" w:hAnsi="Georgia"/>
          <w:sz w:val="18"/>
          <w:szCs w:val="18"/>
          <w:color w:val="auto"/>
        </w:rPr>
      </w:pPr>
      <w:r>
        <w:rPr>
          <w:rFonts w:ascii="Georgia" w:cs="Georgia" w:eastAsia="Georgia" w:hAnsi="Georgia"/>
          <w:sz w:val="18"/>
          <w:szCs w:val="18"/>
          <w:color w:val="auto"/>
        </w:rPr>
        <w:t>Cryopreservation, characterization and release by a Qualified Person of the obtained drug product.</w:t>
      </w:r>
    </w:p>
    <w:p>
      <w:pPr>
        <w:spacing w:after="0" w:line="186" w:lineRule="exact"/>
        <w:rPr>
          <w:rFonts w:ascii="Georgia" w:cs="Georgia" w:eastAsia="Georgia" w:hAnsi="Georgia"/>
          <w:sz w:val="18"/>
          <w:szCs w:val="18"/>
          <w:color w:val="auto"/>
        </w:rPr>
      </w:pPr>
    </w:p>
    <w:p>
      <w:pPr>
        <w:ind w:left="5540"/>
        <w:spacing w:after="0"/>
        <w:rPr>
          <w:rFonts w:ascii="Georgia" w:cs="Georgia" w:eastAsia="Georgia" w:hAnsi="Georgia"/>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84" w:name="page85"/>
    <w:bookmarkEnd w:id="84"/>
    <w:p>
      <w:pPr>
        <w:ind w:right="460"/>
        <w:spacing w:after="0" w:line="237" w:lineRule="auto"/>
        <w:rPr>
          <w:sz w:val="20"/>
          <w:szCs w:val="20"/>
          <w:color w:val="auto"/>
        </w:rPr>
      </w:pPr>
      <w:r>
        <w:rPr>
          <w:rFonts w:ascii="Georgia" w:cs="Georgia" w:eastAsia="Georgia" w:hAnsi="Georgia"/>
          <w:sz w:val="18"/>
          <w:szCs w:val="18"/>
          <w:color w:val="auto"/>
        </w:rPr>
        <w:t xml:space="preserve">The LVV manufacturing needed for the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131445</wp:posOffset>
            </wp:positionV>
            <wp:extent cx="5314950" cy="256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1495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Overview of Temferon manufacturing Process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therapy for children, was developed and is still currently manufactured by AGC Biologics (former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hematopoietic stem cell (HSC) gene therapies in the upcoming years, including the recent EU market authorized gene therapy drug </w:t>
      </w:r>
      <w:r>
        <w:rPr>
          <w:rFonts w:ascii="Georgia" w:cs="Georgia" w:eastAsia="Georgia" w:hAnsi="Georgia"/>
          <w:sz w:val="18"/>
          <w:szCs w:val="18"/>
          <w:i w:val="1"/>
          <w:iCs w:val="1"/>
          <w:color w:val="auto"/>
        </w:rPr>
        <w:t>Libmeldy.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440055</wp:posOffset>
            </wp:positionV>
            <wp:extent cx="5743575" cy="3600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AGC Biologics Headquarters and Capabilities</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Our agreement with AGC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Government Regulation</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left="660"/>
        <w:spacing w:after="0"/>
        <w:rPr>
          <w:sz w:val="20"/>
          <w:szCs w:val="20"/>
          <w:color w:val="auto"/>
        </w:rPr>
      </w:pPr>
      <w:r>
        <w:rPr>
          <w:rFonts w:ascii="Georgia" w:cs="Georgia" w:eastAsia="Georgia" w:hAnsi="Georgia"/>
          <w:sz w:val="18"/>
          <w:szCs w:val="18"/>
          <w:b w:val="1"/>
          <w:bCs w:val="1"/>
          <w:i w:val="1"/>
          <w:iCs w:val="1"/>
          <w:color w:val="auto"/>
        </w:rPr>
        <w:t>Approval and Regulation of Drugs in the United States</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206" w:lineRule="exact"/>
        <w:rPr>
          <w:sz w:val="20"/>
          <w:szCs w:val="20"/>
          <w:color w:val="auto"/>
        </w:rPr>
      </w:pPr>
    </w:p>
    <w:p>
      <w:pPr>
        <w:ind w:right="540"/>
        <w:spacing w:after="0" w:line="237" w:lineRule="auto"/>
        <w:rPr>
          <w:sz w:val="20"/>
          <w:szCs w:val="20"/>
          <w:color w:val="auto"/>
        </w:rPr>
      </w:pPr>
      <w:r>
        <w:rPr>
          <w:rFonts w:ascii="Georgia" w:cs="Georgia" w:eastAsia="Georgia" w:hAnsi="Georgia"/>
          <w:sz w:val="18"/>
          <w:szCs w:val="18"/>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The steps required before a biologic may be marketed in the United States generally include:</w:t>
      </w:r>
    </w:p>
    <w:p>
      <w:pPr>
        <w:spacing w:after="0" w:line="202" w:lineRule="exact"/>
        <w:rPr>
          <w:sz w:val="20"/>
          <w:szCs w:val="20"/>
          <w:color w:val="auto"/>
        </w:rPr>
      </w:pPr>
    </w:p>
    <w:p>
      <w:pPr>
        <w:ind w:left="1300" w:right="22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77" w:lineRule="exact"/>
        <w:rPr>
          <w:rFonts w:ascii="Georgia" w:cs="Georgia" w:eastAsia="Georgia" w:hAnsi="Georgia"/>
          <w:sz w:val="18"/>
          <w:szCs w:val="18"/>
          <w:color w:val="auto"/>
        </w:rPr>
      </w:pPr>
    </w:p>
    <w:p>
      <w:pPr>
        <w:ind w:left="1300" w:right="26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submission to the FDA of an application for an investigational new drug application (“IND”), which must become effective before human clinical trials may commence;</w:t>
      </w:r>
    </w:p>
    <w:p>
      <w:pPr>
        <w:spacing w:after="0" w:line="176" w:lineRule="exact"/>
        <w:rPr>
          <w:rFonts w:ascii="Georgia" w:cs="Georgia" w:eastAsia="Georgia" w:hAnsi="Georgia"/>
          <w:sz w:val="18"/>
          <w:szCs w:val="18"/>
          <w:color w:val="auto"/>
        </w:rPr>
      </w:pPr>
    </w:p>
    <w:p>
      <w:pPr>
        <w:ind w:left="1300" w:right="44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approval of the protocol and related documentation by an independent IRB or ethics committee at each clinical trial site before each trial may be initiated;</w:t>
      </w:r>
    </w:p>
    <w:p>
      <w:pPr>
        <w:spacing w:after="0" w:line="176" w:lineRule="exact"/>
        <w:rPr>
          <w:rFonts w:ascii="Georgia" w:cs="Georgia" w:eastAsia="Georgia" w:hAnsi="Georgia"/>
          <w:sz w:val="18"/>
          <w:szCs w:val="18"/>
          <w:color w:val="auto"/>
        </w:rPr>
      </w:pPr>
    </w:p>
    <w:p>
      <w:pPr>
        <w:ind w:left="130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77" w:lineRule="exact"/>
        <w:rPr>
          <w:rFonts w:ascii="Georgia" w:cs="Georgia" w:eastAsia="Georgia" w:hAnsi="Georgia"/>
          <w:sz w:val="18"/>
          <w:szCs w:val="18"/>
          <w:color w:val="auto"/>
        </w:rPr>
      </w:pPr>
    </w:p>
    <w:p>
      <w:pPr>
        <w:ind w:left="1300" w:right="68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75" w:lineRule="exact"/>
        <w:rPr>
          <w:rFonts w:ascii="Georgia" w:cs="Georgia" w:eastAsia="Georgia" w:hAnsi="Georgia"/>
          <w:sz w:val="18"/>
          <w:szCs w:val="18"/>
          <w:color w:val="auto"/>
        </w:rPr>
      </w:pPr>
    </w:p>
    <w:p>
      <w:pPr>
        <w:ind w:left="1300" w:hanging="644"/>
        <w:spacing w:after="0"/>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a determination by the FDA within 60 days of its receipt of a BLA to accept and file the application;</w:t>
      </w:r>
    </w:p>
    <w:p>
      <w:pPr>
        <w:spacing w:after="0" w:line="174" w:lineRule="exact"/>
        <w:rPr>
          <w:rFonts w:ascii="Georgia" w:cs="Georgia" w:eastAsia="Georgia" w:hAnsi="Georgia"/>
          <w:sz w:val="18"/>
          <w:szCs w:val="18"/>
          <w:color w:val="auto"/>
        </w:rPr>
      </w:pPr>
    </w:p>
    <w:p>
      <w:pPr>
        <w:ind w:left="1300" w:right="16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75" w:lineRule="exact"/>
        <w:rPr>
          <w:rFonts w:ascii="Georgia" w:cs="Georgia" w:eastAsia="Georgia" w:hAnsi="Georgia"/>
          <w:sz w:val="18"/>
          <w:szCs w:val="18"/>
          <w:color w:val="auto"/>
        </w:rPr>
      </w:pPr>
    </w:p>
    <w:p>
      <w:pPr>
        <w:ind w:left="1300" w:hanging="644"/>
        <w:spacing w:after="0"/>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satisfactory completion of an FDA Advisory Committee review, if applicable;</w:t>
      </w:r>
    </w:p>
    <w:p>
      <w:pPr>
        <w:spacing w:after="0" w:line="174" w:lineRule="exact"/>
        <w:rPr>
          <w:rFonts w:ascii="Georgia" w:cs="Georgia" w:eastAsia="Georgia" w:hAnsi="Georgia"/>
          <w:sz w:val="18"/>
          <w:szCs w:val="18"/>
          <w:color w:val="auto"/>
        </w:rPr>
      </w:pPr>
    </w:p>
    <w:p>
      <w:pPr>
        <w:ind w:left="130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potential FDA audit of the preclinical study and clinical trial sites that generated the data in support of the BLA in accordance with any applicable expedited programs or designations;</w:t>
      </w:r>
    </w:p>
    <w:p>
      <w:pPr>
        <w:spacing w:after="0" w:line="175" w:lineRule="exact"/>
        <w:rPr>
          <w:rFonts w:ascii="Georgia" w:cs="Georgia" w:eastAsia="Georgia" w:hAnsi="Georgia"/>
          <w:sz w:val="18"/>
          <w:szCs w:val="18"/>
          <w:color w:val="auto"/>
        </w:rPr>
      </w:pPr>
    </w:p>
    <w:p>
      <w:pPr>
        <w:ind w:left="1300" w:hanging="644"/>
        <w:spacing w:after="0"/>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payment of user fees for FDA review of the BLA (unless a fee waiver applies);</w:t>
      </w:r>
    </w:p>
    <w:p>
      <w:pPr>
        <w:spacing w:after="0" w:line="174" w:lineRule="exact"/>
        <w:rPr>
          <w:rFonts w:ascii="Georgia" w:cs="Georgia" w:eastAsia="Georgia" w:hAnsi="Georgia"/>
          <w:sz w:val="18"/>
          <w:szCs w:val="18"/>
          <w:color w:val="auto"/>
        </w:rPr>
      </w:pPr>
    </w:p>
    <w:p>
      <w:pPr>
        <w:ind w:left="1300" w:right="14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FDA review and approval, or licensure, of the BLA to permit commercial marketing of the product for particular indications for use in the U.S.;</w:t>
      </w:r>
    </w:p>
    <w:p>
      <w:pPr>
        <w:spacing w:after="0" w:line="176" w:lineRule="exact"/>
        <w:rPr>
          <w:rFonts w:ascii="Georgia" w:cs="Georgia" w:eastAsia="Georgia" w:hAnsi="Georgia"/>
          <w:sz w:val="18"/>
          <w:szCs w:val="18"/>
          <w:color w:val="auto"/>
        </w:rPr>
      </w:pPr>
    </w:p>
    <w:p>
      <w:pPr>
        <w:ind w:left="1300" w:right="140" w:hanging="644"/>
        <w:spacing w:after="0" w:line="237" w:lineRule="auto"/>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75" w:lineRule="exact"/>
        <w:rPr>
          <w:rFonts w:ascii="Georgia" w:cs="Georgia" w:eastAsia="Georgia" w:hAnsi="Georgia"/>
          <w:sz w:val="18"/>
          <w:szCs w:val="18"/>
          <w:color w:val="auto"/>
        </w:rPr>
      </w:pPr>
    </w:p>
    <w:p>
      <w:pPr>
        <w:ind w:left="1300" w:hanging="644"/>
        <w:spacing w:after="0"/>
        <w:tabs>
          <w:tab w:leader="none" w:pos="1300" w:val="left"/>
        </w:tabs>
        <w:numPr>
          <w:ilvl w:val="0"/>
          <w:numId w:val="68"/>
        </w:numPr>
        <w:rPr>
          <w:rFonts w:ascii="Georgia" w:cs="Georgia" w:eastAsia="Georgia" w:hAnsi="Georgia"/>
          <w:sz w:val="18"/>
          <w:szCs w:val="18"/>
          <w:color w:val="auto"/>
        </w:rPr>
      </w:pPr>
      <w:r>
        <w:rPr>
          <w:rFonts w:ascii="Georgia" w:cs="Georgia" w:eastAsia="Georgia" w:hAnsi="Georgia"/>
          <w:sz w:val="18"/>
          <w:szCs w:val="18"/>
          <w:color w:val="auto"/>
        </w:rPr>
        <w:t>FDA review and approval of the BLA.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ind w:left="660"/>
        <w:spacing w:after="0"/>
        <w:rPr>
          <w:sz w:val="20"/>
          <w:szCs w:val="20"/>
          <w:color w:val="auto"/>
        </w:rPr>
      </w:pPr>
      <w:r>
        <w:rPr>
          <w:rFonts w:ascii="Georgia" w:cs="Georgia" w:eastAsia="Georgia" w:hAnsi="Georgia"/>
          <w:sz w:val="18"/>
          <w:szCs w:val="18"/>
          <w:b w:val="1"/>
          <w:bCs w:val="1"/>
          <w:i w:val="1"/>
          <w:iCs w:val="1"/>
          <w:color w:val="auto"/>
        </w:rPr>
        <w:t>Preclinical Studies and the IND Process</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09"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Clinical Trials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9" w:lineRule="exact"/>
        <w:rPr>
          <w:sz w:val="20"/>
          <w:szCs w:val="20"/>
          <w:color w:val="auto"/>
        </w:rPr>
      </w:pPr>
    </w:p>
    <w:p>
      <w:pPr>
        <w:ind w:right="800"/>
        <w:spacing w:after="0" w:line="237" w:lineRule="auto"/>
        <w:rPr>
          <w:sz w:val="20"/>
          <w:szCs w:val="20"/>
          <w:color w:val="auto"/>
        </w:rPr>
      </w:pPr>
      <w:r>
        <w:rPr>
          <w:rFonts w:ascii="Georgia" w:cs="Georgia" w:eastAsia="Georgia" w:hAnsi="Georgia"/>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204" w:lineRule="exact"/>
        <w:rPr>
          <w:sz w:val="20"/>
          <w:szCs w:val="20"/>
          <w:color w:val="auto"/>
        </w:rPr>
      </w:pPr>
    </w:p>
    <w:p>
      <w:pPr>
        <w:ind w:left="1300" w:right="60" w:hanging="644"/>
        <w:spacing w:after="0" w:line="237" w:lineRule="auto"/>
        <w:tabs>
          <w:tab w:leader="none" w:pos="1300" w:val="left"/>
        </w:tabs>
        <w:numPr>
          <w:ilvl w:val="0"/>
          <w:numId w:val="69"/>
        </w:numPr>
        <w:rPr>
          <w:rFonts w:ascii="Georgia" w:cs="Georgia" w:eastAsia="Georgia" w:hAnsi="Georgia"/>
          <w:sz w:val="18"/>
          <w:szCs w:val="18"/>
          <w:color w:val="auto"/>
        </w:rPr>
      </w:pPr>
      <w:r>
        <w:rPr>
          <w:rFonts w:ascii="Georgia" w:cs="Georgia" w:eastAsia="Georgia" w:hAnsi="Georgia"/>
          <w:sz w:val="18"/>
          <w:szCs w:val="18"/>
          <w:i w:val="1"/>
          <w:iCs w:val="1"/>
          <w:color w:val="auto"/>
        </w:rPr>
        <w:t>Phase 1</w:t>
      </w:r>
      <w:r>
        <w:rPr>
          <w:rFonts w:ascii="Georgia" w:cs="Georgia" w:eastAsia="Georgia" w:hAnsi="Georgia"/>
          <w:sz w:val="18"/>
          <w:szCs w:val="18"/>
          <w:color w:val="auto"/>
        </w:rPr>
        <w:t>. Phase 1 involves the initial introduction of a product candidate into humans. Phase 1 clinical trials are typically</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conducted in healthy 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178" w:lineRule="exact"/>
        <w:rPr>
          <w:rFonts w:ascii="Georgia" w:cs="Georgia" w:eastAsia="Georgia" w:hAnsi="Georgia"/>
          <w:sz w:val="18"/>
          <w:szCs w:val="18"/>
          <w:color w:val="auto"/>
        </w:rPr>
      </w:pPr>
    </w:p>
    <w:p>
      <w:pPr>
        <w:ind w:left="1300" w:right="100" w:hanging="644"/>
        <w:spacing w:after="0" w:line="237" w:lineRule="auto"/>
        <w:tabs>
          <w:tab w:leader="none" w:pos="1300" w:val="left"/>
        </w:tabs>
        <w:numPr>
          <w:ilvl w:val="0"/>
          <w:numId w:val="69"/>
        </w:numPr>
        <w:rPr>
          <w:rFonts w:ascii="Georgia" w:cs="Georgia" w:eastAsia="Georgia" w:hAnsi="Georgia"/>
          <w:sz w:val="18"/>
          <w:szCs w:val="18"/>
          <w:color w:val="auto"/>
        </w:rPr>
      </w:pPr>
      <w:r>
        <w:rPr>
          <w:rFonts w:ascii="Georgia" w:cs="Georgia" w:eastAsia="Georgia" w:hAnsi="Georgia"/>
          <w:sz w:val="18"/>
          <w:szCs w:val="18"/>
          <w:i w:val="1"/>
          <w:iCs w:val="1"/>
          <w:color w:val="auto"/>
        </w:rPr>
        <w:t>Phase 2</w:t>
      </w:r>
      <w:r>
        <w:rPr>
          <w:rFonts w:ascii="Georgia" w:cs="Georgia" w:eastAsia="Georgia" w:hAnsi="Georgia"/>
          <w:sz w:val="18"/>
          <w:szCs w:val="18"/>
          <w:color w:val="auto"/>
        </w:rPr>
        <w:t>. Phase 2 includes the controlled clinical trials conducted to obtain initial evidence of effectiveness of the product</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candidate for a particular 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88" w:name="page89"/>
    <w:bookmarkEnd w:id="88"/>
    <w:p>
      <w:pPr>
        <w:ind w:left="1300" w:right="120" w:hanging="644"/>
        <w:spacing w:after="0" w:line="237" w:lineRule="auto"/>
        <w:tabs>
          <w:tab w:leader="none" w:pos="1300" w:val="left"/>
        </w:tabs>
        <w:numPr>
          <w:ilvl w:val="0"/>
          <w:numId w:val="70"/>
        </w:numPr>
        <w:rPr>
          <w:rFonts w:ascii="Georgia" w:cs="Georgia" w:eastAsia="Georgia" w:hAnsi="Georgia"/>
          <w:sz w:val="18"/>
          <w:szCs w:val="18"/>
          <w:color w:val="auto"/>
        </w:rPr>
      </w:pPr>
      <w:r>
        <w:rPr>
          <w:rFonts w:ascii="Georgia" w:cs="Georgia" w:eastAsia="Georgia" w:hAnsi="Georgia"/>
          <w:sz w:val="18"/>
          <w:szCs w:val="18"/>
          <w:i w:val="1"/>
          <w:iCs w:val="1"/>
          <w:color w:val="auto"/>
        </w:rPr>
        <w:t>Phase 3</w:t>
      </w:r>
      <w:r>
        <w:rPr>
          <w:rFonts w:ascii="Georgia" w:cs="Georgia" w:eastAsia="Georgia" w:hAnsi="Georgia"/>
          <w:sz w:val="18"/>
          <w:szCs w:val="18"/>
          <w:color w:val="auto"/>
        </w:rPr>
        <w:t>. Phase 3 clinical trials are clinical trials conducted in an expanded patient population at geographically dispersed</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clinical trial sites. They 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206"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07"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7" w:lineRule="exact"/>
        <w:rPr>
          <w:sz w:val="20"/>
          <w:szCs w:val="20"/>
          <w:color w:val="auto"/>
        </w:rPr>
      </w:pPr>
    </w:p>
    <w:p>
      <w:pPr>
        <w:ind w:right="820"/>
        <w:spacing w:after="0" w:line="237" w:lineRule="auto"/>
        <w:rPr>
          <w:sz w:val="20"/>
          <w:szCs w:val="20"/>
          <w:color w:val="auto"/>
        </w:rPr>
      </w:pPr>
      <w:r>
        <w:rPr>
          <w:rFonts w:ascii="Georgia" w:cs="Georgia" w:eastAsia="Georgia" w:hAnsi="Georgia"/>
          <w:sz w:val="18"/>
          <w:szCs w:val="18"/>
          <w:color w:val="auto"/>
        </w:rPr>
        <w:t xml:space="preserve">In addition, there are requirements for the registration of certain clinical trials of product candidates on public registries, such as </w:t>
      </w:r>
      <w:r>
        <w:rPr>
          <w:rFonts w:ascii="Georgia" w:cs="Georgia" w:eastAsia="Georgia" w:hAnsi="Georgia"/>
          <w:sz w:val="18"/>
          <w:szCs w:val="18"/>
          <w:u w:val="single" w:color="auto"/>
          <w:color w:val="auto"/>
        </w:rPr>
        <w:t>www.clinicaltrials.gov</w:t>
      </w:r>
      <w:r>
        <w:rPr>
          <w:rFonts w:ascii="Georgia" w:cs="Georgia" w:eastAsia="Georgia" w:hAnsi="Georgia"/>
          <w:sz w:val="18"/>
          <w:szCs w:val="18"/>
          <w:color w:val="auto"/>
        </w:rPr>
        <w:t>, and the submission of certain information pertaining to these trials, including clinical trial results, after trial completion.</w:t>
      </w:r>
    </w:p>
    <w:p>
      <w:pPr>
        <w:spacing w:after="0" w:line="204"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89" w:name="page90"/>
    <w:bookmarkEnd w:id="89"/>
    <w:p>
      <w:pPr>
        <w:ind w:left="660"/>
        <w:spacing w:after="0"/>
        <w:rPr>
          <w:sz w:val="20"/>
          <w:szCs w:val="20"/>
          <w:color w:val="auto"/>
        </w:rPr>
      </w:pPr>
      <w:r>
        <w:rPr>
          <w:rFonts w:ascii="Georgia" w:cs="Georgia" w:eastAsia="Georgia" w:hAnsi="Georgia"/>
          <w:sz w:val="18"/>
          <w:szCs w:val="18"/>
          <w:b w:val="1"/>
          <w:bCs w:val="1"/>
          <w:i w:val="1"/>
          <w:iCs w:val="1"/>
          <w:color w:val="auto"/>
        </w:rPr>
        <w:t>Biologics License Applications</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10"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205"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0"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90" w:name="page91"/>
    <w:bookmarkEnd w:id="90"/>
    <w:p>
      <w:pPr>
        <w:ind w:right="40"/>
        <w:spacing w:after="0" w:line="237" w:lineRule="auto"/>
        <w:rPr>
          <w:sz w:val="20"/>
          <w:szCs w:val="20"/>
          <w:color w:val="auto"/>
        </w:rPr>
      </w:pPr>
      <w:r>
        <w:rPr>
          <w:rFonts w:ascii="Georgia" w:cs="Georgia" w:eastAsia="Georgia" w:hAnsi="Georgia"/>
          <w:sz w:val="18"/>
          <w:szCs w:val="18"/>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Regulation of Companion Diagnostics.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206"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Orphan Drug Designation</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206"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91" w:name="page92"/>
    <w:bookmarkEnd w:id="91"/>
    <w:p>
      <w:pPr>
        <w:ind w:left="660"/>
        <w:spacing w:after="0"/>
        <w:rPr>
          <w:sz w:val="20"/>
          <w:szCs w:val="20"/>
          <w:color w:val="auto"/>
        </w:rPr>
      </w:pPr>
      <w:r>
        <w:rPr>
          <w:rFonts w:ascii="Georgia" w:cs="Georgia" w:eastAsia="Georgia" w:hAnsi="Georgia"/>
          <w:sz w:val="18"/>
          <w:szCs w:val="18"/>
          <w:b w:val="1"/>
          <w:bCs w:val="1"/>
          <w:i w:val="1"/>
          <w:iCs w:val="1"/>
          <w:color w:val="auto"/>
        </w:rPr>
        <w:t>Expedited Programs in the United States and Other Jurisdictions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9"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20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both"/>
        <w:ind w:right="80"/>
        <w:spacing w:after="0" w:line="237" w:lineRule="auto"/>
        <w:rPr>
          <w:sz w:val="20"/>
          <w:szCs w:val="20"/>
          <w:color w:val="auto"/>
        </w:rPr>
      </w:pPr>
      <w:r>
        <w:rPr>
          <w:rFonts w:ascii="Georgia" w:cs="Georgia" w:eastAsia="Georgia" w:hAnsi="Georgia"/>
          <w:sz w:val="18"/>
          <w:szCs w:val="18"/>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w:t>
      </w:r>
    </w:p>
    <w:p>
      <w:pPr>
        <w:spacing w:after="0" w:line="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Expanded Access to an Investigational Drug for Treatment Use</w:t>
      </w:r>
    </w:p>
    <w:p>
      <w:pPr>
        <w:spacing w:after="0" w:line="202"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 -by-case basis for individual patients, intermediate-size patient populations, and larger populations for use of the drug under a treatment protocol or Treatment IND Application.</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206"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U.S. market exclusivity</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0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93" w:name="page94"/>
    <w:bookmarkEnd w:id="93"/>
    <w:p>
      <w:pPr>
        <w:spacing w:after="0" w:line="237" w:lineRule="auto"/>
        <w:rPr>
          <w:sz w:val="20"/>
          <w:szCs w:val="20"/>
          <w:color w:val="auto"/>
        </w:rPr>
      </w:pPr>
      <w:r>
        <w:rPr>
          <w:rFonts w:ascii="Georgia" w:cs="Georgia" w:eastAsia="Georgia" w:hAnsi="Georgia"/>
          <w:sz w:val="18"/>
          <w:szCs w:val="18"/>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07"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Post-approval requirements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209"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208"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94" w:name="page95"/>
    <w:bookmarkEnd w:id="94"/>
    <w:p>
      <w:pPr>
        <w:ind w:right="20"/>
        <w:spacing w:after="0" w:line="237" w:lineRule="auto"/>
        <w:rPr>
          <w:sz w:val="20"/>
          <w:szCs w:val="20"/>
          <w:color w:val="auto"/>
        </w:rPr>
      </w:pPr>
      <w:r>
        <w:rPr>
          <w:rFonts w:ascii="Georgia" w:cs="Georgia" w:eastAsia="Georgia" w:hAnsi="Georgia"/>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Patent Term Restoration and Extension</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Health Care Laws and Regulations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205" w:lineRule="exact"/>
        <w:rPr>
          <w:sz w:val="20"/>
          <w:szCs w:val="20"/>
          <w:color w:val="auto"/>
        </w:rPr>
      </w:pPr>
    </w:p>
    <w:p>
      <w:pPr>
        <w:ind w:left="1300" w:right="20" w:hanging="644"/>
        <w:spacing w:after="0" w:line="237" w:lineRule="auto"/>
        <w:tabs>
          <w:tab w:leader="none" w:pos="1300" w:val="left"/>
        </w:tabs>
        <w:numPr>
          <w:ilvl w:val="0"/>
          <w:numId w:val="71"/>
        </w:numPr>
        <w:rPr>
          <w:rFonts w:ascii="Georgia" w:cs="Georgia" w:eastAsia="Georgia" w:hAnsi="Georgia"/>
          <w:sz w:val="18"/>
          <w:szCs w:val="18"/>
          <w:color w:val="auto"/>
        </w:rPr>
      </w:pPr>
      <w:r>
        <w:rPr>
          <w:rFonts w:ascii="Georgia" w:cs="Georgia" w:eastAsia="Georgia" w:hAnsi="Georgia"/>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77" w:lineRule="exact"/>
        <w:rPr>
          <w:rFonts w:ascii="Georgia" w:cs="Georgia" w:eastAsia="Georgia" w:hAnsi="Georgia"/>
          <w:sz w:val="18"/>
          <w:szCs w:val="18"/>
          <w:color w:val="auto"/>
        </w:rPr>
      </w:pPr>
    </w:p>
    <w:p>
      <w:pPr>
        <w:ind w:left="1300" w:hanging="644"/>
        <w:spacing w:after="0" w:line="237" w:lineRule="auto"/>
        <w:tabs>
          <w:tab w:leader="none" w:pos="1300" w:val="left"/>
        </w:tabs>
        <w:numPr>
          <w:ilvl w:val="0"/>
          <w:numId w:val="71"/>
        </w:numPr>
        <w:rPr>
          <w:rFonts w:ascii="Georgia" w:cs="Georgia" w:eastAsia="Georgia" w:hAnsi="Georgia"/>
          <w:sz w:val="18"/>
          <w:szCs w:val="18"/>
          <w:color w:val="auto"/>
        </w:rPr>
      </w:pPr>
      <w:r>
        <w:rPr>
          <w:rFonts w:ascii="Georgia" w:cs="Georgia" w:eastAsia="Georgia" w:hAnsi="Georgia"/>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78" w:lineRule="exact"/>
        <w:rPr>
          <w:rFonts w:ascii="Georgia" w:cs="Georgia" w:eastAsia="Georgia" w:hAnsi="Georgia"/>
          <w:sz w:val="18"/>
          <w:szCs w:val="18"/>
          <w:color w:val="auto"/>
        </w:rPr>
      </w:pPr>
    </w:p>
    <w:p>
      <w:pPr>
        <w:jc w:val="both"/>
        <w:ind w:left="1300" w:right="40" w:hanging="644"/>
        <w:spacing w:after="0" w:line="237" w:lineRule="auto"/>
        <w:tabs>
          <w:tab w:leader="none" w:pos="1300" w:val="left"/>
        </w:tabs>
        <w:numPr>
          <w:ilvl w:val="0"/>
          <w:numId w:val="71"/>
        </w:numPr>
        <w:rPr>
          <w:rFonts w:ascii="Georgia" w:cs="Georgia" w:eastAsia="Georgia" w:hAnsi="Georgia"/>
          <w:sz w:val="18"/>
          <w:szCs w:val="18"/>
          <w:color w:val="auto"/>
        </w:rPr>
      </w:pPr>
      <w:r>
        <w:rPr>
          <w:rFonts w:ascii="Georgia" w:cs="Georgia" w:eastAsia="Georgia" w:hAnsi="Georgia"/>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77" w:lineRule="exact"/>
        <w:rPr>
          <w:rFonts w:ascii="Georgia" w:cs="Georgia" w:eastAsia="Georgia" w:hAnsi="Georgia"/>
          <w:sz w:val="18"/>
          <w:szCs w:val="18"/>
          <w:color w:val="auto"/>
        </w:rPr>
      </w:pPr>
    </w:p>
    <w:p>
      <w:pPr>
        <w:ind w:left="1300" w:right="200" w:hanging="644"/>
        <w:spacing w:after="0" w:line="237" w:lineRule="auto"/>
        <w:tabs>
          <w:tab w:leader="none" w:pos="1300" w:val="left"/>
        </w:tabs>
        <w:numPr>
          <w:ilvl w:val="0"/>
          <w:numId w:val="71"/>
        </w:numPr>
        <w:rPr>
          <w:rFonts w:ascii="Georgia" w:cs="Georgia" w:eastAsia="Georgia" w:hAnsi="Georgia"/>
          <w:sz w:val="18"/>
          <w:szCs w:val="18"/>
          <w:color w:val="auto"/>
        </w:rPr>
      </w:pPr>
      <w:r>
        <w:rPr>
          <w:rFonts w:ascii="Georgia" w:cs="Georgia" w:eastAsia="Georgia" w:hAnsi="Georgia"/>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95" w:name="page96"/>
    <w:bookmarkEnd w:id="95"/>
    <w:p>
      <w:pPr>
        <w:ind w:left="1300" w:right="40" w:hanging="644"/>
        <w:spacing w:after="0" w:line="237" w:lineRule="auto"/>
        <w:tabs>
          <w:tab w:leader="none" w:pos="1300" w:val="left"/>
        </w:tabs>
        <w:numPr>
          <w:ilvl w:val="0"/>
          <w:numId w:val="72"/>
        </w:numPr>
        <w:rPr>
          <w:rFonts w:ascii="Georgia" w:cs="Georgia" w:eastAsia="Georgia" w:hAnsi="Georgia"/>
          <w:sz w:val="18"/>
          <w:szCs w:val="18"/>
          <w:color w:val="auto"/>
        </w:rPr>
      </w:pPr>
      <w:r>
        <w:rPr>
          <w:rFonts w:ascii="Georgia" w:cs="Georgia" w:eastAsia="Georgia" w:hAnsi="Georgia"/>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77" w:lineRule="exact"/>
        <w:rPr>
          <w:rFonts w:ascii="Georgia" w:cs="Georgia" w:eastAsia="Georgia" w:hAnsi="Georgia"/>
          <w:sz w:val="18"/>
          <w:szCs w:val="18"/>
          <w:color w:val="auto"/>
        </w:rPr>
      </w:pPr>
    </w:p>
    <w:p>
      <w:pPr>
        <w:ind w:left="1300" w:right="160" w:hanging="644"/>
        <w:spacing w:after="0" w:line="237" w:lineRule="auto"/>
        <w:tabs>
          <w:tab w:leader="none" w:pos="1300" w:val="left"/>
        </w:tabs>
        <w:numPr>
          <w:ilvl w:val="0"/>
          <w:numId w:val="72"/>
        </w:numPr>
        <w:rPr>
          <w:rFonts w:ascii="Georgia" w:cs="Georgia" w:eastAsia="Georgia" w:hAnsi="Georgia"/>
          <w:sz w:val="18"/>
          <w:szCs w:val="18"/>
          <w:color w:val="auto"/>
        </w:rPr>
      </w:pPr>
      <w:r>
        <w:rPr>
          <w:rFonts w:ascii="Georgia" w:cs="Georgia" w:eastAsia="Georgia" w:hAnsi="Georgia"/>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76" w:lineRule="exact"/>
        <w:rPr>
          <w:rFonts w:ascii="Georgia" w:cs="Georgia" w:eastAsia="Georgia" w:hAnsi="Georgia"/>
          <w:sz w:val="18"/>
          <w:szCs w:val="18"/>
          <w:color w:val="auto"/>
        </w:rPr>
      </w:pPr>
    </w:p>
    <w:p>
      <w:pPr>
        <w:ind w:left="1300" w:right="200" w:hanging="644"/>
        <w:spacing w:after="0" w:line="237" w:lineRule="auto"/>
        <w:tabs>
          <w:tab w:leader="none" w:pos="1300" w:val="left"/>
        </w:tabs>
        <w:numPr>
          <w:ilvl w:val="0"/>
          <w:numId w:val="72"/>
        </w:numPr>
        <w:rPr>
          <w:rFonts w:ascii="Georgia" w:cs="Georgia" w:eastAsia="Georgia" w:hAnsi="Georgia"/>
          <w:sz w:val="18"/>
          <w:szCs w:val="18"/>
          <w:color w:val="auto"/>
        </w:rPr>
      </w:pPr>
      <w:r>
        <w:rPr>
          <w:rFonts w:ascii="Georgia" w:cs="Georgia" w:eastAsia="Georgia" w:hAnsi="Georgia"/>
          <w:sz w:val="18"/>
          <w:szCs w:val="18"/>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78" w:lineRule="exact"/>
        <w:rPr>
          <w:rFonts w:ascii="Georgia" w:cs="Georgia" w:eastAsia="Georgia" w:hAnsi="Georgia"/>
          <w:sz w:val="18"/>
          <w:szCs w:val="18"/>
          <w:color w:val="auto"/>
        </w:rPr>
      </w:pPr>
    </w:p>
    <w:p>
      <w:pPr>
        <w:ind w:left="1300" w:right="460" w:hanging="644"/>
        <w:spacing w:after="0" w:line="237" w:lineRule="auto"/>
        <w:tabs>
          <w:tab w:leader="none" w:pos="1300" w:val="left"/>
        </w:tabs>
        <w:numPr>
          <w:ilvl w:val="0"/>
          <w:numId w:val="72"/>
        </w:numPr>
        <w:rPr>
          <w:rFonts w:ascii="Georgia" w:cs="Georgia" w:eastAsia="Georgia" w:hAnsi="Georgia"/>
          <w:sz w:val="18"/>
          <w:szCs w:val="18"/>
          <w:color w:val="auto"/>
        </w:rPr>
      </w:pPr>
      <w:r>
        <w:rPr>
          <w:rFonts w:ascii="Georgia" w:cs="Georgia" w:eastAsia="Georgia" w:hAnsi="Georgia"/>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Pharmaceutical Insurance Coverage and Health Care Reform</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7" w:lineRule="exact"/>
        <w:rPr>
          <w:sz w:val="20"/>
          <w:szCs w:val="20"/>
          <w:color w:val="auto"/>
        </w:rPr>
      </w:pPr>
    </w:p>
    <w:p>
      <w:pPr>
        <w:ind w:right="160"/>
        <w:spacing w:after="0" w:line="253" w:lineRule="auto"/>
        <w:rPr>
          <w:sz w:val="20"/>
          <w:szCs w:val="20"/>
          <w:color w:val="auto"/>
        </w:rPr>
      </w:pPr>
      <w:r>
        <w:rPr>
          <w:rFonts w:ascii="Georgia" w:cs="Georgia" w:eastAsia="Georgia" w:hAnsi="Georgia"/>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0" w:right="399" w:bottom="1440" w:gutter="0" w:footer="0" w:header="0"/>
        </w:sectPr>
      </w:pPr>
    </w:p>
    <w:bookmarkStart w:id="96" w:name="page97"/>
    <w:bookmarkEnd w:id="96"/>
    <w:p>
      <w:pPr>
        <w:ind w:right="140"/>
        <w:spacing w:after="0" w:line="237" w:lineRule="auto"/>
        <w:rPr>
          <w:sz w:val="20"/>
          <w:szCs w:val="20"/>
          <w:color w:val="auto"/>
        </w:rPr>
      </w:pPr>
      <w:r>
        <w:rPr>
          <w:rFonts w:ascii="Georgia" w:cs="Georgia" w:eastAsia="Georgia" w:hAnsi="Georgia"/>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204" w:lineRule="exact"/>
        <w:rPr>
          <w:sz w:val="20"/>
          <w:szCs w:val="20"/>
          <w:color w:val="auto"/>
        </w:rPr>
      </w:pPr>
    </w:p>
    <w:p>
      <w:pPr>
        <w:ind w:left="1300" w:right="240" w:hanging="644"/>
        <w:spacing w:after="0" w:line="237" w:lineRule="auto"/>
        <w:tabs>
          <w:tab w:leader="none" w:pos="1300" w:val="left"/>
        </w:tabs>
        <w:numPr>
          <w:ilvl w:val="0"/>
          <w:numId w:val="73"/>
        </w:numPr>
        <w:rPr>
          <w:rFonts w:ascii="Georgia" w:cs="Georgia" w:eastAsia="Georgia" w:hAnsi="Georgia"/>
          <w:sz w:val="18"/>
          <w:szCs w:val="18"/>
          <w:color w:val="auto"/>
        </w:rPr>
      </w:pPr>
      <w:r>
        <w:rPr>
          <w:rFonts w:ascii="Georgia" w:cs="Georgia" w:eastAsia="Georgia" w:hAnsi="Georgia"/>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204" w:lineRule="exact"/>
        <w:rPr>
          <w:rFonts w:ascii="Georgia" w:cs="Georgia" w:eastAsia="Georgia" w:hAnsi="Georgia"/>
          <w:sz w:val="18"/>
          <w:szCs w:val="18"/>
          <w:color w:val="auto"/>
        </w:rPr>
      </w:pPr>
    </w:p>
    <w:p>
      <w:pPr>
        <w:ind w:left="1300" w:right="20" w:hanging="644"/>
        <w:spacing w:after="0" w:line="237" w:lineRule="auto"/>
        <w:tabs>
          <w:tab w:leader="none" w:pos="1300" w:val="left"/>
        </w:tabs>
        <w:numPr>
          <w:ilvl w:val="0"/>
          <w:numId w:val="73"/>
        </w:numPr>
        <w:rPr>
          <w:rFonts w:ascii="Georgia" w:cs="Georgia" w:eastAsia="Georgia" w:hAnsi="Georgia"/>
          <w:sz w:val="18"/>
          <w:szCs w:val="18"/>
          <w:color w:val="auto"/>
        </w:rPr>
      </w:pPr>
      <w:r>
        <w:rPr>
          <w:rFonts w:ascii="Georgia" w:cs="Georgia" w:eastAsia="Georgia" w:hAnsi="Georgia"/>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04" w:lineRule="exact"/>
        <w:rPr>
          <w:rFonts w:ascii="Georgia" w:cs="Georgia" w:eastAsia="Georgia" w:hAnsi="Georgia"/>
          <w:sz w:val="18"/>
          <w:szCs w:val="18"/>
          <w:color w:val="auto"/>
        </w:rPr>
      </w:pPr>
    </w:p>
    <w:p>
      <w:pPr>
        <w:ind w:left="1300" w:right="260" w:hanging="644"/>
        <w:spacing w:after="0" w:line="237" w:lineRule="auto"/>
        <w:tabs>
          <w:tab w:leader="none" w:pos="1300" w:val="left"/>
        </w:tabs>
        <w:numPr>
          <w:ilvl w:val="0"/>
          <w:numId w:val="73"/>
        </w:numPr>
        <w:rPr>
          <w:rFonts w:ascii="Georgia" w:cs="Georgia" w:eastAsia="Georgia" w:hAnsi="Georgia"/>
          <w:sz w:val="18"/>
          <w:szCs w:val="18"/>
          <w:color w:val="auto"/>
        </w:rPr>
      </w:pPr>
      <w:r>
        <w:rPr>
          <w:rFonts w:ascii="Georgia" w:cs="Georgia" w:eastAsia="Georgia" w:hAnsi="Georgia"/>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204" w:lineRule="exact"/>
        <w:rPr>
          <w:rFonts w:ascii="Georgia" w:cs="Georgia" w:eastAsia="Georgia" w:hAnsi="Georgia"/>
          <w:sz w:val="18"/>
          <w:szCs w:val="18"/>
          <w:color w:val="auto"/>
        </w:rPr>
      </w:pPr>
    </w:p>
    <w:p>
      <w:pPr>
        <w:ind w:left="1300" w:right="560" w:hanging="644"/>
        <w:spacing w:after="0" w:line="237" w:lineRule="auto"/>
        <w:tabs>
          <w:tab w:leader="none" w:pos="1300" w:val="left"/>
        </w:tabs>
        <w:numPr>
          <w:ilvl w:val="0"/>
          <w:numId w:val="73"/>
        </w:numPr>
        <w:rPr>
          <w:rFonts w:ascii="Georgia" w:cs="Georgia" w:eastAsia="Georgia" w:hAnsi="Georgia"/>
          <w:sz w:val="18"/>
          <w:szCs w:val="18"/>
          <w:color w:val="auto"/>
        </w:rPr>
      </w:pPr>
      <w:r>
        <w:rPr>
          <w:rFonts w:ascii="Georgia" w:cs="Georgia" w:eastAsia="Georgia" w:hAnsi="Georgia"/>
          <w:sz w:val="18"/>
          <w:szCs w:val="18"/>
          <w:color w:val="auto"/>
        </w:rPr>
        <w:t>addressed a new methodology by which rebates owed by manufacturers under the Medicaid Drug Rebate Program are calculated for drugs that are inhaled, infused, instilled, implanted or injected;</w:t>
      </w:r>
    </w:p>
    <w:p>
      <w:pPr>
        <w:spacing w:after="0" w:line="202" w:lineRule="exact"/>
        <w:rPr>
          <w:rFonts w:ascii="Georgia" w:cs="Georgia" w:eastAsia="Georgia" w:hAnsi="Georgia"/>
          <w:sz w:val="18"/>
          <w:szCs w:val="18"/>
          <w:color w:val="auto"/>
        </w:rPr>
      </w:pPr>
    </w:p>
    <w:p>
      <w:pPr>
        <w:ind w:left="1300" w:hanging="644"/>
        <w:spacing w:after="0"/>
        <w:tabs>
          <w:tab w:leader="none" w:pos="1300" w:val="left"/>
        </w:tabs>
        <w:numPr>
          <w:ilvl w:val="0"/>
          <w:numId w:val="73"/>
        </w:numPr>
        <w:rPr>
          <w:rFonts w:ascii="Georgia" w:cs="Georgia" w:eastAsia="Georgia" w:hAnsi="Georgia"/>
          <w:sz w:val="18"/>
          <w:szCs w:val="18"/>
          <w:color w:val="auto"/>
        </w:rPr>
      </w:pPr>
      <w:r>
        <w:rPr>
          <w:rFonts w:ascii="Georgia" w:cs="Georgia" w:eastAsia="Georgia" w:hAnsi="Georgia"/>
          <w:sz w:val="18"/>
          <w:szCs w:val="18"/>
          <w:color w:val="auto"/>
        </w:rPr>
        <w:t>expanded the types of entities eligible for the 340B drug discount program;</w:t>
      </w:r>
    </w:p>
    <w:p>
      <w:pPr>
        <w:spacing w:after="0" w:line="201" w:lineRule="exact"/>
        <w:rPr>
          <w:rFonts w:ascii="Georgia" w:cs="Georgia" w:eastAsia="Georgia" w:hAnsi="Georgia"/>
          <w:sz w:val="18"/>
          <w:szCs w:val="18"/>
          <w:color w:val="auto"/>
        </w:rPr>
      </w:pPr>
    </w:p>
    <w:p>
      <w:pPr>
        <w:jc w:val="both"/>
        <w:ind w:left="1300" w:right="160" w:hanging="644"/>
        <w:spacing w:after="0" w:line="237" w:lineRule="auto"/>
        <w:tabs>
          <w:tab w:leader="none" w:pos="1300" w:val="left"/>
        </w:tabs>
        <w:numPr>
          <w:ilvl w:val="0"/>
          <w:numId w:val="73"/>
        </w:numPr>
        <w:rPr>
          <w:rFonts w:ascii="Georgia" w:cs="Georgia" w:eastAsia="Georgia" w:hAnsi="Georgia"/>
          <w:sz w:val="18"/>
          <w:szCs w:val="18"/>
          <w:color w:val="auto"/>
        </w:rPr>
      </w:pPr>
      <w:r>
        <w:rPr>
          <w:rFonts w:ascii="Georgia" w:cs="Georgia" w:eastAsia="Georgia" w:hAnsi="Georgia"/>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204" w:lineRule="exact"/>
        <w:rPr>
          <w:rFonts w:ascii="Georgia" w:cs="Georgia" w:eastAsia="Georgia" w:hAnsi="Georgia"/>
          <w:sz w:val="18"/>
          <w:szCs w:val="18"/>
          <w:color w:val="auto"/>
        </w:rPr>
      </w:pPr>
    </w:p>
    <w:p>
      <w:pPr>
        <w:ind w:left="1300" w:right="120" w:hanging="644"/>
        <w:spacing w:after="0" w:line="237" w:lineRule="auto"/>
        <w:tabs>
          <w:tab w:leader="none" w:pos="1300" w:val="left"/>
        </w:tabs>
        <w:numPr>
          <w:ilvl w:val="0"/>
          <w:numId w:val="73"/>
        </w:numPr>
        <w:rPr>
          <w:rFonts w:ascii="Georgia" w:cs="Georgia" w:eastAsia="Georgia" w:hAnsi="Georgia"/>
          <w:sz w:val="18"/>
          <w:szCs w:val="18"/>
          <w:color w:val="auto"/>
        </w:rPr>
      </w:pPr>
      <w:r>
        <w:rPr>
          <w:rFonts w:ascii="Georgia" w:cs="Georgia" w:eastAsia="Georgia" w:hAnsi="Georgia"/>
          <w:sz w:val="18"/>
          <w:szCs w:val="18"/>
          <w:color w:val="auto"/>
        </w:rPr>
        <w:t>established a new Patient-Centered Outcomes Research Institute to oversee, identify priorities in, and conduct comparative clinical effectiveness research, along with funding for such research.</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7" w:lineRule="exact"/>
        <w:rPr>
          <w:sz w:val="20"/>
          <w:szCs w:val="20"/>
          <w:color w:val="auto"/>
        </w:rPr>
      </w:pPr>
    </w:p>
    <w:p>
      <w:pPr>
        <w:ind w:right="40"/>
        <w:spacing w:after="0" w:line="252" w:lineRule="auto"/>
        <w:rPr>
          <w:sz w:val="20"/>
          <w:szCs w:val="20"/>
          <w:color w:val="auto"/>
        </w:rPr>
      </w:pPr>
      <w:r>
        <w:rPr>
          <w:rFonts w:ascii="Georgia" w:cs="Georgia" w:eastAsia="Georgia" w:hAnsi="Georgia"/>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97" w:name="page98"/>
    <w:bookmarkEnd w:id="97"/>
    <w:p>
      <w:pPr>
        <w:ind w:right="40"/>
        <w:spacing w:after="0" w:line="237" w:lineRule="auto"/>
        <w:rPr>
          <w:sz w:val="20"/>
          <w:szCs w:val="20"/>
          <w:color w:val="auto"/>
        </w:rPr>
      </w:pPr>
      <w:r>
        <w:rPr>
          <w:rFonts w:ascii="Georgia" w:cs="Georgia" w:eastAsia="Georgia" w:hAnsi="Georgia"/>
          <w:sz w:val="18"/>
          <w:szCs w:val="18"/>
          <w:color w:val="auto"/>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209"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spacing w:after="0" w:line="207"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Review and Approval of Medicinal Products in Europe</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207"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In January 2022, the Clinical Trials Regulation entered into application harmonizing the submission, assessment and supervision processes for clinical trials in the EU.</w:t>
      </w:r>
    </w:p>
    <w:p>
      <w:pPr>
        <w:spacing w:after="0" w:line="206"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Clinical Trial Regulations in Italy</w:t>
      </w:r>
    </w:p>
    <w:p>
      <w:pPr>
        <w:spacing w:after="0" w:line="202" w:lineRule="exact"/>
        <w:rPr>
          <w:sz w:val="20"/>
          <w:szCs w:val="20"/>
          <w:color w:val="auto"/>
        </w:rPr>
      </w:pPr>
    </w:p>
    <w:p>
      <w:pPr>
        <w:ind w:right="280"/>
        <w:spacing w:after="0" w:line="237" w:lineRule="auto"/>
        <w:rPr>
          <w:sz w:val="20"/>
          <w:szCs w:val="20"/>
          <w:color w:val="auto"/>
        </w:rPr>
      </w:pPr>
      <w:r>
        <w:rPr>
          <w:rFonts w:ascii="Georgia" w:cs="Georgia" w:eastAsia="Georgia" w:hAnsi="Georgia"/>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98" w:name="page99"/>
    <w:bookmarkEnd w:id="98"/>
    <w:p>
      <w:pPr>
        <w:ind w:right="80"/>
        <w:spacing w:after="0" w:line="237" w:lineRule="auto"/>
        <w:rPr>
          <w:sz w:val="20"/>
          <w:szCs w:val="20"/>
          <w:color w:val="auto"/>
        </w:rPr>
      </w:pPr>
      <w:r>
        <w:rPr>
          <w:rFonts w:ascii="Georgia" w:cs="Georgia" w:eastAsia="Georgia" w:hAnsi="Georgia"/>
          <w:sz w:val="18"/>
          <w:szCs w:val="18"/>
          <w:color w:val="auto"/>
        </w:rPr>
        <w:t>We are currently conducting or planning Phase I/II clinical trials on Temferon in Italy, in accordance with the specific regulations applicable to such early-phase trials. As discussed elsewhere in this report, we are currently conducting our TEM-GBM 001 study on UMGMT-GBM patients and plan to start new ones on hepatic tumor (HCC and IHC) in the near future by means of appropriate application to the Italian Regulatory Authority (“AIFA”).</w:t>
      </w:r>
    </w:p>
    <w:p>
      <w:pPr>
        <w:spacing w:after="0" w:line="20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206"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Georgia" w:cs="Georgia" w:eastAsia="Georgia" w:hAnsi="Georgia"/>
          <w:sz w:val="18"/>
          <w:szCs w:val="18"/>
          <w:i w:val="1"/>
          <w:iCs w:val="1"/>
          <w:color w:val="auto"/>
        </w:rPr>
        <w:t>Parere Unico</w:t>
      </w:r>
      <w:r>
        <w:rPr>
          <w:rFonts w:ascii="Georgia" w:cs="Georgia" w:eastAsia="Georgia" w:hAnsi="Georgia"/>
          <w:sz w:val="18"/>
          <w:szCs w:val="18"/>
          <w:color w:val="auto"/>
        </w:rPr>
        <w:t>, lit. “sole opinion” (“PU”) - and then the IECs of the other participating centers accept or refuse the PU in its entirety (they may seek amendment to the ICF on the basis of local operating circumstances).</w:t>
      </w:r>
    </w:p>
    <w:p>
      <w:pPr>
        <w:spacing w:after="0" w:line="206"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Georgia" w:cs="Georgia" w:eastAsia="Georgia" w:hAnsi="Georgia"/>
          <w:sz w:val="18"/>
          <w:szCs w:val="18"/>
          <w:i w:val="1"/>
          <w:iCs w:val="1"/>
          <w:color w:val="auto"/>
        </w:rPr>
        <w:t>con</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riserva</w:t>
      </w:r>
      <w:r>
        <w:rPr>
          <w:rFonts w:ascii="Georgia" w:cs="Georgia" w:eastAsia="Georgia" w:hAnsi="Georgia"/>
          <w:sz w:val="18"/>
          <w:szCs w:val="18"/>
          <w:color w:val="auto"/>
        </w:rPr>
        <w:t>”) and can be loaded in advance accordingly, under the assumption that the documents subjected to evaluation - protocol (updated)</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version, ICF and the rest – coincide exactly.</w:t>
      </w:r>
    </w:p>
    <w:p>
      <w:pPr>
        <w:spacing w:after="0" w:line="205"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Marketing Authorization Application for Biologic Medicinal Products</w:t>
      </w:r>
    </w:p>
    <w:p>
      <w:pPr>
        <w:spacing w:after="0" w:line="202"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To obtain regulatory approval to commercialize a new drug in the EEA (comprising the E.U. Member States plus Iceland, Liechtenstein and Norway, we must submit a marketing authorization application.</w:t>
      </w:r>
    </w:p>
    <w:p>
      <w:pPr>
        <w:spacing w:after="0" w:line="204"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99" w:name="page100"/>
    <w:bookmarkEnd w:id="99"/>
    <w:p>
      <w:pPr>
        <w:ind w:right="20"/>
        <w:spacing w:after="0" w:line="237" w:lineRule="auto"/>
        <w:rPr>
          <w:sz w:val="20"/>
          <w:szCs w:val="20"/>
          <w:color w:val="auto"/>
        </w:rPr>
      </w:pPr>
      <w:r>
        <w:rPr>
          <w:rFonts w:ascii="Georgia" w:cs="Georgia" w:eastAsia="Georgia" w:hAnsi="Georgia"/>
          <w:sz w:val="18"/>
          <w:szCs w:val="18"/>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206"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Advertising, Promotion and Compliance</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 -label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208" w:lineRule="exact"/>
        <w:rPr>
          <w:sz w:val="20"/>
          <w:szCs w:val="20"/>
          <w:color w:val="auto"/>
        </w:rPr>
      </w:pPr>
    </w:p>
    <w:p>
      <w:pPr>
        <w:ind w:right="540"/>
        <w:spacing w:after="0" w:line="237" w:lineRule="auto"/>
        <w:rPr>
          <w:sz w:val="20"/>
          <w:szCs w:val="20"/>
          <w:color w:val="auto"/>
        </w:rPr>
      </w:pPr>
      <w:r>
        <w:rPr>
          <w:rFonts w:ascii="Georgia" w:cs="Georgia" w:eastAsia="Georgia" w:hAnsi="Georgia"/>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Regulatory Data Protection in the EEA</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208"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Periods of Authorization and Renewals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00" w:name="page101"/>
    <w:bookmarkEnd w:id="100"/>
    <w:p>
      <w:pPr>
        <w:ind w:left="660"/>
        <w:spacing w:after="0"/>
        <w:rPr>
          <w:sz w:val="20"/>
          <w:szCs w:val="20"/>
          <w:color w:val="auto"/>
        </w:rPr>
      </w:pPr>
      <w:r>
        <w:rPr>
          <w:rFonts w:ascii="Georgia" w:cs="Georgia" w:eastAsia="Georgia" w:hAnsi="Georgia"/>
          <w:sz w:val="18"/>
          <w:szCs w:val="18"/>
          <w:i w:val="1"/>
          <w:iCs w:val="1"/>
          <w:color w:val="auto"/>
        </w:rPr>
        <w:t>Pediatric Studies and Exclusivity</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10"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Regulatory Requirements after a Marketing Authorization has been Obtained</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204" w:lineRule="exact"/>
        <w:rPr>
          <w:sz w:val="20"/>
          <w:szCs w:val="20"/>
          <w:color w:val="auto"/>
        </w:rPr>
      </w:pPr>
    </w:p>
    <w:p>
      <w:pPr>
        <w:ind w:left="1300" w:right="300" w:hanging="644"/>
        <w:spacing w:after="0" w:line="237" w:lineRule="auto"/>
        <w:tabs>
          <w:tab w:leader="none" w:pos="1300" w:val="left"/>
        </w:tabs>
        <w:numPr>
          <w:ilvl w:val="0"/>
          <w:numId w:val="74"/>
        </w:numPr>
        <w:rPr>
          <w:rFonts w:ascii="Georgia" w:cs="Georgia" w:eastAsia="Georgia" w:hAnsi="Georgia"/>
          <w:sz w:val="18"/>
          <w:szCs w:val="18"/>
          <w:color w:val="auto"/>
        </w:rPr>
      </w:pPr>
      <w:r>
        <w:rPr>
          <w:rFonts w:ascii="Georgia" w:cs="Georgia" w:eastAsia="Georgia" w:hAnsi="Georgia"/>
          <w:sz w:val="18"/>
          <w:szCs w:val="18"/>
          <w:color w:val="auto"/>
        </w:rPr>
        <w:t>Compliance with the EU’s stringent pharmacovigilance or safety reporting rules must be ensured. These rules can impose post-authorization studies and additional monitoring obligations.</w:t>
      </w:r>
    </w:p>
    <w:p>
      <w:pPr>
        <w:spacing w:after="0" w:line="1" w:lineRule="exact"/>
        <w:rPr>
          <w:rFonts w:ascii="Georgia" w:cs="Georgia" w:eastAsia="Georgia" w:hAnsi="Georgia"/>
          <w:sz w:val="18"/>
          <w:szCs w:val="18"/>
          <w:color w:val="auto"/>
        </w:rPr>
      </w:pPr>
    </w:p>
    <w:p>
      <w:pPr>
        <w:ind w:left="1300" w:right="20" w:hanging="644"/>
        <w:spacing w:after="0" w:line="237" w:lineRule="auto"/>
        <w:tabs>
          <w:tab w:leader="none" w:pos="1300" w:val="left"/>
        </w:tabs>
        <w:numPr>
          <w:ilvl w:val="0"/>
          <w:numId w:val="74"/>
        </w:numPr>
        <w:rPr>
          <w:rFonts w:ascii="Georgia" w:cs="Georgia" w:eastAsia="Georgia" w:hAnsi="Georgia"/>
          <w:sz w:val="18"/>
          <w:szCs w:val="18"/>
          <w:color w:val="auto"/>
        </w:rPr>
      </w:pPr>
      <w:r>
        <w:rPr>
          <w:rFonts w:ascii="Georgia" w:cs="Georgia" w:eastAsia="Georgia" w:hAnsi="Georgia"/>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2" w:lineRule="exact"/>
        <w:rPr>
          <w:rFonts w:ascii="Georgia" w:cs="Georgia" w:eastAsia="Georgia" w:hAnsi="Georgia"/>
          <w:sz w:val="18"/>
          <w:szCs w:val="18"/>
          <w:color w:val="auto"/>
        </w:rPr>
      </w:pPr>
    </w:p>
    <w:p>
      <w:pPr>
        <w:ind w:left="1300" w:right="60" w:hanging="644"/>
        <w:spacing w:after="0" w:line="237" w:lineRule="auto"/>
        <w:tabs>
          <w:tab w:leader="none" w:pos="1300" w:val="left"/>
        </w:tabs>
        <w:numPr>
          <w:ilvl w:val="0"/>
          <w:numId w:val="74"/>
        </w:numPr>
        <w:rPr>
          <w:rFonts w:ascii="Georgia" w:cs="Georgia" w:eastAsia="Georgia" w:hAnsi="Georgia"/>
          <w:sz w:val="18"/>
          <w:szCs w:val="18"/>
          <w:color w:val="auto"/>
        </w:rPr>
      </w:pPr>
      <w:r>
        <w:rPr>
          <w:rFonts w:ascii="Georgia" w:cs="Georgia" w:eastAsia="Georgia" w:hAnsi="Georgia"/>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Brexit and the Regulatory Framework in the United Kingdom</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01" w:name="page102"/>
    <w:bookmarkEnd w:id="101"/>
    <w:p>
      <w:pPr>
        <w:ind w:left="660"/>
        <w:spacing w:after="0"/>
        <w:rPr>
          <w:sz w:val="20"/>
          <w:szCs w:val="20"/>
          <w:color w:val="auto"/>
        </w:rPr>
      </w:pPr>
      <w:r>
        <w:rPr>
          <w:rFonts w:ascii="Georgia" w:cs="Georgia" w:eastAsia="Georgia" w:hAnsi="Georgia"/>
          <w:sz w:val="18"/>
          <w:szCs w:val="18"/>
          <w:i w:val="1"/>
          <w:iCs w:val="1"/>
          <w:color w:val="auto"/>
        </w:rPr>
        <w:t>General Data Protection Regulation</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In June 2021, the EU Commission adopted decisions on the United Kingdom’s adequacy under the EU’s GDPR and Law Enforcement Directive (LED). In both cases, the European Commission found the United Kingdom to be adequate. This means that most data can continue to flow from the EU and the EEA without the need for additional safeguards.</w:t>
      </w:r>
    </w:p>
    <w:p>
      <w:pPr>
        <w:spacing w:after="0" w:line="213"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Compliance with the GDPR and all relevant EU data protection rules will be a rigorous and time-intensive process that may increase our cost of doing business.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Pricing Decisions for Approved Drug Products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Georgia" w:cs="Georgia" w:eastAsia="Georgia" w:hAnsi="Georgia"/>
          <w:sz w:val="18"/>
          <w:szCs w:val="18"/>
          <w:b w:val="1"/>
          <w:bCs w:val="1"/>
          <w:color w:val="auto"/>
        </w:rPr>
        <w:t>Intellectual Property Rights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06"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Temferon</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ind w:left="1700"/>
              <w:spacing w:after="0"/>
              <w:rPr>
                <w:sz w:val="20"/>
                <w:szCs w:val="20"/>
                <w:color w:val="auto"/>
              </w:rPr>
            </w:pPr>
            <w:r>
              <w:rPr>
                <w:rFonts w:ascii="Georgia" w:cs="Georgia" w:eastAsia="Georgia" w:hAnsi="Georgia"/>
                <w:sz w:val="18"/>
                <w:szCs w:val="18"/>
                <w:b w:val="1"/>
                <w:bCs w:val="1"/>
                <w:color w:val="auto"/>
              </w:rPr>
              <w:t>Focus / Family</w:t>
            </w:r>
          </w:p>
        </w:tc>
        <w:tc>
          <w:tcPr>
            <w:tcW w:w="220" w:type="dxa"/>
            <w:vAlign w:val="bottom"/>
          </w:tcPr>
          <w:p>
            <w:pPr>
              <w:spacing w:after="0"/>
              <w:rPr>
                <w:sz w:val="18"/>
                <w:szCs w:val="18"/>
                <w:color w:val="auto"/>
              </w:rPr>
            </w:pPr>
          </w:p>
        </w:tc>
        <w:tc>
          <w:tcPr>
            <w:tcW w:w="2480" w:type="dxa"/>
            <w:vAlign w:val="bottom"/>
            <w:gridSpan w:val="2"/>
          </w:tcPr>
          <w:p>
            <w:pPr>
              <w:ind w:left="940"/>
              <w:spacing w:after="0"/>
              <w:rPr>
                <w:sz w:val="20"/>
                <w:szCs w:val="20"/>
                <w:color w:val="auto"/>
              </w:rPr>
            </w:pPr>
            <w:r>
              <w:rPr>
                <w:rFonts w:ascii="Georgia" w:cs="Georgia" w:eastAsia="Georgia" w:hAnsi="Georgia"/>
                <w:sz w:val="18"/>
                <w:szCs w:val="18"/>
                <w:b w:val="1"/>
                <w:bCs w:val="1"/>
                <w:color w:val="auto"/>
              </w:rPr>
              <w:t>U.S.</w:t>
            </w:r>
          </w:p>
        </w:tc>
        <w:tc>
          <w:tcPr>
            <w:tcW w:w="1780" w:type="dxa"/>
            <w:vAlign w:val="bottom"/>
          </w:tcPr>
          <w:p>
            <w:pPr>
              <w:ind w:left="700"/>
              <w:spacing w:after="0"/>
              <w:rPr>
                <w:sz w:val="20"/>
                <w:szCs w:val="20"/>
                <w:color w:val="auto"/>
              </w:rPr>
            </w:pPr>
            <w:r>
              <w:rPr>
                <w:rFonts w:ascii="Georgia" w:cs="Georgia" w:eastAsia="Georgia" w:hAnsi="Georgia"/>
                <w:sz w:val="18"/>
                <w:szCs w:val="18"/>
                <w:b w:val="1"/>
                <w:bCs w:val="1"/>
                <w:color w:val="auto"/>
              </w:rPr>
              <w:t>E.U.</w:t>
            </w:r>
          </w:p>
        </w:tc>
        <w:tc>
          <w:tcPr>
            <w:tcW w:w="220" w:type="dxa"/>
            <w:vAlign w:val="bottom"/>
          </w:tcPr>
          <w:p>
            <w:pPr>
              <w:spacing w:after="0"/>
              <w:rPr>
                <w:sz w:val="18"/>
                <w:szCs w:val="18"/>
                <w:color w:val="auto"/>
              </w:rPr>
            </w:pPr>
          </w:p>
        </w:tc>
        <w:tc>
          <w:tcPr>
            <w:tcW w:w="1800" w:type="dxa"/>
            <w:vAlign w:val="bottom"/>
          </w:tcPr>
          <w:p>
            <w:pPr>
              <w:ind w:left="400"/>
              <w:spacing w:after="0"/>
              <w:rPr>
                <w:sz w:val="20"/>
                <w:szCs w:val="20"/>
                <w:color w:val="auto"/>
              </w:rPr>
            </w:pPr>
            <w:r>
              <w:rPr>
                <w:rFonts w:ascii="Georgia" w:cs="Georgia" w:eastAsia="Georgia" w:hAnsi="Georgia"/>
                <w:sz w:val="18"/>
                <w:szCs w:val="18"/>
                <w:b w:val="1"/>
                <w:bCs w:val="1"/>
                <w:color w:val="auto"/>
              </w:rPr>
              <w:t>Expiration</w:t>
            </w:r>
          </w:p>
        </w:tc>
      </w:tr>
      <w:tr>
        <w:trPr>
          <w:trHeight w:val="199"/>
        </w:trPr>
        <w:tc>
          <w:tcPr>
            <w:tcW w:w="474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Gene Vector comprising mi-RNA</w:t>
            </w:r>
          </w:p>
        </w:tc>
        <w:tc>
          <w:tcPr>
            <w:tcW w:w="220" w:type="dxa"/>
            <w:vAlign w:val="bottom"/>
          </w:tcPr>
          <w:p>
            <w:pPr>
              <w:spacing w:after="0"/>
              <w:rPr>
                <w:sz w:val="17"/>
                <w:szCs w:val="17"/>
                <w:color w:val="auto"/>
              </w:rPr>
            </w:pPr>
          </w:p>
        </w:tc>
        <w:tc>
          <w:tcPr>
            <w:tcW w:w="226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USP 10,000,757*</w:t>
            </w:r>
          </w:p>
        </w:tc>
        <w:tc>
          <w:tcPr>
            <w:tcW w:w="220" w:type="dxa"/>
            <w:vAlign w:val="bottom"/>
          </w:tcPr>
          <w:p>
            <w:pPr>
              <w:spacing w:after="0"/>
              <w:rPr>
                <w:sz w:val="17"/>
                <w:szCs w:val="17"/>
                <w:color w:val="auto"/>
              </w:rPr>
            </w:pPr>
          </w:p>
        </w:tc>
        <w:tc>
          <w:tcPr>
            <w:tcW w:w="178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EP 2002003 B1</w:t>
            </w:r>
          </w:p>
        </w:tc>
        <w:tc>
          <w:tcPr>
            <w:tcW w:w="220" w:type="dxa"/>
            <w:vAlign w:val="bottom"/>
          </w:tcPr>
          <w:p>
            <w:pPr>
              <w:spacing w:after="0"/>
              <w:rPr>
                <w:sz w:val="17"/>
                <w:szCs w:val="17"/>
                <w:color w:val="auto"/>
              </w:rPr>
            </w:pPr>
          </w:p>
        </w:tc>
        <w:tc>
          <w:tcPr>
            <w:tcW w:w="180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5/26/2026*</w:t>
            </w: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(composition and method of treatment claims)</w:t>
            </w:r>
          </w:p>
        </w:tc>
        <w:tc>
          <w:tcPr>
            <w:tcW w:w="2700" w:type="dxa"/>
            <w:vAlign w:val="bottom"/>
            <w:gridSpan w:val="3"/>
          </w:tcPr>
          <w:p>
            <w:pPr>
              <w:ind w:left="220"/>
              <w:spacing w:after="0" w:line="202" w:lineRule="exact"/>
              <w:rPr>
                <w:sz w:val="20"/>
                <w:szCs w:val="20"/>
                <w:color w:val="auto"/>
              </w:rPr>
            </w:pPr>
            <w:r>
              <w:rPr>
                <w:rFonts w:ascii="Georgia" w:cs="Georgia" w:eastAsia="Georgia" w:hAnsi="Georgia"/>
                <w:sz w:val="18"/>
                <w:szCs w:val="18"/>
                <w:color w:val="auto"/>
              </w:rPr>
              <w:t>USP 9,556,438</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PCT/IB2006/002266 (WO 2007/000668).</w:t>
            </w:r>
          </w:p>
        </w:tc>
        <w:tc>
          <w:tcPr>
            <w:tcW w:w="2700" w:type="dxa"/>
            <w:vAlign w:val="bottom"/>
            <w:gridSpan w:val="3"/>
          </w:tcPr>
          <w:p>
            <w:pPr>
              <w:ind w:left="220"/>
              <w:spacing w:after="0" w:line="202" w:lineRule="exact"/>
              <w:rPr>
                <w:sz w:val="20"/>
                <w:szCs w:val="20"/>
                <w:color w:val="auto"/>
              </w:rPr>
            </w:pPr>
            <w:r>
              <w:rPr>
                <w:rFonts w:ascii="Georgia" w:cs="Georgia" w:eastAsia="Georgia" w:hAnsi="Georgia"/>
                <w:sz w:val="18"/>
                <w:szCs w:val="18"/>
                <w:color w:val="auto"/>
              </w:rPr>
              <w:t>USSN 16/004,394</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700" w:type="dxa"/>
            <w:vAlign w:val="bottom"/>
            <w:gridSpan w:val="3"/>
          </w:tcPr>
          <w:p>
            <w:pPr>
              <w:ind w:left="220"/>
              <w:spacing w:after="0" w:line="203" w:lineRule="exact"/>
              <w:rPr>
                <w:sz w:val="20"/>
                <w:szCs w:val="20"/>
                <w:color w:val="auto"/>
              </w:rPr>
            </w:pPr>
            <w:r>
              <w:rPr>
                <w:rFonts w:ascii="Georgia" w:cs="Georgia" w:eastAsia="Georgia" w:hAnsi="Georgia"/>
                <w:sz w:val="18"/>
                <w:szCs w:val="18"/>
                <w:color w:val="auto"/>
              </w:rPr>
              <w:t>(pending)</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4"/>
        </w:trPr>
        <w:tc>
          <w:tcPr>
            <w:tcW w:w="4740" w:type="dxa"/>
            <w:vAlign w:val="bottom"/>
          </w:tcPr>
          <w:p>
            <w:pPr>
              <w:spacing w:after="0"/>
              <w:rPr>
                <w:sz w:val="20"/>
                <w:szCs w:val="20"/>
                <w:color w:val="auto"/>
              </w:rPr>
            </w:pPr>
            <w:r>
              <w:rPr>
                <w:rFonts w:ascii="Georgia" w:cs="Georgia" w:eastAsia="Georgia" w:hAnsi="Georgia"/>
                <w:sz w:val="18"/>
                <w:szCs w:val="18"/>
                <w:color w:val="auto"/>
              </w:rPr>
              <w:t>Gene Vector comprising mi-RNA</w:t>
            </w:r>
          </w:p>
        </w:tc>
        <w:tc>
          <w:tcPr>
            <w:tcW w:w="2700" w:type="dxa"/>
            <w:vAlign w:val="bottom"/>
            <w:gridSpan w:val="3"/>
          </w:tcPr>
          <w:p>
            <w:pPr>
              <w:ind w:left="220"/>
              <w:spacing w:after="0"/>
              <w:rPr>
                <w:sz w:val="20"/>
                <w:szCs w:val="20"/>
                <w:color w:val="auto"/>
              </w:rPr>
            </w:pPr>
            <w:r>
              <w:rPr>
                <w:rFonts w:ascii="Georgia" w:cs="Georgia" w:eastAsia="Georgia" w:hAnsi="Georgia"/>
                <w:sz w:val="18"/>
                <w:szCs w:val="18"/>
                <w:color w:val="auto"/>
              </w:rPr>
              <w:t>USP 10,287,579</w:t>
            </w:r>
          </w:p>
        </w:tc>
        <w:tc>
          <w:tcPr>
            <w:tcW w:w="1780" w:type="dxa"/>
            <w:vAlign w:val="bottom"/>
          </w:tcPr>
          <w:p>
            <w:pPr>
              <w:spacing w:after="0"/>
              <w:rPr>
                <w:sz w:val="20"/>
                <w:szCs w:val="20"/>
                <w:color w:val="auto"/>
              </w:rPr>
            </w:pPr>
            <w:r>
              <w:rPr>
                <w:rFonts w:ascii="Georgia" w:cs="Georgia" w:eastAsia="Georgia" w:hAnsi="Georgia"/>
                <w:sz w:val="18"/>
                <w:szCs w:val="18"/>
                <w:color w:val="auto"/>
              </w:rPr>
              <w:t>EP 2424571 B1</w:t>
            </w:r>
          </w:p>
        </w:tc>
        <w:tc>
          <w:tcPr>
            <w:tcW w:w="2020" w:type="dxa"/>
            <w:vAlign w:val="bottom"/>
            <w:gridSpan w:val="2"/>
          </w:tcPr>
          <w:p>
            <w:pPr>
              <w:ind w:left="220"/>
              <w:spacing w:after="0"/>
              <w:rPr>
                <w:sz w:val="20"/>
                <w:szCs w:val="20"/>
                <w:color w:val="auto"/>
              </w:rPr>
            </w:pPr>
            <w:r>
              <w:rPr>
                <w:rFonts w:ascii="Georgia" w:cs="Georgia" w:eastAsia="Georgia" w:hAnsi="Georgia"/>
                <w:sz w:val="18"/>
                <w:szCs w:val="18"/>
                <w:color w:val="auto"/>
              </w:rPr>
              <w:t>4/30/2030</w:t>
            </w: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(composition and method of treatment claims)</w:t>
            </w:r>
          </w:p>
        </w:tc>
        <w:tc>
          <w:tcPr>
            <w:tcW w:w="2700" w:type="dxa"/>
            <w:vAlign w:val="bottom"/>
            <w:gridSpan w:val="3"/>
          </w:tcPr>
          <w:p>
            <w:pPr>
              <w:ind w:left="220"/>
              <w:spacing w:after="0" w:line="202" w:lineRule="exact"/>
              <w:rPr>
                <w:sz w:val="20"/>
                <w:szCs w:val="20"/>
                <w:color w:val="auto"/>
              </w:rPr>
            </w:pPr>
            <w:r>
              <w:rPr>
                <w:rFonts w:ascii="Georgia" w:cs="Georgia" w:eastAsia="Georgia" w:hAnsi="Georgia"/>
                <w:sz w:val="18"/>
                <w:szCs w:val="18"/>
                <w:color w:val="auto"/>
              </w:rPr>
              <w:t>USP 9,951,328</w:t>
            </w:r>
          </w:p>
        </w:tc>
        <w:tc>
          <w:tcPr>
            <w:tcW w:w="1780" w:type="dxa"/>
            <w:vAlign w:val="bottom"/>
          </w:tcPr>
          <w:p>
            <w:pPr>
              <w:spacing w:after="0" w:line="202" w:lineRule="exact"/>
              <w:rPr>
                <w:sz w:val="20"/>
                <w:szCs w:val="20"/>
                <w:color w:val="auto"/>
              </w:rPr>
            </w:pPr>
            <w:r>
              <w:rPr>
                <w:rFonts w:ascii="Georgia" w:cs="Georgia" w:eastAsia="Georgia" w:hAnsi="Georgia"/>
                <w:sz w:val="18"/>
                <w:szCs w:val="18"/>
                <w:color w:val="auto"/>
              </w:rPr>
              <w:t>EP 20167404.1</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PCT/IB2010/001166 (WO / 2010/125471)</w:t>
            </w:r>
          </w:p>
        </w:tc>
        <w:tc>
          <w:tcPr>
            <w:tcW w:w="2700" w:type="dxa"/>
            <w:vAlign w:val="bottom"/>
            <w:gridSpan w:val="3"/>
          </w:tcPr>
          <w:p>
            <w:pPr>
              <w:ind w:left="220"/>
              <w:spacing w:after="0" w:line="202" w:lineRule="exact"/>
              <w:rPr>
                <w:sz w:val="20"/>
                <w:szCs w:val="20"/>
                <w:color w:val="auto"/>
              </w:rPr>
            </w:pPr>
            <w:r>
              <w:rPr>
                <w:rFonts w:ascii="Georgia" w:cs="Georgia" w:eastAsia="Georgia" w:hAnsi="Georgia"/>
                <w:sz w:val="18"/>
                <w:szCs w:val="18"/>
                <w:color w:val="auto"/>
              </w:rPr>
              <w:t>USSN 16/384,571</w:t>
            </w:r>
          </w:p>
        </w:tc>
        <w:tc>
          <w:tcPr>
            <w:tcW w:w="1780" w:type="dxa"/>
            <w:vAlign w:val="bottom"/>
          </w:tcPr>
          <w:p>
            <w:pPr>
              <w:spacing w:after="0" w:line="202" w:lineRule="exact"/>
              <w:rPr>
                <w:sz w:val="20"/>
                <w:szCs w:val="20"/>
                <w:color w:val="auto"/>
              </w:rPr>
            </w:pPr>
            <w:r>
              <w:rPr>
                <w:rFonts w:ascii="Georgia" w:cs="Georgia" w:eastAsia="Georgia" w:hAnsi="Georgia"/>
                <w:sz w:val="18"/>
                <w:szCs w:val="18"/>
                <w:color w:val="auto"/>
              </w:rPr>
              <w:t>(pending)</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700" w:type="dxa"/>
            <w:vAlign w:val="bottom"/>
            <w:gridSpan w:val="3"/>
          </w:tcPr>
          <w:p>
            <w:pPr>
              <w:ind w:left="220"/>
              <w:spacing w:after="0" w:line="203" w:lineRule="exact"/>
              <w:rPr>
                <w:sz w:val="20"/>
                <w:szCs w:val="20"/>
                <w:color w:val="auto"/>
              </w:rPr>
            </w:pPr>
            <w:r>
              <w:rPr>
                <w:rFonts w:ascii="Georgia" w:cs="Georgia" w:eastAsia="Georgia" w:hAnsi="Georgia"/>
                <w:sz w:val="18"/>
                <w:szCs w:val="18"/>
                <w:color w:val="auto"/>
              </w:rPr>
              <w:t>(pending)</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4"/>
        </w:trPr>
        <w:tc>
          <w:tcPr>
            <w:tcW w:w="4740" w:type="dxa"/>
            <w:vAlign w:val="bottom"/>
          </w:tcPr>
          <w:p>
            <w:pPr>
              <w:spacing w:after="0"/>
              <w:rPr>
                <w:sz w:val="20"/>
                <w:szCs w:val="20"/>
                <w:color w:val="auto"/>
              </w:rPr>
            </w:pPr>
            <w:r>
              <w:rPr>
                <w:rFonts w:ascii="Georgia" w:cs="Georgia" w:eastAsia="Georgia" w:hAnsi="Georgia"/>
                <w:sz w:val="18"/>
                <w:szCs w:val="18"/>
                <w:color w:val="auto"/>
              </w:rPr>
              <w:t>Monocyte Cell (Tie-2) activation process (composition</w:t>
            </w:r>
          </w:p>
        </w:tc>
        <w:tc>
          <w:tcPr>
            <w:tcW w:w="2700" w:type="dxa"/>
            <w:vAlign w:val="bottom"/>
            <w:gridSpan w:val="3"/>
          </w:tcPr>
          <w:p>
            <w:pPr>
              <w:ind w:left="220"/>
              <w:spacing w:after="0"/>
              <w:rPr>
                <w:sz w:val="20"/>
                <w:szCs w:val="20"/>
                <w:color w:val="auto"/>
              </w:rPr>
            </w:pPr>
            <w:r>
              <w:rPr>
                <w:rFonts w:ascii="Georgia" w:cs="Georgia" w:eastAsia="Georgia" w:hAnsi="Georgia"/>
                <w:sz w:val="18"/>
                <w:szCs w:val="18"/>
                <w:color w:val="auto"/>
              </w:rPr>
              <w:t>USP 7,833,789</w:t>
            </w:r>
          </w:p>
        </w:tc>
        <w:tc>
          <w:tcPr>
            <w:tcW w:w="1780" w:type="dxa"/>
            <w:vAlign w:val="bottom"/>
          </w:tcPr>
          <w:p>
            <w:pPr>
              <w:spacing w:after="0"/>
              <w:rPr>
                <w:sz w:val="20"/>
                <w:szCs w:val="20"/>
                <w:color w:val="auto"/>
              </w:rPr>
            </w:pPr>
            <w:r>
              <w:rPr>
                <w:rFonts w:ascii="Georgia" w:cs="Georgia" w:eastAsia="Georgia" w:hAnsi="Georgia"/>
                <w:sz w:val="18"/>
                <w:szCs w:val="18"/>
                <w:color w:val="auto"/>
              </w:rPr>
              <w:t>-</w:t>
            </w:r>
          </w:p>
        </w:tc>
        <w:tc>
          <w:tcPr>
            <w:tcW w:w="2020" w:type="dxa"/>
            <w:vAlign w:val="bottom"/>
            <w:gridSpan w:val="2"/>
          </w:tcPr>
          <w:p>
            <w:pPr>
              <w:ind w:left="220"/>
              <w:spacing w:after="0"/>
              <w:rPr>
                <w:sz w:val="20"/>
                <w:szCs w:val="20"/>
                <w:color w:val="auto"/>
              </w:rPr>
            </w:pPr>
            <w:r>
              <w:rPr>
                <w:rFonts w:ascii="Georgia" w:cs="Georgia" w:eastAsia="Georgia" w:hAnsi="Georgia"/>
                <w:sz w:val="18"/>
                <w:szCs w:val="18"/>
                <w:color w:val="auto"/>
              </w:rPr>
              <w:t>10/5/2027</w:t>
            </w: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claims)</w:t>
            </w: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Georgia" w:cs="Georgia" w:eastAsia="Georgia" w:hAnsi="Georgia"/>
                <w:sz w:val="18"/>
                <w:szCs w:val="18"/>
                <w:color w:val="auto"/>
              </w:rPr>
              <w:t>USP 7,833,789</w:t>
            </w: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4"/>
        </w:trPr>
        <w:tc>
          <w:tcPr>
            <w:tcW w:w="4740" w:type="dxa"/>
            <w:vAlign w:val="bottom"/>
          </w:tcPr>
          <w:p>
            <w:pPr>
              <w:spacing w:after="0"/>
              <w:rPr>
                <w:sz w:val="20"/>
                <w:szCs w:val="20"/>
                <w:color w:val="auto"/>
              </w:rPr>
            </w:pPr>
            <w:r>
              <w:rPr>
                <w:rFonts w:ascii="Georgia" w:cs="Georgia" w:eastAsia="Georgia" w:hAnsi="Georgia"/>
                <w:sz w:val="18"/>
                <w:szCs w:val="18"/>
                <w:color w:val="auto"/>
              </w:rPr>
              <w:t>Methods for Genetic Modification of Stem Cells</w:t>
            </w:r>
          </w:p>
        </w:tc>
        <w:tc>
          <w:tcPr>
            <w:tcW w:w="2700" w:type="dxa"/>
            <w:vAlign w:val="bottom"/>
            <w:gridSpan w:val="3"/>
          </w:tcPr>
          <w:p>
            <w:pPr>
              <w:ind w:left="220"/>
              <w:spacing w:after="0"/>
              <w:rPr>
                <w:sz w:val="20"/>
                <w:szCs w:val="20"/>
                <w:color w:val="auto"/>
              </w:rPr>
            </w:pPr>
            <w:r>
              <w:rPr>
                <w:rFonts w:ascii="Georgia" w:cs="Georgia" w:eastAsia="Georgia" w:hAnsi="Georgia"/>
                <w:sz w:val="18"/>
                <w:szCs w:val="18"/>
                <w:color w:val="auto"/>
              </w:rPr>
              <w:t>USP 10,617,721*</w:t>
            </w:r>
          </w:p>
        </w:tc>
        <w:tc>
          <w:tcPr>
            <w:tcW w:w="1780" w:type="dxa"/>
            <w:vAlign w:val="bottom"/>
          </w:tcPr>
          <w:p>
            <w:pPr>
              <w:spacing w:after="0"/>
              <w:rPr>
                <w:sz w:val="20"/>
                <w:szCs w:val="20"/>
                <w:color w:val="auto"/>
              </w:rPr>
            </w:pPr>
            <w:r>
              <w:rPr>
                <w:rFonts w:ascii="Georgia" w:cs="Georgia" w:eastAsia="Georgia" w:hAnsi="Georgia"/>
                <w:sz w:val="18"/>
                <w:szCs w:val="18"/>
                <w:color w:val="auto"/>
              </w:rPr>
              <w:t>EP 3060670 B1</w:t>
            </w:r>
          </w:p>
        </w:tc>
        <w:tc>
          <w:tcPr>
            <w:tcW w:w="2020" w:type="dxa"/>
            <w:vAlign w:val="bottom"/>
            <w:gridSpan w:val="2"/>
          </w:tcPr>
          <w:p>
            <w:pPr>
              <w:ind w:left="220"/>
              <w:spacing w:after="0"/>
              <w:rPr>
                <w:sz w:val="20"/>
                <w:szCs w:val="20"/>
                <w:color w:val="auto"/>
              </w:rPr>
            </w:pPr>
            <w:r>
              <w:rPr>
                <w:rFonts w:ascii="Georgia" w:cs="Georgia" w:eastAsia="Georgia" w:hAnsi="Georgia"/>
                <w:sz w:val="18"/>
                <w:szCs w:val="18"/>
                <w:color w:val="auto"/>
              </w:rPr>
              <w:t>10/24/2034*</w:t>
            </w: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(method of treatment claims)</w:t>
            </w:r>
          </w:p>
        </w:tc>
        <w:tc>
          <w:tcPr>
            <w:tcW w:w="2700" w:type="dxa"/>
            <w:vAlign w:val="bottom"/>
            <w:gridSpan w:val="3"/>
          </w:tcPr>
          <w:p>
            <w:pPr>
              <w:ind w:left="220"/>
              <w:spacing w:after="0" w:line="202" w:lineRule="exact"/>
              <w:rPr>
                <w:sz w:val="20"/>
                <w:szCs w:val="20"/>
                <w:color w:val="auto"/>
              </w:rPr>
            </w:pPr>
            <w:r>
              <w:rPr>
                <w:rFonts w:ascii="Georgia" w:cs="Georgia" w:eastAsia="Georgia" w:hAnsi="Georgia"/>
                <w:sz w:val="18"/>
                <w:szCs w:val="18"/>
                <w:color w:val="auto"/>
              </w:rPr>
              <w:t>USSN 16/827,708</w:t>
            </w:r>
          </w:p>
        </w:tc>
        <w:tc>
          <w:tcPr>
            <w:tcW w:w="1780" w:type="dxa"/>
            <w:vAlign w:val="bottom"/>
          </w:tcPr>
          <w:p>
            <w:pPr>
              <w:spacing w:after="0" w:line="202" w:lineRule="exact"/>
              <w:rPr>
                <w:sz w:val="20"/>
                <w:szCs w:val="20"/>
                <w:color w:val="auto"/>
              </w:rPr>
            </w:pPr>
            <w:r>
              <w:rPr>
                <w:rFonts w:ascii="Georgia" w:cs="Georgia" w:eastAsia="Georgia" w:hAnsi="Georgia"/>
                <w:sz w:val="18"/>
                <w:szCs w:val="18"/>
                <w:color w:val="auto"/>
              </w:rPr>
              <w:t>EP 19185334</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Georgia" w:cs="Georgia" w:eastAsia="Georgia" w:hAnsi="Georgia"/>
                <w:sz w:val="18"/>
                <w:szCs w:val="18"/>
                <w:color w:val="auto"/>
              </w:rPr>
              <w:t>PCT/IB2014/065594 (WO 2015/059674)</w:t>
            </w:r>
          </w:p>
        </w:tc>
        <w:tc>
          <w:tcPr>
            <w:tcW w:w="2700" w:type="dxa"/>
            <w:vAlign w:val="bottom"/>
            <w:gridSpan w:val="3"/>
          </w:tcPr>
          <w:p>
            <w:pPr>
              <w:ind w:left="220"/>
              <w:spacing w:after="0" w:line="203" w:lineRule="exact"/>
              <w:rPr>
                <w:sz w:val="20"/>
                <w:szCs w:val="20"/>
                <w:color w:val="auto"/>
              </w:rPr>
            </w:pPr>
            <w:r>
              <w:rPr>
                <w:rFonts w:ascii="Georgia" w:cs="Georgia" w:eastAsia="Georgia" w:hAnsi="Georgia"/>
                <w:sz w:val="18"/>
                <w:szCs w:val="18"/>
                <w:color w:val="auto"/>
              </w:rPr>
              <w:t>(pending)</w:t>
            </w:r>
          </w:p>
        </w:tc>
        <w:tc>
          <w:tcPr>
            <w:tcW w:w="1780" w:type="dxa"/>
            <w:vAlign w:val="bottom"/>
          </w:tcPr>
          <w:p>
            <w:pPr>
              <w:spacing w:after="0" w:line="203" w:lineRule="exact"/>
              <w:rPr>
                <w:sz w:val="20"/>
                <w:szCs w:val="20"/>
                <w:color w:val="auto"/>
              </w:rPr>
            </w:pPr>
            <w:r>
              <w:rPr>
                <w:rFonts w:ascii="Georgia" w:cs="Georgia" w:eastAsia="Georgia" w:hAnsi="Georgia"/>
                <w:sz w:val="18"/>
                <w:szCs w:val="18"/>
                <w:color w:val="auto"/>
              </w:rPr>
              <w:t>(pending)</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4"/>
        </w:trPr>
        <w:tc>
          <w:tcPr>
            <w:tcW w:w="4740" w:type="dxa"/>
            <w:vAlign w:val="bottom"/>
          </w:tcPr>
          <w:p>
            <w:pPr>
              <w:spacing w:after="0"/>
              <w:rPr>
                <w:sz w:val="20"/>
                <w:szCs w:val="20"/>
                <w:color w:val="auto"/>
              </w:rPr>
            </w:pPr>
            <w:r>
              <w:rPr>
                <w:rFonts w:ascii="Georgia" w:cs="Georgia" w:eastAsia="Georgia" w:hAnsi="Georgia"/>
                <w:sz w:val="18"/>
                <w:szCs w:val="18"/>
                <w:color w:val="auto"/>
              </w:rPr>
              <w:t>Vector Production</w:t>
            </w:r>
          </w:p>
        </w:tc>
        <w:tc>
          <w:tcPr>
            <w:tcW w:w="2700" w:type="dxa"/>
            <w:vAlign w:val="bottom"/>
            <w:gridSpan w:val="3"/>
          </w:tcPr>
          <w:p>
            <w:pPr>
              <w:ind w:left="220"/>
              <w:spacing w:after="0"/>
              <w:rPr>
                <w:sz w:val="20"/>
                <w:szCs w:val="20"/>
                <w:color w:val="auto"/>
              </w:rPr>
            </w:pPr>
            <w:r>
              <w:rPr>
                <w:rFonts w:ascii="Georgia" w:cs="Georgia" w:eastAsia="Georgia" w:hAnsi="Georgia"/>
                <w:sz w:val="18"/>
                <w:szCs w:val="18"/>
                <w:color w:val="auto"/>
              </w:rPr>
              <w:t>USP 10,912,824</w:t>
            </w:r>
          </w:p>
        </w:tc>
        <w:tc>
          <w:tcPr>
            <w:tcW w:w="1780" w:type="dxa"/>
            <w:vAlign w:val="bottom"/>
          </w:tcPr>
          <w:p>
            <w:pPr>
              <w:spacing w:after="0"/>
              <w:rPr>
                <w:sz w:val="20"/>
                <w:szCs w:val="20"/>
                <w:color w:val="auto"/>
              </w:rPr>
            </w:pPr>
            <w:r>
              <w:rPr>
                <w:rFonts w:ascii="Georgia" w:cs="Georgia" w:eastAsia="Georgia" w:hAnsi="Georgia"/>
                <w:sz w:val="18"/>
                <w:szCs w:val="18"/>
                <w:color w:val="auto"/>
              </w:rPr>
              <w:t>EP 3169788</w:t>
            </w:r>
          </w:p>
        </w:tc>
        <w:tc>
          <w:tcPr>
            <w:tcW w:w="2020" w:type="dxa"/>
            <w:vAlign w:val="bottom"/>
            <w:gridSpan w:val="2"/>
          </w:tcPr>
          <w:p>
            <w:pPr>
              <w:ind w:left="220"/>
              <w:spacing w:after="0"/>
              <w:rPr>
                <w:sz w:val="20"/>
                <w:szCs w:val="20"/>
                <w:color w:val="auto"/>
              </w:rPr>
            </w:pPr>
            <w:r>
              <w:rPr>
                <w:rFonts w:ascii="Georgia" w:cs="Georgia" w:eastAsia="Georgia" w:hAnsi="Georgia"/>
                <w:sz w:val="18"/>
                <w:szCs w:val="18"/>
                <w:color w:val="auto"/>
              </w:rPr>
              <w:t>7/13/2035</w:t>
            </w: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(composition and method of treatment claims)</w:t>
            </w:r>
          </w:p>
        </w:tc>
        <w:tc>
          <w:tcPr>
            <w:tcW w:w="2480" w:type="dxa"/>
            <w:vAlign w:val="bottom"/>
            <w:gridSpan w:val="2"/>
          </w:tcPr>
          <w:p>
            <w:pPr>
              <w:ind w:left="220"/>
              <w:spacing w:after="0" w:line="202" w:lineRule="exact"/>
              <w:rPr>
                <w:sz w:val="20"/>
                <w:szCs w:val="20"/>
                <w:color w:val="auto"/>
              </w:rPr>
            </w:pPr>
            <w:r>
              <w:rPr>
                <w:rFonts w:ascii="Georgia" w:cs="Georgia" w:eastAsia="Georgia" w:hAnsi="Georgia"/>
                <w:sz w:val="18"/>
                <w:szCs w:val="18"/>
                <w:color w:val="auto"/>
              </w:rPr>
              <w:t>17/143,953</w:t>
            </w:r>
          </w:p>
        </w:tc>
        <w:tc>
          <w:tcPr>
            <w:tcW w:w="2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Georgia" w:cs="Georgia" w:eastAsia="Georgia" w:hAnsi="Georgia"/>
                <w:sz w:val="18"/>
                <w:szCs w:val="18"/>
                <w:color w:val="auto"/>
              </w:rPr>
              <w:t>(pending)</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Georgia" w:cs="Georgia" w:eastAsia="Georgia" w:hAnsi="Georgia"/>
                <w:sz w:val="18"/>
                <w:szCs w:val="18"/>
                <w:color w:val="auto"/>
              </w:rPr>
              <w:t>PCT/IB2015/055286 (WO 2016/009326)</w:t>
            </w:r>
          </w:p>
        </w:tc>
        <w:tc>
          <w:tcPr>
            <w:tcW w:w="2700" w:type="dxa"/>
            <w:vAlign w:val="bottom"/>
            <w:gridSpan w:val="3"/>
          </w:tcPr>
          <w:p>
            <w:pPr>
              <w:ind w:left="220"/>
              <w:spacing w:after="0" w:line="203" w:lineRule="exact"/>
              <w:rPr>
                <w:sz w:val="20"/>
                <w:szCs w:val="20"/>
                <w:color w:val="auto"/>
              </w:rPr>
            </w:pPr>
            <w:r>
              <w:rPr>
                <w:rFonts w:ascii="Georgia" w:cs="Georgia" w:eastAsia="Georgia" w:hAnsi="Georgia"/>
                <w:sz w:val="18"/>
                <w:szCs w:val="18"/>
                <w:color w:val="auto"/>
              </w:rPr>
              <w:t>(pending)</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4"/>
        </w:trPr>
        <w:tc>
          <w:tcPr>
            <w:tcW w:w="4740" w:type="dxa"/>
            <w:vAlign w:val="bottom"/>
          </w:tcPr>
          <w:p>
            <w:pPr>
              <w:spacing w:after="0"/>
              <w:rPr>
                <w:sz w:val="20"/>
                <w:szCs w:val="20"/>
                <w:color w:val="auto"/>
              </w:rPr>
            </w:pPr>
            <w:r>
              <w:rPr>
                <w:rFonts w:ascii="Georgia" w:cs="Georgia" w:eastAsia="Georgia" w:hAnsi="Georgia"/>
                <w:sz w:val="18"/>
                <w:szCs w:val="18"/>
                <w:color w:val="auto"/>
              </w:rPr>
              <w:t>Type 1 Interferon Gene Therapy</w:t>
            </w:r>
          </w:p>
        </w:tc>
        <w:tc>
          <w:tcPr>
            <w:tcW w:w="2700" w:type="dxa"/>
            <w:vAlign w:val="bottom"/>
            <w:gridSpan w:val="3"/>
          </w:tcPr>
          <w:p>
            <w:pPr>
              <w:ind w:left="220"/>
              <w:spacing w:after="0"/>
              <w:rPr>
                <w:sz w:val="20"/>
                <w:szCs w:val="20"/>
                <w:color w:val="auto"/>
              </w:rPr>
            </w:pPr>
            <w:r>
              <w:rPr>
                <w:rFonts w:ascii="Georgia" w:cs="Georgia" w:eastAsia="Georgia" w:hAnsi="Georgia"/>
                <w:sz w:val="18"/>
                <w:szCs w:val="18"/>
                <w:color w:val="auto"/>
              </w:rPr>
              <w:t>USSN 16/604,484</w:t>
            </w:r>
          </w:p>
        </w:tc>
        <w:tc>
          <w:tcPr>
            <w:tcW w:w="1780" w:type="dxa"/>
            <w:vAlign w:val="bottom"/>
          </w:tcPr>
          <w:p>
            <w:pPr>
              <w:spacing w:after="0"/>
              <w:rPr>
                <w:sz w:val="20"/>
                <w:szCs w:val="20"/>
                <w:color w:val="auto"/>
              </w:rPr>
            </w:pPr>
            <w:r>
              <w:rPr>
                <w:rFonts w:ascii="Georgia" w:cs="Georgia" w:eastAsia="Georgia" w:hAnsi="Georgia"/>
                <w:sz w:val="18"/>
                <w:szCs w:val="18"/>
                <w:color w:val="auto"/>
              </w:rPr>
              <w:t>EP 18724470.2</w:t>
            </w:r>
          </w:p>
        </w:tc>
        <w:tc>
          <w:tcPr>
            <w:tcW w:w="2020" w:type="dxa"/>
            <w:vAlign w:val="bottom"/>
            <w:gridSpan w:val="2"/>
          </w:tcPr>
          <w:p>
            <w:pPr>
              <w:ind w:left="220"/>
              <w:spacing w:after="0"/>
              <w:rPr>
                <w:sz w:val="20"/>
                <w:szCs w:val="20"/>
                <w:color w:val="auto"/>
              </w:rPr>
            </w:pPr>
            <w:r>
              <w:rPr>
                <w:rFonts w:ascii="Georgia" w:cs="Georgia" w:eastAsia="Georgia" w:hAnsi="Georgia"/>
                <w:sz w:val="18"/>
                <w:szCs w:val="18"/>
                <w:color w:val="auto"/>
              </w:rPr>
              <w:t>4/20/2038**</w:t>
            </w: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(method of treatment claims)</w:t>
            </w:r>
          </w:p>
        </w:tc>
        <w:tc>
          <w:tcPr>
            <w:tcW w:w="2700" w:type="dxa"/>
            <w:vAlign w:val="bottom"/>
            <w:gridSpan w:val="3"/>
          </w:tcPr>
          <w:p>
            <w:pPr>
              <w:ind w:left="220"/>
              <w:spacing w:after="0" w:line="202" w:lineRule="exact"/>
              <w:rPr>
                <w:sz w:val="20"/>
                <w:szCs w:val="20"/>
                <w:color w:val="auto"/>
              </w:rPr>
            </w:pPr>
            <w:r>
              <w:rPr>
                <w:rFonts w:ascii="Georgia" w:cs="Georgia" w:eastAsia="Georgia" w:hAnsi="Georgia"/>
                <w:sz w:val="18"/>
                <w:szCs w:val="18"/>
                <w:color w:val="auto"/>
              </w:rPr>
              <w:t>(pending)</w:t>
            </w:r>
          </w:p>
        </w:tc>
        <w:tc>
          <w:tcPr>
            <w:tcW w:w="1780" w:type="dxa"/>
            <w:vAlign w:val="bottom"/>
          </w:tcPr>
          <w:p>
            <w:pPr>
              <w:spacing w:after="0" w:line="202" w:lineRule="exact"/>
              <w:rPr>
                <w:sz w:val="20"/>
                <w:szCs w:val="20"/>
                <w:color w:val="auto"/>
              </w:rPr>
            </w:pPr>
            <w:r>
              <w:rPr>
                <w:rFonts w:ascii="Georgia" w:cs="Georgia" w:eastAsia="Georgia" w:hAnsi="Georgia"/>
                <w:sz w:val="18"/>
                <w:szCs w:val="18"/>
                <w:color w:val="auto"/>
              </w:rPr>
              <w:t>(pending)</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Georgia" w:cs="Georgia" w:eastAsia="Georgia" w:hAnsi="Georgia"/>
                <w:sz w:val="18"/>
                <w:szCs w:val="18"/>
                <w:color w:val="auto"/>
              </w:rPr>
              <w:t>PCT/EP2018/060238 (WO 2018/193119)</w:t>
            </w: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2" w:lineRule="exact"/>
        <w:rPr>
          <w:sz w:val="20"/>
          <w:szCs w:val="20"/>
          <w:color w:val="auto"/>
        </w:rPr>
      </w:pPr>
    </w:p>
    <w:p>
      <w:pPr>
        <w:ind w:right="3440" w:firstLine="8"/>
        <w:spacing w:after="0" w:line="473" w:lineRule="auto"/>
        <w:tabs>
          <w:tab w:leader="none" w:pos="128" w:val="left"/>
        </w:tabs>
        <w:numPr>
          <w:ilvl w:val="0"/>
          <w:numId w:val="75"/>
        </w:numPr>
        <w:rPr>
          <w:rFonts w:ascii="Georgia" w:cs="Georgia" w:eastAsia="Georgia" w:hAnsi="Georgia"/>
          <w:sz w:val="18"/>
          <w:szCs w:val="18"/>
          <w:color w:val="auto"/>
        </w:rPr>
      </w:pPr>
      <w:r>
        <w:rPr>
          <w:rFonts w:ascii="Georgia" w:cs="Georgia" w:eastAsia="Georgia" w:hAnsi="Georgia"/>
          <w:sz w:val="18"/>
          <w:szCs w:val="18"/>
          <w:color w:val="auto"/>
        </w:rPr>
        <w:t>Later expiration for certain U.S. patents pursuant to patent term adjustment (35 U.S.C. §154(b)). ** Application pending, anticipated expiration based on 20-year patent term.</w:t>
      </w:r>
    </w:p>
    <w:p>
      <w:pPr>
        <w:spacing w:after="0" w:line="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ind w:right="100"/>
        <w:spacing w:after="0" w:line="237" w:lineRule="auto"/>
        <w:rPr>
          <w:sz w:val="20"/>
          <w:szCs w:val="20"/>
          <w:color w:val="auto"/>
        </w:rPr>
      </w:pPr>
      <w:r>
        <w:rPr>
          <w:rFonts w:ascii="Georgia" w:cs="Georgia" w:eastAsia="Georgia" w:hAnsi="Georgia"/>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05"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Collaboration / Licensing</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License Agreement with Ospedale San Raffaele</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 (a) 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07"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06"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04" w:name="page105"/>
    <w:bookmarkEnd w:id="104"/>
    <w:p>
      <w:pPr>
        <w:spacing w:after="0" w:line="237" w:lineRule="auto"/>
        <w:rPr>
          <w:sz w:val="20"/>
          <w:szCs w:val="20"/>
          <w:color w:val="auto"/>
        </w:rPr>
      </w:pPr>
      <w:r>
        <w:rPr>
          <w:rFonts w:ascii="Georgia" w:cs="Georgia" w:eastAsia="Georgia" w:hAnsi="Georgia"/>
          <w:sz w:val="18"/>
          <w:szCs w:val="18"/>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Georgia" w:cs="Georgia" w:eastAsia="Georgia" w:hAnsi="Georgia"/>
          <w:sz w:val="18"/>
          <w:szCs w:val="18"/>
          <w:i w:val="1"/>
          <w:iCs w:val="1"/>
          <w:color w:val="auto"/>
        </w:rPr>
        <w:t>pro rata</w:t>
      </w:r>
      <w:r>
        <w:rPr>
          <w:rFonts w:ascii="Georgia" w:cs="Georgia" w:eastAsia="Georgia" w:hAnsi="Georgia"/>
          <w:sz w:val="18"/>
          <w:szCs w:val="18"/>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 In addition, OSR may terminate our rights as to certain fields of use for our failure to develop (a) with respect to a solid cancer indication, upon third anniversary of the date we exercised such option, and as amended by the fifth amendment below, we are obligated to initiate (first patient dosed) a Phase III clinical Trial in the U.S. regarding Temferon for GBM prior to 72 months from CTA dosing (or by July 8, 2025)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210"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2022, to exercise this option, upon the payment of specified option fees, as further amended by the third amendment to the OSR License Agreement described below.</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 This date has been extended to September 30, 2022, pursuant to the fourth amendment to the OSR License Agreement described below.</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 In addition, the OSR agreement was amended to extend the exclusive option as to Alternative Payload/Competing Product to September 30, 2022, as noted above.</w:t>
      </w:r>
    </w:p>
    <w:p>
      <w:pPr>
        <w:spacing w:after="0" w:line="211" w:lineRule="exact"/>
        <w:rPr>
          <w:sz w:val="20"/>
          <w:szCs w:val="20"/>
          <w:color w:val="auto"/>
        </w:rPr>
      </w:pPr>
    </w:p>
    <w:p>
      <w:pPr>
        <w:ind w:right="240"/>
        <w:spacing w:after="0" w:line="237" w:lineRule="auto"/>
        <w:rPr>
          <w:sz w:val="20"/>
          <w:szCs w:val="20"/>
          <w:color w:val="auto"/>
        </w:rPr>
      </w:pPr>
      <w:r>
        <w:rPr>
          <w:rFonts w:ascii="Georgia" w:cs="Georgia" w:eastAsia="Georgia" w:hAnsi="Georgia"/>
          <w:sz w:val="18"/>
          <w:szCs w:val="18"/>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under the SRA was €0.5 million.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105" w:name="page106"/>
    <w:bookmarkEnd w:id="105"/>
    <w:p>
      <w:pPr>
        <w:ind w:right="140"/>
        <w:spacing w:after="0" w:line="237" w:lineRule="auto"/>
        <w:rPr>
          <w:sz w:val="20"/>
          <w:szCs w:val="20"/>
          <w:color w:val="auto"/>
        </w:rPr>
      </w:pPr>
      <w:r>
        <w:rPr>
          <w:rFonts w:ascii="Georgia" w:cs="Georgia" w:eastAsia="Georgia" w:hAnsi="Georgia"/>
          <w:sz w:val="18"/>
          <w:szCs w:val="18"/>
          <w:color w:val="auto"/>
        </w:rPr>
        <w:t>In September 2021, the OSR License Agreement was amended to extend the exclusive option. Specifically, if Genenta is not able to obtain approval of the Regulatory Authorities to initiate a human clinical trial in any country with respect to solid liver cancer on or before September 30, 2022, then Genenta has the right, at no additional cost, to convert the option exercise for the second Solid Cancer Indication to an indication other than solid liver cancer. We now have until September 30, 2022 to exercise this option.</w:t>
      </w:r>
    </w:p>
    <w:p>
      <w:pPr>
        <w:spacing w:after="0" w:line="20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In January 2022, we entered into a fifth amendment to the OSR License Agreement, whereby we changed the definition of “IND” relating only to the GBM indication to include any comparable filing(s) outside the United States for the investigation of any product in any other country or group of countries (such as a CTA in the European Union). We also committed to carry out a Phase III Clinical Trial in the U.S. regarding Licensed Products for GBM. With respect to GBM, we agreed to pay OSR an additional Milestone Payment of €350,000 upon the dosing of the first patient in a Phase III Clinical Trial in the US with respect to a Licensed Product for GBM. Termination rights were also amended in that, OSR may terminate the agreement if the Company has not filed an IND with respect to a Solid Cancer Indication within three (3) years from the date of the exercise of the option for such indication (or, in relation to GBM, has not dosed the first patient with a Licensed Product for GBM in a Phase III Clinical Trial in the U.S. within 72 months from the first patient being dosed, or July 8, 2025, in the first clinical trial for such Licensed Product. The termination rights shall be limited to such Licensed Product in the Terminated Solid Cancer Indication.</w:t>
      </w:r>
    </w:p>
    <w:p>
      <w:pPr>
        <w:spacing w:after="0" w:line="206"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Know-How License Agreement with Fondazione Telethon</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Legal Proceedings</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6" w:lineRule="exact"/>
        <w:rPr>
          <w:sz w:val="20"/>
          <w:szCs w:val="20"/>
          <w:color w:val="auto"/>
        </w:rPr>
      </w:pPr>
    </w:p>
    <w:p>
      <w:pPr>
        <w:ind w:right="640"/>
        <w:spacing w:after="0" w:line="237" w:lineRule="auto"/>
        <w:rPr>
          <w:sz w:val="20"/>
          <w:szCs w:val="20"/>
          <w:color w:val="auto"/>
        </w:rPr>
      </w:pPr>
      <w:r>
        <w:rPr>
          <w:rFonts w:ascii="Georgia" w:cs="Georgia" w:eastAsia="Georgia" w:hAnsi="Georgia"/>
          <w:sz w:val="18"/>
          <w:szCs w:val="18"/>
          <w:color w:val="auto"/>
        </w:rPr>
        <w:t>To date, Genenta has not engaged in any such discussions with Theravectys nor has Genenta received any further claim/request from Theravectys in relation to the above.</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 Plants, Property and Equipment</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Our corporate headquarters is located in Milan, Via Olgettina 58 within OSR - San Raffaele Hospital, Italy, where we lease approximately 51</w:t>
      </w:r>
    </w:p>
    <w:p>
      <w:pPr>
        <w:spacing w:after="0" w:line="200" w:lineRule="auto"/>
        <w:rPr>
          <w:sz w:val="20"/>
          <w:szCs w:val="20"/>
          <w:color w:val="auto"/>
        </w:rPr>
      </w:pPr>
      <w:r>
        <w:rPr>
          <w:rFonts w:ascii="Georgia" w:cs="Georgia" w:eastAsia="Georgia" w:hAnsi="Georgia"/>
          <w:sz w:val="18"/>
          <w:szCs w:val="18"/>
          <w:color w:val="auto"/>
        </w:rPr>
        <w:t>square meters of office space (3 offices). The lease commenced in January 2020 and has a 6-year initial term. It will expire on December 1</w:t>
      </w:r>
      <w:r>
        <w:rPr>
          <w:rFonts w:ascii="Georgia" w:cs="Georgia" w:eastAsia="Georgia" w:hAnsi="Georgia"/>
          <w:sz w:val="29"/>
          <w:szCs w:val="29"/>
          <w:color w:val="auto"/>
          <w:vertAlign w:val="superscript"/>
        </w:rPr>
        <w:t>st</w:t>
      </w:r>
      <w:r>
        <w:rPr>
          <w:rFonts w:ascii="Georgia" w:cs="Georgia" w:eastAsia="Georgia" w:hAnsi="Georgia"/>
          <w:sz w:val="18"/>
          <w:szCs w:val="18"/>
          <w:color w:val="auto"/>
        </w:rPr>
        <w:t>, 2025, and may be renewed for an additional 6 years. We also have an office in a co-working space located in Alexandria Center - LaunchLabs,</w:t>
      </w:r>
    </w:p>
    <w:p>
      <w:pPr>
        <w:ind w:right="80"/>
        <w:spacing w:after="0" w:line="200" w:lineRule="auto"/>
        <w:rPr>
          <w:sz w:val="20"/>
          <w:szCs w:val="20"/>
          <w:color w:val="auto"/>
        </w:rPr>
      </w:pPr>
      <w:r>
        <w:rPr>
          <w:rFonts w:ascii="Georgia" w:cs="Georgia" w:eastAsia="Georgia" w:hAnsi="Georgia"/>
          <w:sz w:val="18"/>
          <w:szCs w:val="18"/>
          <w:color w:val="auto"/>
        </w:rPr>
        <w:t>430 East 29</w:t>
      </w:r>
      <w:r>
        <w:rPr>
          <w:rFonts w:ascii="Georgia" w:cs="Georgia" w:eastAsia="Georgia" w:hAnsi="Georgia"/>
          <w:sz w:val="29"/>
          <w:szCs w:val="29"/>
          <w:color w:val="auto"/>
          <w:vertAlign w:val="superscript"/>
        </w:rPr>
        <w:t>th</w:t>
      </w:r>
      <w:r>
        <w:rPr>
          <w:rFonts w:ascii="Georgia" w:cs="Georgia" w:eastAsia="Georgia" w:hAnsi="Georgia"/>
          <w:sz w:val="18"/>
          <w:szCs w:val="18"/>
          <w:color w:val="auto"/>
        </w:rPr>
        <w:t xml:space="preserve"> Street, New York, NY. We believe that our existing facilities are adequate for our near-term needs, and we believe that suitable additional or alternative office will be available as required in the future on commercially reasonable terms.</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4A. UNRESOLVED STAFF COMMENTS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None.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106" w:name="page107"/>
    <w:bookmarkEnd w:id="106"/>
    <w:p>
      <w:pPr>
        <w:spacing w:after="0"/>
        <w:rPr>
          <w:sz w:val="20"/>
          <w:szCs w:val="20"/>
          <w:color w:val="auto"/>
        </w:rPr>
      </w:pPr>
      <w:r>
        <w:rPr>
          <w:rFonts w:ascii="Georgia" w:cs="Georgia" w:eastAsia="Georgia" w:hAnsi="Georgia"/>
          <w:sz w:val="18"/>
          <w:szCs w:val="18"/>
          <w:b w:val="1"/>
          <w:bCs w:val="1"/>
          <w:color w:val="auto"/>
        </w:rPr>
        <w:t>ITEM 5. OPERATING AND FINANCIAL REVIEW AND PROSPECTS</w:t>
      </w:r>
    </w:p>
    <w:p>
      <w:pPr>
        <w:spacing w:after="0" w:line="202"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i w:val="1"/>
          <w:iCs w:val="1"/>
          <w:color w:val="auto"/>
        </w:rPr>
        <w:t>You should read the following discussion and analysis of our financial condition and results of operations in conjunction with our consolidated financial statements and related notes included in this Annual Report beginning on page F-1. The following discussion and analysis contain forward- 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Overview</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Georgia" w:cs="Georgia" w:eastAsia="Georgia" w:hAnsi="Georgia"/>
          <w:sz w:val="18"/>
          <w:szCs w:val="18"/>
          <w:i w:val="1"/>
          <w:iCs w:val="1"/>
          <w:color w:val="auto"/>
        </w:rPr>
        <w:t>ex-vivo</w:t>
      </w:r>
      <w:r>
        <w:rPr>
          <w:rFonts w:ascii="Georgia" w:cs="Georgia" w:eastAsia="Georgia" w:hAnsi="Georgia"/>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206"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2021, aggregated gross cash proceeds of approximately €67 million.</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years ended December 31, 2021, 2020, and 2019 were approximately €5.5 million, €5.6 million and €4.6 million, respectively. At December 31, 2021, we had an accumulated deficit of approximately €27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207"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206"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208"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205"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As of December 31, 2021, we had cash and cash equivalents of approximately €37 million. We believe that our existing cash and cash equivalents as of December 31, 2021, will enable us to fund our operating expenses and capital expenditure requirements for substantially more than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COVID-19 Update</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As of the date of this filing, the global healthcare community continues to respond to the COVID-19 pandemic, including the recent emergence of the “delta variant,” the “deltacron variant,” the “omicron XE variant,” and others.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In the future,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04" w:gutter="0" w:footer="0" w:header="0"/>
        </w:sectPr>
      </w:pPr>
    </w:p>
    <w:bookmarkStart w:id="107" w:name="page108"/>
    <w:bookmarkEnd w:id="107"/>
    <w:p>
      <w:pPr>
        <w:spacing w:after="0"/>
        <w:rPr>
          <w:sz w:val="20"/>
          <w:szCs w:val="20"/>
          <w:color w:val="auto"/>
        </w:rPr>
      </w:pPr>
      <w:r>
        <w:rPr>
          <w:rFonts w:ascii="Georgia" w:cs="Georgia" w:eastAsia="Georgia" w:hAnsi="Georgia"/>
          <w:sz w:val="18"/>
          <w:szCs w:val="18"/>
          <w:b w:val="1"/>
          <w:bCs w:val="1"/>
          <w:color w:val="auto"/>
        </w:rPr>
        <w:t>Components of Operating Results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Revenue</w:t>
      </w:r>
    </w:p>
    <w:p>
      <w:pPr>
        <w:spacing w:after="0" w:line="202"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Our current operating expenses consist of two components – research and development expenses, and general and administrative expenses.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Research and Development Expenses</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expense research and development costs as incurred. These expenses consist of costs incurred in connection with the development of our product candidates, including:</w:t>
      </w:r>
    </w:p>
    <w:p>
      <w:pPr>
        <w:spacing w:after="0" w:line="202" w:lineRule="exact"/>
        <w:rPr>
          <w:sz w:val="20"/>
          <w:szCs w:val="20"/>
          <w:color w:val="auto"/>
        </w:rPr>
      </w:pPr>
    </w:p>
    <w:p>
      <w:pPr>
        <w:ind w:left="660" w:hanging="328"/>
        <w:spacing w:after="0"/>
        <w:tabs>
          <w:tab w:leader="none" w:pos="660" w:val="left"/>
        </w:tabs>
        <w:numPr>
          <w:ilvl w:val="0"/>
          <w:numId w:val="76"/>
        </w:numPr>
        <w:rPr>
          <w:rFonts w:ascii="Georgia" w:cs="Georgia" w:eastAsia="Georgia" w:hAnsi="Georgia"/>
          <w:sz w:val="18"/>
          <w:szCs w:val="18"/>
          <w:color w:val="auto"/>
        </w:rPr>
      </w:pPr>
      <w:r>
        <w:rPr>
          <w:rFonts w:ascii="Georgia" w:cs="Georgia" w:eastAsia="Georgia" w:hAnsi="Georgia"/>
          <w:sz w:val="18"/>
          <w:szCs w:val="18"/>
          <w:color w:val="auto"/>
        </w:rPr>
        <w:t>license fees and milestone payments incurred in connection with our license agreements;</w:t>
      </w:r>
    </w:p>
    <w:p>
      <w:pPr>
        <w:spacing w:after="0" w:line="201" w:lineRule="exact"/>
        <w:rPr>
          <w:rFonts w:ascii="Georgia" w:cs="Georgia" w:eastAsia="Georgia" w:hAnsi="Georgia"/>
          <w:sz w:val="18"/>
          <w:szCs w:val="18"/>
          <w:color w:val="auto"/>
        </w:rPr>
      </w:pPr>
    </w:p>
    <w:p>
      <w:pPr>
        <w:ind w:left="660" w:right="20" w:hanging="328"/>
        <w:spacing w:after="0" w:line="237" w:lineRule="auto"/>
        <w:tabs>
          <w:tab w:leader="none" w:pos="660" w:val="left"/>
        </w:tabs>
        <w:numPr>
          <w:ilvl w:val="0"/>
          <w:numId w:val="76"/>
        </w:numPr>
        <w:rPr>
          <w:rFonts w:ascii="Georgia" w:cs="Georgia" w:eastAsia="Georgia" w:hAnsi="Georgia"/>
          <w:sz w:val="18"/>
          <w:szCs w:val="18"/>
          <w:color w:val="auto"/>
        </w:rPr>
      </w:pPr>
      <w:r>
        <w:rPr>
          <w:rFonts w:ascii="Georgia" w:cs="Georgia" w:eastAsia="Georgia" w:hAnsi="Georgia"/>
          <w:sz w:val="18"/>
          <w:szCs w:val="18"/>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04" w:lineRule="exact"/>
        <w:rPr>
          <w:rFonts w:ascii="Georgia" w:cs="Georgia" w:eastAsia="Georgia" w:hAnsi="Georgia"/>
          <w:sz w:val="18"/>
          <w:szCs w:val="18"/>
          <w:color w:val="auto"/>
        </w:rPr>
      </w:pPr>
    </w:p>
    <w:p>
      <w:pPr>
        <w:ind w:left="660" w:right="180" w:hanging="328"/>
        <w:spacing w:after="0" w:line="237" w:lineRule="auto"/>
        <w:tabs>
          <w:tab w:leader="none" w:pos="660" w:val="left"/>
        </w:tabs>
        <w:numPr>
          <w:ilvl w:val="0"/>
          <w:numId w:val="76"/>
        </w:numPr>
        <w:rPr>
          <w:rFonts w:ascii="Georgia" w:cs="Georgia" w:eastAsia="Georgia" w:hAnsi="Georgia"/>
          <w:sz w:val="18"/>
          <w:szCs w:val="18"/>
          <w:color w:val="auto"/>
        </w:rPr>
      </w:pPr>
      <w:r>
        <w:rPr>
          <w:rFonts w:ascii="Georgia" w:cs="Georgia" w:eastAsia="Georgia" w:hAnsi="Georgia"/>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203" w:lineRule="exact"/>
        <w:rPr>
          <w:rFonts w:ascii="Georgia" w:cs="Georgia" w:eastAsia="Georgia" w:hAnsi="Georgia"/>
          <w:sz w:val="18"/>
          <w:szCs w:val="18"/>
          <w:color w:val="auto"/>
        </w:rPr>
      </w:pPr>
    </w:p>
    <w:p>
      <w:pPr>
        <w:ind w:left="660" w:right="60" w:hanging="328"/>
        <w:spacing w:after="0" w:line="237" w:lineRule="auto"/>
        <w:tabs>
          <w:tab w:leader="none" w:pos="660" w:val="left"/>
        </w:tabs>
        <w:numPr>
          <w:ilvl w:val="0"/>
          <w:numId w:val="76"/>
        </w:numPr>
        <w:rPr>
          <w:rFonts w:ascii="Georgia" w:cs="Georgia" w:eastAsia="Georgia" w:hAnsi="Georgia"/>
          <w:sz w:val="18"/>
          <w:szCs w:val="18"/>
          <w:color w:val="auto"/>
        </w:rPr>
      </w:pPr>
      <w:r>
        <w:rPr>
          <w:rFonts w:ascii="Georgia" w:cs="Georgia" w:eastAsia="Georgia" w:hAnsi="Georgia"/>
          <w:sz w:val="18"/>
          <w:szCs w:val="18"/>
          <w:color w:val="auto"/>
        </w:rPr>
        <w:t>employee-related expenses, including salaries, social security charges, related benefits, severance indemnity in case of termination of employees’ relationships, travel and share-based compensation expense for employees engaged in research and development functions and consulting fees;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76"/>
        </w:numPr>
        <w:rPr>
          <w:rFonts w:ascii="Georgia" w:cs="Georgia" w:eastAsia="Georgia" w:hAnsi="Georgia"/>
          <w:sz w:val="18"/>
          <w:szCs w:val="18"/>
          <w:color w:val="auto"/>
        </w:rPr>
      </w:pPr>
      <w:r>
        <w:rPr>
          <w:rFonts w:ascii="Georgia" w:cs="Georgia" w:eastAsia="Georgia" w:hAnsi="Georgia"/>
          <w:sz w:val="18"/>
          <w:szCs w:val="18"/>
          <w:color w:val="auto"/>
        </w:rPr>
        <w:t>costs related to compliance with regulatory requirements;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76"/>
        </w:numPr>
        <w:rPr>
          <w:rFonts w:ascii="Georgia" w:cs="Georgia" w:eastAsia="Georgia" w:hAnsi="Georgia"/>
          <w:sz w:val="18"/>
          <w:szCs w:val="18"/>
          <w:color w:val="auto"/>
        </w:rPr>
      </w:pPr>
      <w:r>
        <w:rPr>
          <w:rFonts w:ascii="Georgia" w:cs="Georgia" w:eastAsia="Georgia" w:hAnsi="Georgia"/>
          <w:sz w:val="18"/>
          <w:szCs w:val="18"/>
          <w:color w:val="auto"/>
        </w:rPr>
        <w:t>facilities costs, depreciation and other expenses, which include rent and utilities.</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jc w:val="center"/>
              <w:ind w:left="730"/>
              <w:spacing w:after="0"/>
              <w:rPr>
                <w:sz w:val="20"/>
                <w:szCs w:val="20"/>
                <w:color w:val="auto"/>
              </w:rPr>
            </w:pPr>
            <w:r>
              <w:rPr>
                <w:rFonts w:ascii="Georgia" w:cs="Georgia" w:eastAsia="Georgia" w:hAnsi="Georgia"/>
                <w:sz w:val="18"/>
                <w:szCs w:val="18"/>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0"/>
              <w:spacing w:after="0"/>
              <w:rPr>
                <w:sz w:val="20"/>
                <w:szCs w:val="20"/>
                <w:color w:val="auto"/>
              </w:rPr>
            </w:pPr>
            <w:r>
              <w:rPr>
                <w:rFonts w:ascii="Georgia" w:cs="Georgia" w:eastAsia="Georgia" w:hAnsi="Georgia"/>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Georgia" w:cs="Georgia" w:eastAsia="Georgia" w:hAnsi="Georgia"/>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40"/>
              <w:spacing w:after="0" w:line="202" w:lineRule="exact"/>
              <w:rPr>
                <w:sz w:val="20"/>
                <w:szCs w:val="20"/>
                <w:color w:val="auto"/>
              </w:rPr>
            </w:pPr>
            <w:r>
              <w:rPr>
                <w:rFonts w:ascii="Georgia" w:cs="Georgia" w:eastAsia="Georgia" w:hAnsi="Georgia"/>
                <w:sz w:val="18"/>
                <w:szCs w:val="18"/>
                <w:color w:val="auto"/>
              </w:rPr>
              <w:t>(in Euros)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Direct research and development expenses by program:</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Georgia" w:cs="Georgia" w:eastAsia="Georgia" w:hAnsi="Georgia"/>
                <w:sz w:val="18"/>
                <w:szCs w:val="18"/>
                <w:color w:val="auto"/>
              </w:rPr>
              <w:t>TEM-GBM</w:t>
            </w:r>
          </w:p>
        </w:tc>
        <w:tc>
          <w:tcPr>
            <w:tcW w:w="1200" w:type="dxa"/>
            <w:vAlign w:val="bottom"/>
            <w:gridSpan w:val="2"/>
          </w:tcPr>
          <w:p>
            <w:pPr>
              <w:ind w:left="880"/>
              <w:spacing w:after="0" w:line="202" w:lineRule="exact"/>
              <w:rPr>
                <w:sz w:val="20"/>
                <w:szCs w:val="20"/>
                <w:color w:val="auto"/>
              </w:rPr>
            </w:pPr>
            <w:r>
              <w:rPr>
                <w:rFonts w:ascii="Georgia" w:cs="Georgia" w:eastAsia="Georgia" w:hAnsi="Georgia"/>
                <w:sz w:val="18"/>
                <w:szCs w:val="18"/>
                <w:color w:val="auto"/>
              </w:rPr>
              <w:t>€</w:t>
            </w:r>
          </w:p>
        </w:tc>
        <w:tc>
          <w:tcPr>
            <w:tcW w:w="1340" w:type="dxa"/>
            <w:vAlign w:val="bottom"/>
            <w:gridSpan w:val="2"/>
          </w:tcPr>
          <w:p>
            <w:pPr>
              <w:jc w:val="right"/>
              <w:ind w:right="180"/>
              <w:spacing w:after="0" w:line="202" w:lineRule="exact"/>
              <w:rPr>
                <w:sz w:val="20"/>
                <w:szCs w:val="20"/>
                <w:color w:val="auto"/>
              </w:rPr>
            </w:pPr>
            <w:r>
              <w:rPr>
                <w:rFonts w:ascii="Georgia" w:cs="Georgia" w:eastAsia="Georgia" w:hAnsi="Georgia"/>
                <w:sz w:val="18"/>
                <w:szCs w:val="18"/>
                <w:color w:val="auto"/>
              </w:rPr>
              <w:t>879,005</w:t>
            </w:r>
          </w:p>
        </w:tc>
        <w:tc>
          <w:tcPr>
            <w:tcW w:w="340" w:type="dxa"/>
            <w:vAlign w:val="bottom"/>
            <w:gridSpan w:val="2"/>
          </w:tcPr>
          <w:p>
            <w:pPr>
              <w:ind w:left="160"/>
              <w:spacing w:after="0" w:line="202" w:lineRule="exact"/>
              <w:rPr>
                <w:sz w:val="20"/>
                <w:szCs w:val="20"/>
                <w:color w:val="auto"/>
              </w:rPr>
            </w:pPr>
            <w:r>
              <w:rPr>
                <w:rFonts w:ascii="Georgia" w:cs="Georgia" w:eastAsia="Georgia" w:hAnsi="Georgia"/>
                <w:sz w:val="18"/>
                <w:szCs w:val="18"/>
                <w:color w:val="auto"/>
              </w:rPr>
              <w:t>€</w:t>
            </w:r>
          </w:p>
        </w:tc>
        <w:tc>
          <w:tcPr>
            <w:tcW w:w="138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3,353,369</w:t>
            </w:r>
          </w:p>
        </w:tc>
        <w:tc>
          <w:tcPr>
            <w:tcW w:w="42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line="202" w:lineRule="exact"/>
              <w:rPr>
                <w:sz w:val="20"/>
                <w:szCs w:val="20"/>
                <w:color w:val="auto"/>
              </w:rPr>
            </w:pPr>
            <w:r>
              <w:rPr>
                <w:rFonts w:ascii="Georgia" w:cs="Georgia" w:eastAsia="Georgia" w:hAnsi="Georgia"/>
                <w:sz w:val="18"/>
                <w:szCs w:val="18"/>
                <w:color w:val="auto"/>
              </w:rPr>
              <w:t>1,853,929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TEM-MM</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line="202" w:lineRule="exact"/>
              <w:rPr>
                <w:sz w:val="20"/>
                <w:szCs w:val="20"/>
                <w:color w:val="auto"/>
              </w:rPr>
            </w:pPr>
            <w:r>
              <w:rPr>
                <w:rFonts w:ascii="Georgia" w:cs="Georgia" w:eastAsia="Georgia" w:hAnsi="Georgia"/>
                <w:sz w:val="18"/>
                <w:szCs w:val="18"/>
                <w:color w:val="auto"/>
              </w:rPr>
              <w:t>5,800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190,764</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769,146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line="243" w:lineRule="exact"/>
              <w:rPr>
                <w:sz w:val="20"/>
                <w:szCs w:val="20"/>
                <w:color w:val="auto"/>
              </w:rPr>
            </w:pPr>
            <w:r>
              <w:rPr>
                <w:rFonts w:ascii="Georgia" w:cs="Georgia" w:eastAsia="Georgia" w:hAnsi="Georgia"/>
                <w:sz w:val="17"/>
                <w:szCs w:val="17"/>
                <w:color w:val="auto"/>
              </w:rPr>
              <w:t xml:space="preserve">Option fee – second indication </w:t>
            </w:r>
            <w:r>
              <w:rPr>
                <w:rFonts w:ascii="Georgia" w:cs="Georgia" w:eastAsia="Georgia" w:hAnsi="Georgia"/>
                <w:sz w:val="28"/>
                <w:szCs w:val="28"/>
                <w:color w:val="auto"/>
                <w:vertAlign w:val="superscript"/>
              </w:rPr>
              <w:t>1</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Georgia" w:cs="Georgia" w:eastAsia="Georgia" w:hAnsi="Georgia"/>
                <w:sz w:val="18"/>
                <w:szCs w:val="18"/>
                <w:color w:val="auto"/>
              </w:rPr>
              <w:t>500,000</w:t>
            </w:r>
          </w:p>
        </w:tc>
        <w:tc>
          <w:tcPr>
            <w:tcW w:w="4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Georgia" w:cs="Georgia" w:eastAsia="Georgia" w:hAnsi="Georgia"/>
                <w:sz w:val="18"/>
                <w:szCs w:val="18"/>
                <w:color w:val="auto"/>
              </w:rPr>
              <w:t>Unallocated costs: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Personnel (including share-based compensation)</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line="202" w:lineRule="exact"/>
              <w:rPr>
                <w:sz w:val="20"/>
                <w:szCs w:val="20"/>
                <w:color w:val="auto"/>
              </w:rPr>
            </w:pPr>
            <w:r>
              <w:rPr>
                <w:rFonts w:ascii="Georgia" w:cs="Georgia" w:eastAsia="Georgia" w:hAnsi="Georgia"/>
                <w:sz w:val="18"/>
                <w:szCs w:val="18"/>
                <w:color w:val="auto"/>
              </w:rPr>
              <w:t>499,849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472,100</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753,238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tcPr>
          <w:p>
            <w:pPr>
              <w:ind w:left="180"/>
              <w:spacing w:after="0" w:line="202" w:lineRule="exact"/>
              <w:rPr>
                <w:sz w:val="20"/>
                <w:szCs w:val="20"/>
                <w:color w:val="auto"/>
              </w:rPr>
            </w:pPr>
            <w:r>
              <w:rPr>
                <w:rFonts w:ascii="Georgia" w:cs="Georgia" w:eastAsia="Georgia" w:hAnsi="Georgia"/>
                <w:sz w:val="18"/>
                <w:szCs w:val="18"/>
                <w:color w:val="auto"/>
              </w:rPr>
              <w:t>Consultants and other third party</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Georgia" w:cs="Georgia" w:eastAsia="Georgia" w:hAnsi="Georgia"/>
                <w:sz w:val="18"/>
                <w:szCs w:val="18"/>
                <w:color w:val="auto"/>
              </w:rPr>
              <w:t>772,815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70,034</w:t>
            </w:r>
          </w:p>
        </w:tc>
        <w:tc>
          <w:tcPr>
            <w:tcW w:w="4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Georgia" w:cs="Georgia" w:eastAsia="Georgia" w:hAnsi="Georgia"/>
                <w:sz w:val="18"/>
                <w:szCs w:val="18"/>
                <w:color w:val="auto"/>
              </w:rPr>
              <w:t>73,736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Materials &amp; supplies</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line="202" w:lineRule="exact"/>
              <w:rPr>
                <w:sz w:val="20"/>
                <w:szCs w:val="20"/>
                <w:color w:val="auto"/>
              </w:rPr>
            </w:pPr>
            <w:r>
              <w:rPr>
                <w:rFonts w:ascii="Georgia" w:cs="Georgia" w:eastAsia="Georgia" w:hAnsi="Georgia"/>
                <w:sz w:val="18"/>
                <w:szCs w:val="18"/>
                <w:color w:val="auto"/>
              </w:rPr>
              <w:t>1,231,019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62,600</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64,151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Georgia" w:cs="Georgia" w:eastAsia="Georgia" w:hAnsi="Georgia"/>
                <w:sz w:val="18"/>
                <w:szCs w:val="18"/>
                <w:color w:val="auto"/>
              </w:rPr>
              <w:t>Travel &amp; entertainment</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Georgia" w:cs="Georgia" w:eastAsia="Georgia" w:hAnsi="Georgia"/>
                <w:sz w:val="18"/>
                <w:szCs w:val="18"/>
                <w:color w:val="auto"/>
              </w:rPr>
              <w:t>596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34,466</w:t>
            </w:r>
          </w:p>
        </w:tc>
        <w:tc>
          <w:tcPr>
            <w:tcW w:w="4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Georgia" w:cs="Georgia" w:eastAsia="Georgia" w:hAnsi="Georgia"/>
                <w:sz w:val="18"/>
                <w:szCs w:val="18"/>
                <w:color w:val="auto"/>
              </w:rPr>
              <w:t>133,573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Other</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1,593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Georgia" w:cs="Georgia" w:eastAsia="Georgia" w:hAnsi="Georgia"/>
                <w:sz w:val="18"/>
                <w:szCs w:val="18"/>
                <w:color w:val="auto"/>
              </w:rPr>
              <w:t>5,128</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55,209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spacing w:after="0" w:line="203" w:lineRule="exact"/>
              <w:rPr>
                <w:sz w:val="20"/>
                <w:szCs w:val="20"/>
                <w:color w:val="auto"/>
              </w:rPr>
            </w:pPr>
            <w:r>
              <w:rPr>
                <w:rFonts w:ascii="Georgia" w:cs="Georgia" w:eastAsia="Georgia" w:hAnsi="Georgia"/>
                <w:sz w:val="18"/>
                <w:szCs w:val="18"/>
                <w:color w:val="auto"/>
              </w:rPr>
              <w:t>Total research and development expenses</w:t>
            </w: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line="203" w:lineRule="exact"/>
              <w:rPr>
                <w:sz w:val="20"/>
                <w:szCs w:val="20"/>
                <w:color w:val="auto"/>
              </w:rPr>
            </w:pPr>
            <w:r>
              <w:rPr>
                <w:rFonts w:ascii="Georgia" w:cs="Georgia" w:eastAsia="Georgia" w:hAnsi="Georgia"/>
                <w:sz w:val="18"/>
                <w:szCs w:val="18"/>
                <w:color w:val="auto"/>
              </w:rPr>
              <w:t>3,390,677</w:t>
            </w:r>
          </w:p>
        </w:tc>
        <w:tc>
          <w:tcPr>
            <w:tcW w:w="180" w:type="dxa"/>
            <w:vAlign w:val="bottom"/>
          </w:tcPr>
          <w:p>
            <w:pPr>
              <w:spacing w:after="0"/>
              <w:rPr>
                <w:sz w:val="17"/>
                <w:szCs w:val="17"/>
                <w:color w:val="auto"/>
              </w:rPr>
            </w:pPr>
          </w:p>
        </w:tc>
        <w:tc>
          <w:tcPr>
            <w:tcW w:w="340" w:type="dxa"/>
            <w:vAlign w:val="bottom"/>
            <w:gridSpan w:val="2"/>
          </w:tcPr>
          <w:p>
            <w:pPr>
              <w:ind w:left="160"/>
              <w:spacing w:after="0" w:line="203" w:lineRule="exact"/>
              <w:rPr>
                <w:sz w:val="20"/>
                <w:szCs w:val="20"/>
                <w:color w:val="auto"/>
              </w:rPr>
            </w:pPr>
            <w:r>
              <w:rPr>
                <w:rFonts w:ascii="Georgia" w:cs="Georgia" w:eastAsia="Georgia" w:hAnsi="Georgia"/>
                <w:sz w:val="18"/>
                <w:szCs w:val="18"/>
                <w:color w:val="auto"/>
              </w:rPr>
              <w:t>€</w:t>
            </w:r>
          </w:p>
        </w:tc>
        <w:tc>
          <w:tcPr>
            <w:tcW w:w="1380" w:type="dxa"/>
            <w:vAlign w:val="bottom"/>
            <w:gridSpan w:val="2"/>
          </w:tcPr>
          <w:p>
            <w:pPr>
              <w:jc w:val="right"/>
              <w:ind w:right="100"/>
              <w:spacing w:after="0" w:line="203" w:lineRule="exact"/>
              <w:rPr>
                <w:sz w:val="20"/>
                <w:szCs w:val="20"/>
                <w:color w:val="auto"/>
              </w:rPr>
            </w:pPr>
            <w:r>
              <w:rPr>
                <w:rFonts w:ascii="Georgia" w:cs="Georgia" w:eastAsia="Georgia" w:hAnsi="Georgia"/>
                <w:sz w:val="18"/>
                <w:szCs w:val="18"/>
                <w:color w:val="auto"/>
              </w:rPr>
              <w:t>4,688,461</w:t>
            </w:r>
          </w:p>
        </w:tc>
        <w:tc>
          <w:tcPr>
            <w:tcW w:w="42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140" w:type="dxa"/>
            <w:vAlign w:val="bottom"/>
          </w:tcPr>
          <w:p>
            <w:pPr>
              <w:jc w:val="right"/>
              <w:spacing w:after="0" w:line="203" w:lineRule="exact"/>
              <w:rPr>
                <w:sz w:val="20"/>
                <w:szCs w:val="20"/>
                <w:color w:val="auto"/>
              </w:rPr>
            </w:pPr>
            <w:r>
              <w:rPr>
                <w:rFonts w:ascii="Georgia" w:cs="Georgia" w:eastAsia="Georgia" w:hAnsi="Georgia"/>
                <w:sz w:val="18"/>
                <w:szCs w:val="18"/>
                <w:color w:val="auto"/>
              </w:rPr>
              <w:t>3,702,982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100" w:hanging="92"/>
        <w:spacing w:after="0"/>
        <w:tabs>
          <w:tab w:leader="none" w:pos="100" w:val="left"/>
        </w:tabs>
        <w:numPr>
          <w:ilvl w:val="0"/>
          <w:numId w:val="77"/>
        </w:numPr>
        <w:rPr>
          <w:rFonts w:ascii="Georgia" w:cs="Georgia" w:eastAsia="Georgia" w:hAnsi="Georgia"/>
          <w:sz w:val="30"/>
          <w:szCs w:val="30"/>
          <w:color w:val="auto"/>
          <w:vertAlign w:val="superscript"/>
        </w:rPr>
      </w:pPr>
      <w:r>
        <w:rPr>
          <w:rFonts w:ascii="Georgia" w:cs="Georgia" w:eastAsia="Georgia" w:hAnsi="Georgia"/>
          <w:sz w:val="18"/>
          <w:szCs w:val="18"/>
          <w:color w:val="auto"/>
        </w:rPr>
        <w:t>Although the second solid cancer indication is currently liver cancer, the Company has the right to change the indication.</w:t>
      </w:r>
    </w:p>
    <w:p>
      <w:pPr>
        <w:spacing w:after="0" w:line="186" w:lineRule="exact"/>
        <w:rPr>
          <w:rFonts w:ascii="Georgia" w:cs="Georgia" w:eastAsia="Georgia" w:hAnsi="Georgia"/>
          <w:sz w:val="30"/>
          <w:szCs w:val="30"/>
          <w:color w:val="auto"/>
          <w:vertAlign w:val="superscript"/>
        </w:rPr>
      </w:pPr>
    </w:p>
    <w:p>
      <w:pPr>
        <w:ind w:left="5480"/>
        <w:spacing w:after="0"/>
        <w:rPr>
          <w:rFonts w:ascii="Georgia" w:cs="Georgia" w:eastAsia="Georgia" w:hAnsi="Georgia"/>
          <w:sz w:val="30"/>
          <w:szCs w:val="30"/>
          <w:color w:val="auto"/>
          <w:vertAlign w:val="superscript"/>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ind w:right="20"/>
        <w:spacing w:after="0" w:line="237" w:lineRule="auto"/>
        <w:rPr>
          <w:sz w:val="20"/>
          <w:szCs w:val="20"/>
          <w:color w:val="auto"/>
        </w:rPr>
      </w:pPr>
      <w:r>
        <w:rPr>
          <w:rFonts w:ascii="Georgia" w:cs="Georgia" w:eastAsia="Georgia" w:hAnsi="Georgia"/>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share-based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205" w:lineRule="exact"/>
        <w:rPr>
          <w:sz w:val="20"/>
          <w:szCs w:val="20"/>
          <w:color w:val="auto"/>
        </w:rPr>
      </w:pPr>
    </w:p>
    <w:p>
      <w:pPr>
        <w:ind w:left="660" w:right="220" w:hanging="328"/>
        <w:spacing w:after="0" w:line="237" w:lineRule="auto"/>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the scope, progress, outcome and costs of our preclinical development activities, clinical trials and other research and development activities;</w:t>
      </w:r>
    </w:p>
    <w:p>
      <w:pPr>
        <w:spacing w:after="0" w:line="203" w:lineRule="exact"/>
        <w:rPr>
          <w:rFonts w:ascii="Georgia" w:cs="Georgia" w:eastAsia="Georgia" w:hAnsi="Georgia"/>
          <w:sz w:val="18"/>
          <w:szCs w:val="18"/>
          <w:color w:val="auto"/>
        </w:rPr>
      </w:pPr>
    </w:p>
    <w:p>
      <w:pPr>
        <w:ind w:left="660" w:right="220" w:hanging="328"/>
        <w:spacing w:after="0" w:line="237" w:lineRule="auto"/>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the impact of the COVID-19 pandemic on our preclinical development activities, clinical trials and other research and development activities;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establishing an appropriate safety profile with IND-enabling studies;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successful patient enrollment in, and the design, initiation and completion of, clinical trials;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the timing, receipt and terms of any marketing approvals from applicable regulatory authorities;</w:t>
      </w:r>
    </w:p>
    <w:p>
      <w:pPr>
        <w:spacing w:after="0" w:line="201" w:lineRule="exact"/>
        <w:rPr>
          <w:rFonts w:ascii="Georgia" w:cs="Georgia" w:eastAsia="Georgia" w:hAnsi="Georgia"/>
          <w:sz w:val="18"/>
          <w:szCs w:val="18"/>
          <w:color w:val="auto"/>
        </w:rPr>
      </w:pPr>
    </w:p>
    <w:p>
      <w:pPr>
        <w:ind w:left="660" w:right="840" w:hanging="328"/>
        <w:spacing w:after="0" w:line="237" w:lineRule="auto"/>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establishing and maintaining clinical and commercial manufacturing capabilities or making arrangements with third-party manufacturers;</w:t>
      </w:r>
    </w:p>
    <w:p>
      <w:pPr>
        <w:spacing w:after="0" w:line="203" w:lineRule="exact"/>
        <w:rPr>
          <w:rFonts w:ascii="Georgia" w:cs="Georgia" w:eastAsia="Georgia" w:hAnsi="Georgia"/>
          <w:sz w:val="18"/>
          <w:szCs w:val="18"/>
          <w:color w:val="auto"/>
        </w:rPr>
      </w:pPr>
    </w:p>
    <w:p>
      <w:pPr>
        <w:ind w:left="660" w:right="300" w:hanging="328"/>
        <w:spacing w:after="0" w:line="237" w:lineRule="auto"/>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development and timely delivery of commercial-grade drug formulations that can be used in our clinical trials and for commercial launch;</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obtaining, maintaining, defending and enforcing patent claims and other intellectual property rights;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significant and changing government regulation;</w:t>
      </w:r>
    </w:p>
    <w:p>
      <w:pPr>
        <w:spacing w:after="0" w:line="201" w:lineRule="exact"/>
        <w:rPr>
          <w:rFonts w:ascii="Georgia" w:cs="Georgia" w:eastAsia="Georgia" w:hAnsi="Georgia"/>
          <w:sz w:val="18"/>
          <w:szCs w:val="18"/>
          <w:color w:val="auto"/>
        </w:rPr>
      </w:pPr>
    </w:p>
    <w:p>
      <w:pPr>
        <w:ind w:left="660" w:right="740" w:hanging="328"/>
        <w:spacing w:after="0" w:line="237" w:lineRule="auto"/>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qualifying for, and maintaining, adequate coverage and reimbursement by the government and other payors for any product candidate for which we obtain marketing approval;</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launching commercial sales of our product candidates, if and when approved, whether alone or in collaboration with others;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addressing any competing technological and market developments;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78"/>
        </w:numPr>
        <w:rPr>
          <w:rFonts w:ascii="Georgia" w:cs="Georgia" w:eastAsia="Georgia" w:hAnsi="Georgia"/>
          <w:sz w:val="18"/>
          <w:szCs w:val="18"/>
          <w:color w:val="auto"/>
        </w:rPr>
      </w:pPr>
      <w:r>
        <w:rPr>
          <w:rFonts w:ascii="Georgia" w:cs="Georgia" w:eastAsia="Georgia" w:hAnsi="Georgia"/>
          <w:sz w:val="18"/>
          <w:szCs w:val="18"/>
          <w:color w:val="auto"/>
        </w:rPr>
        <w:t>maintaining a continued acceptable safety profile of the product candidates following approval.</w:t>
      </w:r>
    </w:p>
    <w:p>
      <w:pPr>
        <w:spacing w:after="0" w:line="202" w:lineRule="exact"/>
        <w:rPr>
          <w:sz w:val="20"/>
          <w:szCs w:val="20"/>
          <w:color w:val="auto"/>
        </w:rPr>
      </w:pPr>
    </w:p>
    <w:p>
      <w:pPr>
        <w:ind w:right="100"/>
        <w:spacing w:after="0" w:line="252" w:lineRule="auto"/>
        <w:rPr>
          <w:sz w:val="20"/>
          <w:szCs w:val="20"/>
          <w:color w:val="auto"/>
        </w:rPr>
      </w:pPr>
      <w:r>
        <w:rPr>
          <w:rFonts w:ascii="Georgia" w:cs="Georgia" w:eastAsia="Georgia" w:hAnsi="Georgia"/>
          <w:sz w:val="17"/>
          <w:szCs w:val="17"/>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97"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General and Administrative Expenses</w:t>
      </w:r>
    </w:p>
    <w:p>
      <w:pPr>
        <w:spacing w:after="0" w:line="202" w:lineRule="exact"/>
        <w:rPr>
          <w:sz w:val="20"/>
          <w:szCs w:val="20"/>
          <w:color w:val="auto"/>
        </w:rPr>
      </w:pPr>
    </w:p>
    <w:p>
      <w:pPr>
        <w:jc w:val="both"/>
        <w:ind w:right="100"/>
        <w:spacing w:after="0" w:line="237" w:lineRule="auto"/>
        <w:rPr>
          <w:sz w:val="20"/>
          <w:szCs w:val="20"/>
          <w:color w:val="auto"/>
        </w:rPr>
      </w:pPr>
      <w:r>
        <w:rPr>
          <w:rFonts w:ascii="Georgia" w:cs="Georgia" w:eastAsia="Georgia" w:hAnsi="Georgia"/>
          <w:sz w:val="18"/>
          <w:szCs w:val="18"/>
          <w:color w:val="auto"/>
        </w:rPr>
        <w:t>General and administrative expenses consist primarily of salaries and consulting fees, related benefits, travel and share-based compensation expense for personnel in executive, finance and administrative functions. General and administrative expenses also include professional fees for legal, consulting, accounting, and audit services.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Company began its pre-IPO preparation in late 2020 with the intention of filing a registration statement with the SEC in early 2021. The Board, in combination with the Company’s investment bankers, decided to postpone the IPO due to the poor market conditions in early 2021. Discussions over the summer of 2021 re-engaged the IPO process with the idea of a late autumn 2021 IPO. The Company expensed certain costs in its December 31, 2021, consolidated financial statements related to activities that were considered directly related to the proposed early 2021 offering but not considered related to the eventual autumn 2021 offering. The Company deferred only those costs that it determined were direct charges against the gross proceeds of the offering and which it determined were reasonable.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204" w:gutter="0" w:footer="0" w:header="0"/>
        </w:sectPr>
      </w:pPr>
    </w:p>
    <w:bookmarkStart w:id="109" w:name="page110"/>
    <w:bookmarkEnd w:id="109"/>
    <w:p>
      <w:pPr>
        <w:spacing w:after="0"/>
        <w:rPr>
          <w:sz w:val="20"/>
          <w:szCs w:val="20"/>
          <w:color w:val="auto"/>
        </w:rPr>
      </w:pPr>
      <w:r>
        <w:rPr>
          <w:rFonts w:ascii="Georgia" w:cs="Georgia" w:eastAsia="Georgia" w:hAnsi="Georgia"/>
          <w:sz w:val="18"/>
          <w:szCs w:val="18"/>
          <w:b w:val="1"/>
          <w:bCs w:val="1"/>
          <w:i w:val="1"/>
          <w:iCs w:val="1"/>
          <w:color w:val="auto"/>
        </w:rPr>
        <w:t>Other Income (Expense)</w:t>
      </w:r>
    </w:p>
    <w:p>
      <w:pPr>
        <w:spacing w:after="0" w:line="202"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Income taxes</w:t>
      </w:r>
    </w:p>
    <w:p>
      <w:pPr>
        <w:spacing w:after="0" w:line="202"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We are subject to taxation in Italy and the United States. Taxes are recorded on an accrual basis. These taxes therefore represent the allowances for taxes paid or to be paid for the year, calculated according to the current enacted rates and applicable laws. Due to the tax loss position reported, no income taxes were due for the years ended December 31, 2021, 2020 and 2019.</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December 31, 2021.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206" w:lineRule="exact"/>
        <w:rPr>
          <w:sz w:val="20"/>
          <w:szCs w:val="20"/>
          <w:color w:val="auto"/>
        </w:rPr>
      </w:pPr>
    </w:p>
    <w:p>
      <w:pPr>
        <w:ind w:right="460"/>
        <w:spacing w:after="0" w:line="237" w:lineRule="auto"/>
        <w:rPr>
          <w:sz w:val="20"/>
          <w:szCs w:val="20"/>
          <w:color w:val="auto"/>
        </w:rPr>
      </w:pPr>
      <w:r>
        <w:rPr>
          <w:rFonts w:ascii="Georgia" w:cs="Georgia" w:eastAsia="Georgia" w:hAnsi="Georgia"/>
          <w:sz w:val="18"/>
          <w:szCs w:val="18"/>
          <w:color w:val="auto"/>
        </w:rPr>
        <w:t>There are open statutes of limitations for Italian tax authorities to audit our tax returns. There have been no material income tax-related interests or penalties assessed or recorded.</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There is no liability related to uncertain tax positions reported in our consolidated financial statements.</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205"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The 2020 Italian Budget Law established that: (i) the tax credit due is up to 12% of the research and development costs incurred (up to a maximum of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€4.0 million); (ii) the tax credit can be used for 2021 and 2022 fiscal years; (iii) it is necessary to have, besides the audit report, a technical report.</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Comparison of Year Ended December 31, 2021 to Year Ended December 31, 2020</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following table summarizes our results of operations for the years ended December 31, 2021, and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5"/>
          </w:tcPr>
          <w:p>
            <w:pPr>
              <w:jc w:val="center"/>
              <w:ind w:right="367"/>
              <w:spacing w:after="0"/>
              <w:rPr>
                <w:sz w:val="20"/>
                <w:szCs w:val="20"/>
                <w:color w:val="auto"/>
              </w:rPr>
            </w:pPr>
            <w:r>
              <w:rPr>
                <w:rFonts w:ascii="Georgia" w:cs="Georgia" w:eastAsia="Georgia" w:hAnsi="Georgia"/>
                <w:sz w:val="18"/>
                <w:szCs w:val="18"/>
                <w:color w:val="auto"/>
              </w:rPr>
              <w:t>Year Ended December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Georgia" w:cs="Georgia" w:eastAsia="Georgia" w:hAnsi="Georgia"/>
                <w:sz w:val="18"/>
                <w:szCs w:val="18"/>
                <w:color w:val="auto"/>
              </w:rPr>
              <w:t>2021</w:t>
            </w:r>
          </w:p>
        </w:tc>
        <w:tc>
          <w:tcPr>
            <w:tcW w:w="3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Georgia" w:cs="Georgia" w:eastAsia="Georgia" w:hAnsi="Georgia"/>
                <w:sz w:val="18"/>
                <w:szCs w:val="18"/>
                <w:color w:val="auto"/>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3"/>
          </w:tcPr>
          <w:p>
            <w:pPr>
              <w:jc w:val="center"/>
              <w:ind w:left="690"/>
              <w:spacing w:after="0" w:line="202" w:lineRule="exact"/>
              <w:rPr>
                <w:sz w:val="20"/>
                <w:szCs w:val="20"/>
                <w:color w:val="auto"/>
              </w:rPr>
            </w:pPr>
            <w:r>
              <w:rPr>
                <w:rFonts w:ascii="Georgia" w:cs="Georgia" w:eastAsia="Georgia" w:hAnsi="Georgia"/>
                <w:sz w:val="18"/>
                <w:szCs w:val="18"/>
                <w:color w:val="auto"/>
              </w:rPr>
              <w:t>(in Euros)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Operating expenses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tcPr>
          <w:p>
            <w:pPr>
              <w:ind w:left="180"/>
              <w:spacing w:after="0" w:line="202" w:lineRule="exact"/>
              <w:rPr>
                <w:sz w:val="20"/>
                <w:szCs w:val="20"/>
                <w:color w:val="auto"/>
              </w:rPr>
            </w:pPr>
            <w:r>
              <w:rPr>
                <w:rFonts w:ascii="Georgia" w:cs="Georgia" w:eastAsia="Georgia" w:hAnsi="Georgia"/>
                <w:sz w:val="18"/>
                <w:szCs w:val="18"/>
                <w:color w:val="auto"/>
              </w:rPr>
              <w:t>Research and development</w:t>
            </w:r>
          </w:p>
        </w:tc>
        <w:tc>
          <w:tcPr>
            <w:tcW w:w="34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180" w:type="dxa"/>
            <w:vAlign w:val="bottom"/>
          </w:tcPr>
          <w:p>
            <w:pPr>
              <w:jc w:val="right"/>
              <w:spacing w:after="0" w:line="202" w:lineRule="exact"/>
              <w:rPr>
                <w:sz w:val="20"/>
                <w:szCs w:val="20"/>
                <w:color w:val="auto"/>
              </w:rPr>
            </w:pPr>
            <w:r>
              <w:rPr>
                <w:rFonts w:ascii="Georgia" w:cs="Georgia" w:eastAsia="Georgia" w:hAnsi="Georgia"/>
                <w:sz w:val="18"/>
                <w:szCs w:val="18"/>
                <w:color w:val="auto"/>
              </w:rPr>
              <w:t>3,390,677</w:t>
            </w:r>
          </w:p>
        </w:tc>
        <w:tc>
          <w:tcPr>
            <w:tcW w:w="30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220" w:type="dxa"/>
            <w:vAlign w:val="bottom"/>
            <w:gridSpan w:val="2"/>
          </w:tcPr>
          <w:p>
            <w:pPr>
              <w:jc w:val="right"/>
              <w:ind w:right="27"/>
              <w:spacing w:after="0" w:line="202" w:lineRule="exact"/>
              <w:rPr>
                <w:sz w:val="20"/>
                <w:szCs w:val="20"/>
                <w:color w:val="auto"/>
              </w:rPr>
            </w:pPr>
            <w:r>
              <w:rPr>
                <w:rFonts w:ascii="Georgia" w:cs="Georgia" w:eastAsia="Georgia" w:hAnsi="Georgia"/>
                <w:sz w:val="18"/>
                <w:szCs w:val="18"/>
                <w:color w:val="auto"/>
              </w:rPr>
              <w:t>4,688,461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666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General and administrative</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10"/>
              <w:spacing w:after="0"/>
              <w:rPr>
                <w:sz w:val="20"/>
                <w:szCs w:val="20"/>
                <w:color w:val="auto"/>
              </w:rPr>
            </w:pPr>
            <w:r>
              <w:rPr>
                <w:rFonts w:ascii="Georgia" w:cs="Georgia" w:eastAsia="Georgia" w:hAnsi="Georgia"/>
                <w:sz w:val="18"/>
                <w:szCs w:val="18"/>
                <w:color w:val="auto"/>
              </w:rPr>
              <w:t>2,296,596</w:t>
            </w: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7"/>
              <w:spacing w:after="0"/>
              <w:rPr>
                <w:sz w:val="20"/>
                <w:szCs w:val="20"/>
                <w:color w:val="auto"/>
              </w:rPr>
            </w:pPr>
            <w:r>
              <w:rPr>
                <w:rFonts w:ascii="Georgia" w:cs="Georgia" w:eastAsia="Georgia" w:hAnsi="Georgia"/>
                <w:sz w:val="18"/>
                <w:szCs w:val="18"/>
                <w:color w:val="auto"/>
              </w:rPr>
              <w:t>901,765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66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5,687,273</w:t>
            </w:r>
          </w:p>
        </w:tc>
        <w:tc>
          <w:tcPr>
            <w:tcW w:w="300" w:type="dxa"/>
            <w:vAlign w:val="bottom"/>
            <w:tcBorders>
              <w:top w:val="single" w:sz="8" w:color="CCEEFF"/>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5,590,226</w:t>
            </w:r>
          </w:p>
        </w:tc>
        <w:tc>
          <w:tcPr>
            <w:tcW w:w="100" w:type="dxa"/>
            <w:vAlign w:val="bottom"/>
            <w:tcBorders>
              <w:top w:val="single" w:sz="8" w:color="CCEEFF"/>
              <w:bottom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Georgia" w:cs="Georgia" w:eastAsia="Georgia" w:hAnsi="Georgia"/>
                <w:sz w:val="18"/>
                <w:szCs w:val="18"/>
                <w:color w:val="auto"/>
              </w:rPr>
              <w:t>Loss from operations</w:t>
            </w:r>
          </w:p>
        </w:tc>
        <w:tc>
          <w:tcPr>
            <w:tcW w:w="340" w:type="dxa"/>
            <w:vAlign w:val="bottom"/>
          </w:tcPr>
          <w:p>
            <w:pPr>
              <w:spacing w:after="0"/>
              <w:rPr>
                <w:sz w:val="17"/>
                <w:szCs w:val="17"/>
                <w:color w:val="auto"/>
              </w:rPr>
            </w:pPr>
          </w:p>
        </w:tc>
        <w:tc>
          <w:tcPr>
            <w:tcW w:w="1480" w:type="dxa"/>
            <w:vAlign w:val="bottom"/>
            <w:gridSpan w:val="2"/>
          </w:tcPr>
          <w:p>
            <w:pPr>
              <w:jc w:val="right"/>
              <w:ind w:right="130"/>
              <w:spacing w:after="0" w:line="202" w:lineRule="exact"/>
              <w:rPr>
                <w:sz w:val="20"/>
                <w:szCs w:val="20"/>
                <w:color w:val="auto"/>
              </w:rPr>
            </w:pPr>
            <w:r>
              <w:rPr>
                <w:rFonts w:ascii="Georgia" w:cs="Georgia" w:eastAsia="Georgia" w:hAnsi="Georgia"/>
                <w:sz w:val="18"/>
                <w:szCs w:val="18"/>
                <w:color w:val="auto"/>
              </w:rPr>
              <w:t>(5,687,273)</w:t>
            </w:r>
          </w:p>
        </w:tc>
        <w:tc>
          <w:tcPr>
            <w:tcW w:w="40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(5,590,226)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Georgia" w:cs="Georgia" w:eastAsia="Georgia" w:hAnsi="Georgia"/>
                <w:sz w:val="18"/>
                <w:szCs w:val="18"/>
                <w:color w:val="auto"/>
              </w:rPr>
              <w:t>Other income (expense)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Awards and subsidies</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10"/>
              <w:spacing w:after="0" w:line="202" w:lineRule="exact"/>
              <w:rPr>
                <w:sz w:val="20"/>
                <w:szCs w:val="20"/>
                <w:color w:val="auto"/>
              </w:rPr>
            </w:pPr>
            <w:r>
              <w:rPr>
                <w:rFonts w:ascii="Georgia" w:cs="Georgia" w:eastAsia="Georgia" w:hAnsi="Georgia"/>
                <w:sz w:val="18"/>
                <w:szCs w:val="18"/>
                <w:color w:val="auto"/>
              </w:rPr>
              <w:t>150,000</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7"/>
              <w:spacing w:after="0" w:line="202" w:lineRule="exact"/>
              <w:rPr>
                <w:sz w:val="20"/>
                <w:szCs w:val="20"/>
                <w:color w:val="auto"/>
              </w:rPr>
            </w:pPr>
            <w:r>
              <w:rPr>
                <w:rFonts w:ascii="Georgia" w:cs="Georgia" w:eastAsia="Georgia" w:hAnsi="Georgia"/>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660" w:type="dxa"/>
            <w:vAlign w:val="bottom"/>
          </w:tcPr>
          <w:p>
            <w:pPr>
              <w:ind w:left="180"/>
              <w:spacing w:after="0" w:line="202" w:lineRule="exact"/>
              <w:rPr>
                <w:sz w:val="20"/>
                <w:szCs w:val="20"/>
                <w:color w:val="auto"/>
              </w:rPr>
            </w:pPr>
            <w:r>
              <w:rPr>
                <w:rFonts w:ascii="Georgia" w:cs="Georgia" w:eastAsia="Georgia" w:hAnsi="Georgia"/>
                <w:sz w:val="18"/>
                <w:szCs w:val="18"/>
                <w:color w:val="auto"/>
              </w:rPr>
              <w:t>Other income</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Georgia" w:cs="Georgia" w:eastAsia="Georgia" w:hAnsi="Georgia"/>
                <w:sz w:val="18"/>
                <w:szCs w:val="18"/>
                <w:color w:val="auto"/>
              </w:rPr>
              <w:t>19,657</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gridSpan w:val="2"/>
          </w:tcPr>
          <w:p>
            <w:pPr>
              <w:jc w:val="right"/>
              <w:ind w:right="27"/>
              <w:spacing w:after="0" w:line="202" w:lineRule="exact"/>
              <w:rPr>
                <w:sz w:val="20"/>
                <w:szCs w:val="20"/>
                <w:color w:val="auto"/>
              </w:rPr>
            </w:pPr>
            <w:r>
              <w:rPr>
                <w:rFonts w:ascii="Georgia" w:cs="Georgia" w:eastAsia="Georgia" w:hAnsi="Georgia"/>
                <w:sz w:val="18"/>
                <w:szCs w:val="18"/>
                <w:color w:val="auto"/>
              </w:rPr>
              <w:t>5,966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666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Finance expense</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30"/>
              <w:spacing w:after="0"/>
              <w:rPr>
                <w:sz w:val="20"/>
                <w:szCs w:val="20"/>
                <w:color w:val="auto"/>
              </w:rPr>
            </w:pPr>
            <w:r>
              <w:rPr>
                <w:rFonts w:ascii="Georgia" w:cs="Georgia" w:eastAsia="Georgia" w:hAnsi="Georgia"/>
                <w:sz w:val="18"/>
                <w:szCs w:val="18"/>
                <w:color w:val="auto"/>
              </w:rPr>
              <w:t>(11,716)</w:t>
            </w: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color w:val="auto"/>
              </w:rPr>
              <w:t>(7,754)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66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color w:val="auto"/>
              </w:rPr>
              <w:t>Total other income (expense), net</w:t>
            </w: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157,941</w:t>
            </w:r>
          </w:p>
        </w:tc>
        <w:tc>
          <w:tcPr>
            <w:tcW w:w="300" w:type="dxa"/>
            <w:vAlign w:val="bottom"/>
            <w:tcBorders>
              <w:top w:val="single" w:sz="8" w:color="CCEEFF"/>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(1,788</w:t>
            </w:r>
          </w:p>
        </w:tc>
        <w:tc>
          <w:tcPr>
            <w:tcW w:w="100" w:type="dxa"/>
            <w:vAlign w:val="bottom"/>
            <w:tcBorders>
              <w:top w:val="single" w:sz="8" w:color="CCEEFF"/>
              <w:bottom w:val="single" w:sz="8" w:color="CCEEFF"/>
            </w:tcBorders>
          </w:tcPr>
          <w:p>
            <w:pPr>
              <w:jc w:val="right"/>
              <w:spacing w:after="0"/>
              <w:rPr>
                <w:sz w:val="20"/>
                <w:szCs w:val="20"/>
                <w:color w:val="auto"/>
              </w:rPr>
            </w:pPr>
            <w:r>
              <w:rPr>
                <w:rFonts w:ascii="Georgia" w:cs="Georgia" w:eastAsia="Georgia" w:hAnsi="Georgia"/>
                <w:sz w:val="15"/>
                <w:szCs w:val="15"/>
                <w:color w:val="auto"/>
                <w:w w:val="70"/>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Georgia" w:cs="Georgia" w:eastAsia="Georgia" w:hAnsi="Georgia"/>
                <w:sz w:val="18"/>
                <w:szCs w:val="18"/>
                <w:color w:val="auto"/>
              </w:rPr>
              <w:t>Loss before income taxes</w:t>
            </w:r>
          </w:p>
        </w:tc>
        <w:tc>
          <w:tcPr>
            <w:tcW w:w="340" w:type="dxa"/>
            <w:vAlign w:val="bottom"/>
          </w:tcPr>
          <w:p>
            <w:pPr>
              <w:spacing w:after="0"/>
              <w:rPr>
                <w:sz w:val="17"/>
                <w:szCs w:val="17"/>
                <w:color w:val="auto"/>
              </w:rPr>
            </w:pPr>
          </w:p>
        </w:tc>
        <w:tc>
          <w:tcPr>
            <w:tcW w:w="1480" w:type="dxa"/>
            <w:vAlign w:val="bottom"/>
            <w:gridSpan w:val="2"/>
          </w:tcPr>
          <w:p>
            <w:pPr>
              <w:jc w:val="right"/>
              <w:ind w:right="130"/>
              <w:spacing w:after="0" w:line="202" w:lineRule="exact"/>
              <w:rPr>
                <w:sz w:val="20"/>
                <w:szCs w:val="20"/>
                <w:color w:val="auto"/>
              </w:rPr>
            </w:pPr>
            <w:r>
              <w:rPr>
                <w:rFonts w:ascii="Georgia" w:cs="Georgia" w:eastAsia="Georgia" w:hAnsi="Georgia"/>
                <w:sz w:val="18"/>
                <w:szCs w:val="18"/>
                <w:color w:val="auto"/>
              </w:rPr>
              <w:t>(5,529,332)</w:t>
            </w:r>
          </w:p>
        </w:tc>
        <w:tc>
          <w:tcPr>
            <w:tcW w:w="40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(5,592,014)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666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Income tax benefit (expense)</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10"/>
              <w:spacing w:after="0"/>
              <w:rPr>
                <w:sz w:val="20"/>
                <w:szCs w:val="20"/>
                <w:color w:val="auto"/>
              </w:rPr>
            </w:pPr>
            <w:r>
              <w:rPr>
                <w:rFonts w:ascii="Georgia" w:cs="Georgia" w:eastAsia="Georgia" w:hAnsi="Georgia"/>
                <w:sz w:val="18"/>
                <w:szCs w:val="18"/>
                <w:color w:val="auto"/>
              </w:rPr>
              <w:t>-</w:t>
            </w: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7"/>
              <w:spacing w:after="0"/>
              <w:rPr>
                <w:sz w:val="20"/>
                <w:szCs w:val="20"/>
                <w:color w:val="auto"/>
              </w:rPr>
            </w:pPr>
            <w:r>
              <w:rPr>
                <w:rFonts w:ascii="Georgia" w:cs="Georgia" w:eastAsia="Georgia" w:hAnsi="Georgia"/>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66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color w:val="auto"/>
              </w:rPr>
              <w:t>Net loss</w:t>
            </w: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(5,529,332</w:t>
            </w:r>
          </w:p>
        </w:tc>
        <w:tc>
          <w:tcPr>
            <w:tcW w:w="300" w:type="dxa"/>
            <w:vAlign w:val="bottom"/>
            <w:tcBorders>
              <w:top w:val="single" w:sz="8" w:color="CCEEFF"/>
              <w:bottom w:val="single" w:sz="8" w:color="CCEEFF"/>
            </w:tcBorders>
          </w:tcPr>
          <w:p>
            <w:pPr>
              <w:jc w:val="right"/>
              <w:ind w:right="130"/>
              <w:spacing w:after="0" w:line="183" w:lineRule="exact"/>
              <w:rPr>
                <w:sz w:val="20"/>
                <w:szCs w:val="20"/>
                <w:color w:val="auto"/>
              </w:rPr>
            </w:pPr>
            <w:r>
              <w:rPr>
                <w:rFonts w:ascii="Georgia" w:cs="Georgia" w:eastAsia="Georgia" w:hAnsi="Georgia"/>
                <w:sz w:val="18"/>
                <w:szCs w:val="18"/>
                <w:color w:val="auto"/>
                <w:w w:val="88"/>
              </w:rPr>
              <w:t>)</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(5,592,014</w:t>
            </w:r>
          </w:p>
        </w:tc>
        <w:tc>
          <w:tcPr>
            <w:tcW w:w="100" w:type="dxa"/>
            <w:vAlign w:val="bottom"/>
            <w:tcBorders>
              <w:top w:val="single" w:sz="8" w:color="CCEEFF"/>
              <w:bottom w:val="single" w:sz="8" w:color="CCEEFF"/>
            </w:tcBorders>
          </w:tcPr>
          <w:p>
            <w:pPr>
              <w:jc w:val="right"/>
              <w:spacing w:after="0"/>
              <w:rPr>
                <w:sz w:val="20"/>
                <w:szCs w:val="20"/>
                <w:color w:val="auto"/>
              </w:rPr>
            </w:pPr>
            <w:r>
              <w:rPr>
                <w:rFonts w:ascii="Georgia" w:cs="Georgia" w:eastAsia="Georgia" w:hAnsi="Georgia"/>
                <w:sz w:val="15"/>
                <w:szCs w:val="15"/>
                <w:color w:val="auto"/>
                <w:w w:val="70"/>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Georgia" w:cs="Georgia" w:eastAsia="Georgia" w:hAnsi="Georgia"/>
                <w:sz w:val="18"/>
                <w:szCs w:val="18"/>
                <w:color w:val="auto"/>
              </w:rPr>
              <w:t>Net loss and comprehensive loss</w:t>
            </w:r>
          </w:p>
        </w:tc>
        <w:tc>
          <w:tcPr>
            <w:tcW w:w="34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480" w:type="dxa"/>
            <w:vAlign w:val="bottom"/>
            <w:gridSpan w:val="2"/>
          </w:tcPr>
          <w:p>
            <w:pPr>
              <w:jc w:val="right"/>
              <w:ind w:right="130"/>
              <w:spacing w:after="0" w:line="202" w:lineRule="exact"/>
              <w:rPr>
                <w:sz w:val="20"/>
                <w:szCs w:val="20"/>
                <w:color w:val="auto"/>
              </w:rPr>
            </w:pPr>
            <w:r>
              <w:rPr>
                <w:rFonts w:ascii="Georgia" w:cs="Georgia" w:eastAsia="Georgia" w:hAnsi="Georgia"/>
                <w:sz w:val="18"/>
                <w:szCs w:val="18"/>
                <w:color w:val="auto"/>
              </w:rPr>
              <w:t>(5,529,332)</w:t>
            </w:r>
          </w:p>
        </w:tc>
        <w:tc>
          <w:tcPr>
            <w:tcW w:w="40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22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(5,592,014)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Georgia" w:cs="Georgia" w:eastAsia="Georgia" w:hAnsi="Georgia"/>
                <w:sz w:val="18"/>
                <w:szCs w:val="18"/>
                <w:color w:val="auto"/>
              </w:rPr>
              <w:t>Pro forma information: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66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Pro forma net loss</w:t>
            </w:r>
          </w:p>
        </w:tc>
        <w:tc>
          <w:tcPr>
            <w:tcW w:w="34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Georgia" w:cs="Georgia" w:eastAsia="Georgia" w:hAnsi="Georgia"/>
                <w:sz w:val="18"/>
                <w:szCs w:val="18"/>
                <w:color w:val="auto"/>
              </w:rPr>
              <w:t>(5,529,332)</w:t>
            </w:r>
          </w:p>
        </w:tc>
        <w:tc>
          <w:tcPr>
            <w:tcW w:w="40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color w:val="auto"/>
              </w:rPr>
              <w:t>(5,592,014)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Borders>
              <w:top w:val="single" w:sz="8" w:color="CCEEFF"/>
              <w:bottom w:val="single" w:sz="8" w:color="CCEEFF"/>
            </w:tcBorders>
            <w:vMerge w:val="restart"/>
          </w:tcPr>
          <w:p>
            <w:pPr>
              <w:spacing w:after="0" w:line="203" w:lineRule="exact"/>
              <w:rPr>
                <w:sz w:val="20"/>
                <w:szCs w:val="20"/>
                <w:color w:val="auto"/>
              </w:rPr>
            </w:pPr>
            <w:r>
              <w:rPr>
                <w:rFonts w:ascii="Georgia" w:cs="Georgia" w:eastAsia="Georgia" w:hAnsi="Georgia"/>
                <w:sz w:val="18"/>
                <w:szCs w:val="18"/>
                <w:color w:val="auto"/>
              </w:rPr>
              <w:t>Pro forma net loss per share -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30"/>
              <w:spacing w:after="0" w:line="203" w:lineRule="exact"/>
              <w:rPr>
                <w:sz w:val="20"/>
                <w:szCs w:val="20"/>
                <w:color w:val="auto"/>
              </w:rPr>
            </w:pPr>
            <w:r>
              <w:rPr>
                <w:rFonts w:ascii="Georgia" w:cs="Georgia" w:eastAsia="Georgia" w:hAnsi="Georgia"/>
                <w:sz w:val="18"/>
                <w:szCs w:val="18"/>
                <w:color w:val="auto"/>
                <w:w w:val="88"/>
              </w:rPr>
              <w:t>)</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666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spacing w:after="0" w:line="185" w:lineRule="exact"/>
              <w:rPr>
                <w:sz w:val="20"/>
                <w:szCs w:val="20"/>
                <w:color w:val="auto"/>
              </w:rPr>
            </w:pPr>
            <w:r>
              <w:rPr>
                <w:rFonts w:ascii="Georgia" w:cs="Georgia" w:eastAsia="Georgia" w:hAnsi="Georgia"/>
                <w:sz w:val="18"/>
                <w:szCs w:val="18"/>
                <w:color w:val="auto"/>
              </w:rPr>
              <w:t>€</w:t>
            </w:r>
          </w:p>
        </w:tc>
        <w:tc>
          <w:tcPr>
            <w:tcW w:w="1180" w:type="dxa"/>
            <w:vAlign w:val="bottom"/>
            <w:tcBorders>
              <w:bottom w:val="single" w:sz="8" w:color="auto"/>
            </w:tcBorders>
          </w:tcPr>
          <w:p>
            <w:pPr>
              <w:jc w:val="right"/>
              <w:spacing w:after="0" w:line="185" w:lineRule="exact"/>
              <w:rPr>
                <w:sz w:val="20"/>
                <w:szCs w:val="20"/>
                <w:color w:val="auto"/>
              </w:rPr>
            </w:pPr>
            <w:r>
              <w:rPr>
                <w:rFonts w:ascii="Georgia" w:cs="Georgia" w:eastAsia="Georgia" w:hAnsi="Georgia"/>
                <w:sz w:val="18"/>
                <w:szCs w:val="18"/>
                <w:color w:val="auto"/>
              </w:rPr>
              <w:t>(0.37</w:t>
            </w:r>
          </w:p>
        </w:tc>
        <w:tc>
          <w:tcPr>
            <w:tcW w:w="30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spacing w:after="0" w:line="185" w:lineRule="exact"/>
              <w:rPr>
                <w:sz w:val="20"/>
                <w:szCs w:val="20"/>
                <w:color w:val="auto"/>
              </w:rPr>
            </w:pPr>
            <w:r>
              <w:rPr>
                <w:rFonts w:ascii="Georgia" w:cs="Georgia" w:eastAsia="Georgia" w:hAnsi="Georgia"/>
                <w:sz w:val="18"/>
                <w:szCs w:val="18"/>
                <w:color w:val="auto"/>
              </w:rPr>
              <w:t>€</w:t>
            </w:r>
          </w:p>
        </w:tc>
        <w:tc>
          <w:tcPr>
            <w:tcW w:w="1120" w:type="dxa"/>
            <w:vAlign w:val="bottom"/>
            <w:tcBorders>
              <w:bottom w:val="single" w:sz="8" w:color="auto"/>
            </w:tcBorders>
          </w:tcPr>
          <w:p>
            <w:pPr>
              <w:jc w:val="right"/>
              <w:spacing w:after="0" w:line="185" w:lineRule="exact"/>
              <w:rPr>
                <w:sz w:val="20"/>
                <w:szCs w:val="20"/>
                <w:color w:val="auto"/>
              </w:rPr>
            </w:pPr>
            <w:r>
              <w:rPr>
                <w:rFonts w:ascii="Georgia" w:cs="Georgia" w:eastAsia="Georgia" w:hAnsi="Georgia"/>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60" w:type="dxa"/>
            <w:vAlign w:val="bottom"/>
            <w:tcBorders>
              <w:bottom w:val="single" w:sz="8" w:color="CCEEFF"/>
            </w:tcBorders>
            <w:shd w:val="clear" w:color="auto" w:fill="CCEEFF"/>
          </w:tcPr>
          <w:p>
            <w:pPr>
              <w:spacing w:after="0" w:line="163" w:lineRule="exact"/>
              <w:rPr>
                <w:sz w:val="20"/>
                <w:szCs w:val="20"/>
                <w:color w:val="auto"/>
              </w:rPr>
            </w:pPr>
            <w:r>
              <w:rPr>
                <w:rFonts w:ascii="Georgia" w:cs="Georgia" w:eastAsia="Georgia" w:hAnsi="Georgia"/>
                <w:sz w:val="18"/>
                <w:szCs w:val="18"/>
                <w:color w:val="auto"/>
              </w:rPr>
              <w:t>Weighted average pro forma number of shares outstanding - basic and diluted</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Georgia" w:cs="Georgia" w:eastAsia="Georgia" w:hAnsi="Georgia"/>
                <w:sz w:val="18"/>
                <w:szCs w:val="18"/>
                <w:color w:val="auto"/>
              </w:rPr>
              <w:t>15,083,825</w:t>
            </w:r>
          </w:p>
        </w:tc>
        <w:tc>
          <w:tcPr>
            <w:tcW w:w="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Georgia" w:cs="Georgia" w:eastAsia="Georgia" w:hAnsi="Georgia"/>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135" w:gutter="0" w:footer="0" w:header="0"/>
        </w:sectPr>
      </w:pPr>
    </w:p>
    <w:bookmarkStart w:id="110" w:name="page111"/>
    <w:bookmarkEnd w:id="110"/>
    <w:p>
      <w:pPr>
        <w:spacing w:after="0" w:line="237" w:lineRule="auto"/>
        <w:rPr>
          <w:sz w:val="20"/>
          <w:szCs w:val="20"/>
          <w:color w:val="auto"/>
        </w:rPr>
      </w:pPr>
      <w:r>
        <w:rPr>
          <w:rFonts w:ascii="Georgia" w:cs="Georgia" w:eastAsia="Georgia" w:hAnsi="Georgia"/>
          <w:sz w:val="18"/>
          <w:szCs w:val="18"/>
          <w:color w:val="auto"/>
        </w:rPr>
        <w:t>We have presented pro forma basic and diluted loss per share at December 31, 2021, which consists of our historical loss divided by the pro forma basic and diluted weighted average number of ordinary shares outstanding at December 31, 2021. We did not present basic and diluted loss per share for the years ended December 31, 2020, and 2019, since we were an S.r.l. at the time and maintained classes of quota (similar to membership interests in a limited liability company in the United States) rather than shares, which it now has post-conversion to an S.p.A., (similar to a C-corporation in the United States), which occurred on June 18, 2021. The quotas represented percentage ownership in us and not actual shares. We did not believe that representing loss per quota was meaningful. (See our disclosures in Note 11 to our consolidated financial statements for additional information regarding the method used to calculate the pro forma basic and diluted loss per ordinary share and the pro forma weighted average number of ordinary shares used in the computation of the per share amounts.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Research and Development Expenses</w:t>
      </w:r>
    </w:p>
    <w:p>
      <w:pPr>
        <w:spacing w:after="0" w:line="202" w:lineRule="exact"/>
        <w:rPr>
          <w:sz w:val="20"/>
          <w:szCs w:val="20"/>
          <w:color w:val="auto"/>
        </w:rPr>
      </w:pPr>
    </w:p>
    <w:p>
      <w:pPr>
        <w:jc w:val="both"/>
        <w:ind w:right="60"/>
        <w:spacing w:after="0" w:line="237" w:lineRule="auto"/>
        <w:rPr>
          <w:sz w:val="20"/>
          <w:szCs w:val="20"/>
          <w:color w:val="auto"/>
        </w:rPr>
      </w:pPr>
      <w:r>
        <w:rPr>
          <w:rFonts w:ascii="Georgia" w:cs="Georgia" w:eastAsia="Georgia" w:hAnsi="Georgia"/>
          <w:sz w:val="18"/>
          <w:szCs w:val="18"/>
          <w:color w:val="auto"/>
        </w:rPr>
        <w:t>Research and development expenses were approximately €3.4 million for the year ended December 31, 2021, as compared to approximately €4.7 million for the year ended December 31, 2020. The decrease of approximately €1.3 million was primarily due to the compensation effect of the R&amp;D tax benefit calculation as described in Note 2 to the consolidated financial statements.</w:t>
      </w:r>
    </w:p>
    <w:p>
      <w:pPr>
        <w:spacing w:after="0" w:line="212" w:lineRule="exact"/>
        <w:rPr>
          <w:sz w:val="20"/>
          <w:szCs w:val="20"/>
          <w:color w:val="auto"/>
        </w:rPr>
      </w:pPr>
    </w:p>
    <w:p>
      <w:pPr>
        <w:spacing w:after="0" w:line="258" w:lineRule="auto"/>
        <w:rPr>
          <w:sz w:val="20"/>
          <w:szCs w:val="20"/>
          <w:color w:val="auto"/>
        </w:rPr>
      </w:pPr>
      <w:r>
        <w:rPr>
          <w:rFonts w:ascii="Georgia" w:cs="Georgia" w:eastAsia="Georgia" w:hAnsi="Georgia"/>
          <w:sz w:val="21"/>
          <w:szCs w:val="21"/>
          <w:color w:val="auto"/>
        </w:rPr>
        <w:t>During the 12 months period ended December 31, 2021, we utilized approximately €0.5 million to offset certain social contributions and taxes payable, while during the financial year 2020, we utilized approximately €0.3 million. The benefit recorded for the 12 months ended December 31, 2021 and 2020, to offset research and development expenses was approximately €1.2 million and €0.3 million, respectively. We reclassified to other non-current assets a portion of the receivable, which is expected to be realized beyond 12 months. The increase in the benefit recorded for the 12 months ended December 31, 2021, is due to the increase in the utilization rate of research and development credit, as a consequence of the increase in our structure compared to the previous period. This estimate is deemed reasonable and prudent based on the actual research and development tax credit utilization rate.</w:t>
      </w:r>
    </w:p>
    <w:p>
      <w:pPr>
        <w:spacing w:after="0" w:line="23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General and Administrative Expenses</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General and administrative expenses were approximately €2.3 million for the year ended December 31, 2021, as compared to approximately €0.9 million for the year ended December 31, 2020. The general and administrative expense increase was essentially due to the increase in support from third parties, i.e., general and administrative advisors to compensate for our limited internal operational staff during the pre-IPO phase.</w:t>
      </w:r>
    </w:p>
    <w:p>
      <w:pPr>
        <w:spacing w:after="0" w:line="380"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During the year ended December 31, 2021, the Company incurred significant third parties audit, accounting, legal and advisory support services other than those IPO related, to support the increase in the administrative and general operation of the Company and its business development efforts. More specifically, the increase from 2020 to 2021 in compensation expenses including share-based compensation, was due to new administrative staff hired in the first half of 2021, an increase in board compensation from May 2021, a new employment agreement for the CEO of the Company starting at the IPO date, and stock option exercises for €0.2 million.</w:t>
      </w:r>
    </w:p>
    <w:p>
      <w:pPr>
        <w:spacing w:after="0" w:line="19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increase in accounting, legal &amp; other professional expenses in 2021 from 2020 and 2019 was mainly related to the increase in accounting and bookkeeping activity, audit and review procedures performed in the course of the year but not IPO related, and legal consultancy provided to support the Company compliance, offset by a decrease in consulting activity from 2019 to 2020. Insurance costs increased in 2021 from 2020 and 2019, mainly as consequence of a new Directors and officers (D&amp;O) liability insurance policy agreement started at the IPO date.</w:t>
      </w:r>
    </w:p>
    <w:p>
      <w:pPr>
        <w:spacing w:after="0" w:line="178" w:lineRule="exact"/>
        <w:rPr>
          <w:sz w:val="20"/>
          <w:szCs w:val="20"/>
          <w:color w:val="auto"/>
        </w:rPr>
      </w:pPr>
    </w:p>
    <w:p>
      <w:pPr>
        <w:ind w:right="1020"/>
        <w:spacing w:after="0" w:line="237" w:lineRule="auto"/>
        <w:rPr>
          <w:sz w:val="20"/>
          <w:szCs w:val="20"/>
          <w:color w:val="auto"/>
        </w:rPr>
      </w:pPr>
      <w:r>
        <w:rPr>
          <w:rFonts w:ascii="Georgia" w:cs="Georgia" w:eastAsia="Georgia" w:hAnsi="Georgia"/>
          <w:sz w:val="18"/>
          <w:szCs w:val="18"/>
          <w:color w:val="auto"/>
        </w:rPr>
        <w:t>The “Other” administrative expenses increase was due mainly to business travels, meetings and catering costs related to business development activities that required additional efforts since the Company was achieving the IPO.</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Other Income</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Other income was approximately €163,000 for the year ended December 31, 2021, as compared to other expense of approximately €2,000 for the year ended December 31, 2020. The increase was primarily due to an award granted to us in the amount of €150,000, provided by the Italian Legislative Decree “Decreto Sostegni Bis -Perequativo” aiming to support enterprises during the COVID-19 pandemic, offset slightly by finance expense. Our finance expense was approximately €7,000 for the year ended December 31, 2021, as compared to approximately €8,000 for the year ended December 31, 2020. The decrease of approximately €1,000 was primarily due to small changes in realized exchange rate gains and losses.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Net Loss</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Our net loss was approximately €5.5 million for the year ended December 31, 2021, as compared to approximately €5.6 million for the year ended December 31, 2020. The change was primarily due to a decrease in research and development expenses of approximately €1.3 million as consequence of the compensation effect of the R&amp;D tax benefit calculation as explained above and an increase of approximately €1.4 million in general and administrative expenses as consequence of the increase in the Company structure and operating activities.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5"/>
        </w:trPr>
        <w:tc>
          <w:tcPr>
            <w:tcW w:w="7640" w:type="dxa"/>
            <w:vAlign w:val="bottom"/>
            <w:gridSpan w:val="3"/>
          </w:tcPr>
          <w:p>
            <w:pPr>
              <w:spacing w:after="0"/>
              <w:rPr>
                <w:sz w:val="20"/>
                <w:szCs w:val="20"/>
                <w:color w:val="auto"/>
              </w:rPr>
            </w:pPr>
            <w:r>
              <w:rPr>
                <w:rFonts w:ascii="Georgia" w:cs="Georgia" w:eastAsia="Georgia" w:hAnsi="Georgia"/>
                <w:sz w:val="18"/>
                <w:szCs w:val="18"/>
                <w:b w:val="1"/>
                <w:bCs w:val="1"/>
                <w:i w:val="1"/>
                <w:iCs w:val="1"/>
                <w:color w:val="auto"/>
              </w:rPr>
              <w:t>Comparison of Year Ended December 31, 2020 to Year Ended December 31, 2019</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5"/>
        </w:trPr>
        <w:tc>
          <w:tcPr>
            <w:tcW w:w="9060" w:type="dxa"/>
            <w:vAlign w:val="bottom"/>
            <w:gridSpan w:val="5"/>
          </w:tcPr>
          <w:p>
            <w:pPr>
              <w:spacing w:after="0"/>
              <w:rPr>
                <w:sz w:val="20"/>
                <w:szCs w:val="20"/>
                <w:color w:val="auto"/>
              </w:rPr>
            </w:pPr>
            <w:r>
              <w:rPr>
                <w:rFonts w:ascii="Georgia" w:cs="Georgia" w:eastAsia="Georgia" w:hAnsi="Georgia"/>
                <w:sz w:val="18"/>
                <w:szCs w:val="18"/>
                <w:color w:val="auto"/>
              </w:rPr>
              <w:t>The following table summarizes our results of operations for the years ended December 31, 2020, and 2019:</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5"/>
          </w:tcPr>
          <w:p>
            <w:pPr>
              <w:jc w:val="center"/>
              <w:ind w:right="427"/>
              <w:spacing w:after="0"/>
              <w:rPr>
                <w:sz w:val="20"/>
                <w:szCs w:val="20"/>
                <w:color w:val="auto"/>
              </w:rPr>
            </w:pPr>
            <w:r>
              <w:rPr>
                <w:rFonts w:ascii="Georgia" w:cs="Georgia" w:eastAsia="Georgia" w:hAnsi="Georgia"/>
                <w:sz w:val="18"/>
                <w:szCs w:val="18"/>
                <w:color w:val="auto"/>
              </w:rPr>
              <w:t>Year Ended December 31,</w:t>
            </w:r>
          </w:p>
        </w:tc>
      </w:tr>
      <w:tr>
        <w:trPr>
          <w:trHeight w:val="223"/>
        </w:trPr>
        <w:tc>
          <w:tcPr>
            <w:tcW w:w="5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Georgia" w:cs="Georgia" w:eastAsia="Georgia" w:hAnsi="Georgia"/>
                <w:sz w:val="18"/>
                <w:szCs w:val="18"/>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Georgia" w:cs="Georgia" w:eastAsia="Georgia" w:hAnsi="Georgia"/>
                <w:sz w:val="18"/>
                <w:szCs w:val="18"/>
                <w:color w:val="auto"/>
              </w:rPr>
              <w:t>2019</w:t>
            </w:r>
          </w:p>
        </w:tc>
        <w:tc>
          <w:tcPr>
            <w:tcW w:w="100" w:type="dxa"/>
            <w:vAlign w:val="bottom"/>
          </w:tcPr>
          <w:p>
            <w:pPr>
              <w:spacing w:after="0"/>
              <w:rPr>
                <w:sz w:val="19"/>
                <w:szCs w:val="19"/>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gridSpan w:val="3"/>
          </w:tcPr>
          <w:p>
            <w:pPr>
              <w:jc w:val="center"/>
              <w:ind w:left="630"/>
              <w:spacing w:after="0" w:line="202" w:lineRule="exact"/>
              <w:rPr>
                <w:sz w:val="20"/>
                <w:szCs w:val="20"/>
                <w:color w:val="auto"/>
              </w:rPr>
            </w:pPr>
            <w:r>
              <w:rPr>
                <w:rFonts w:ascii="Georgia" w:cs="Georgia" w:eastAsia="Georgia" w:hAnsi="Georgia"/>
                <w:sz w:val="18"/>
                <w:szCs w:val="18"/>
                <w:color w:val="auto"/>
              </w:rPr>
              <w:t>(in Euros)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Operating expenses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60" w:type="dxa"/>
            <w:vAlign w:val="bottom"/>
          </w:tcPr>
          <w:p>
            <w:pPr>
              <w:ind w:left="180"/>
              <w:spacing w:after="0" w:line="202" w:lineRule="exact"/>
              <w:rPr>
                <w:sz w:val="20"/>
                <w:szCs w:val="20"/>
                <w:color w:val="auto"/>
              </w:rPr>
            </w:pPr>
            <w:r>
              <w:rPr>
                <w:rFonts w:ascii="Georgia" w:cs="Georgia" w:eastAsia="Georgia" w:hAnsi="Georgia"/>
                <w:sz w:val="18"/>
                <w:szCs w:val="18"/>
                <w:color w:val="auto"/>
              </w:rPr>
              <w:t>Research and development</w:t>
            </w:r>
          </w:p>
        </w:tc>
        <w:tc>
          <w:tcPr>
            <w:tcW w:w="40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420" w:type="dxa"/>
            <w:vAlign w:val="bottom"/>
            <w:gridSpan w:val="2"/>
          </w:tcPr>
          <w:p>
            <w:pPr>
              <w:jc w:val="right"/>
              <w:ind w:right="210"/>
              <w:spacing w:after="0" w:line="202" w:lineRule="exact"/>
              <w:rPr>
                <w:sz w:val="20"/>
                <w:szCs w:val="20"/>
                <w:color w:val="auto"/>
              </w:rPr>
            </w:pPr>
            <w:r>
              <w:rPr>
                <w:rFonts w:ascii="Georgia" w:cs="Georgia" w:eastAsia="Georgia" w:hAnsi="Georgia"/>
                <w:sz w:val="18"/>
                <w:szCs w:val="18"/>
                <w:color w:val="auto"/>
              </w:rPr>
              <w:t>4,688,461</w:t>
            </w:r>
          </w:p>
        </w:tc>
        <w:tc>
          <w:tcPr>
            <w:tcW w:w="40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220" w:type="dxa"/>
            <w:vAlign w:val="bottom"/>
            <w:gridSpan w:val="2"/>
          </w:tcPr>
          <w:p>
            <w:pPr>
              <w:jc w:val="right"/>
              <w:ind w:right="27"/>
              <w:spacing w:after="0" w:line="202" w:lineRule="exact"/>
              <w:rPr>
                <w:sz w:val="20"/>
                <w:szCs w:val="20"/>
                <w:color w:val="auto"/>
              </w:rPr>
            </w:pPr>
            <w:r>
              <w:rPr>
                <w:rFonts w:ascii="Georgia" w:cs="Georgia" w:eastAsia="Georgia" w:hAnsi="Georgia"/>
                <w:sz w:val="18"/>
                <w:szCs w:val="18"/>
                <w:color w:val="auto"/>
              </w:rPr>
              <w:t>3,702,982</w:t>
            </w:r>
          </w:p>
        </w:tc>
      </w:tr>
      <w:tr>
        <w:trPr>
          <w:trHeight w:val="235"/>
        </w:trPr>
        <w:tc>
          <w:tcPr>
            <w:tcW w:w="580" w:type="dxa"/>
            <w:vAlign w:val="bottom"/>
          </w:tcPr>
          <w:p>
            <w:pPr>
              <w:spacing w:after="0"/>
              <w:rPr>
                <w:sz w:val="20"/>
                <w:szCs w:val="20"/>
                <w:color w:val="auto"/>
              </w:rPr>
            </w:pPr>
          </w:p>
        </w:tc>
        <w:tc>
          <w:tcPr>
            <w:tcW w:w="666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General and administrative</w:t>
            </w: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10"/>
              <w:spacing w:after="0"/>
              <w:rPr>
                <w:sz w:val="20"/>
                <w:szCs w:val="20"/>
                <w:color w:val="auto"/>
              </w:rPr>
            </w:pPr>
            <w:r>
              <w:rPr>
                <w:rFonts w:ascii="Georgia" w:cs="Georgia" w:eastAsia="Georgia" w:hAnsi="Georgia"/>
                <w:sz w:val="18"/>
                <w:szCs w:val="18"/>
                <w:color w:val="auto"/>
              </w:rPr>
              <w:t>901,765</w:t>
            </w: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7"/>
              <w:spacing w:after="0"/>
              <w:rPr>
                <w:sz w:val="20"/>
                <w:szCs w:val="20"/>
                <w:color w:val="auto"/>
              </w:rPr>
            </w:pPr>
            <w:r>
              <w:rPr>
                <w:rFonts w:ascii="Georgia" w:cs="Georgia" w:eastAsia="Georgia" w:hAnsi="Georgia"/>
                <w:sz w:val="18"/>
                <w:szCs w:val="18"/>
                <w:color w:val="auto"/>
              </w:rPr>
              <w:t>921,520</w:t>
            </w:r>
          </w:p>
        </w:tc>
      </w:tr>
      <w:tr>
        <w:trPr>
          <w:trHeight w:val="198"/>
        </w:trPr>
        <w:tc>
          <w:tcPr>
            <w:tcW w:w="580" w:type="dxa"/>
            <w:vAlign w:val="bottom"/>
          </w:tcPr>
          <w:p>
            <w:pPr>
              <w:spacing w:after="0"/>
              <w:rPr>
                <w:sz w:val="17"/>
                <w:szCs w:val="17"/>
                <w:color w:val="auto"/>
              </w:rPr>
            </w:pPr>
          </w:p>
        </w:tc>
        <w:tc>
          <w:tcPr>
            <w:tcW w:w="666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color w:val="auto"/>
              </w:rPr>
              <w:t>Total operating expenses</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5,590,226</w:t>
            </w:r>
          </w:p>
        </w:tc>
        <w:tc>
          <w:tcPr>
            <w:tcW w:w="300" w:type="dxa"/>
            <w:vAlign w:val="bottom"/>
            <w:tcBorders>
              <w:top w:val="single" w:sz="8" w:color="CCEEFF"/>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4,624,502</w:t>
            </w:r>
          </w:p>
        </w:tc>
        <w:tc>
          <w:tcPr>
            <w:tcW w:w="100" w:type="dxa"/>
            <w:vAlign w:val="bottom"/>
            <w:tcBorders>
              <w:top w:val="single" w:sz="8" w:color="CCEEFF"/>
              <w:bottom w:val="single" w:sz="8" w:color="CCEEFF"/>
            </w:tcBorders>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Georgia" w:cs="Georgia" w:eastAsia="Georgia" w:hAnsi="Georgia"/>
                <w:sz w:val="18"/>
                <w:szCs w:val="18"/>
                <w:color w:val="auto"/>
              </w:rPr>
              <w:t>Loss from operations</w:t>
            </w:r>
          </w:p>
        </w:tc>
        <w:tc>
          <w:tcPr>
            <w:tcW w:w="400" w:type="dxa"/>
            <w:vAlign w:val="bottom"/>
          </w:tcPr>
          <w:p>
            <w:pPr>
              <w:spacing w:after="0"/>
              <w:rPr>
                <w:sz w:val="17"/>
                <w:szCs w:val="17"/>
                <w:color w:val="auto"/>
              </w:rPr>
            </w:pPr>
          </w:p>
        </w:tc>
        <w:tc>
          <w:tcPr>
            <w:tcW w:w="1420" w:type="dxa"/>
            <w:vAlign w:val="bottom"/>
            <w:gridSpan w:val="2"/>
          </w:tcPr>
          <w:p>
            <w:pPr>
              <w:jc w:val="right"/>
              <w:ind w:right="130"/>
              <w:spacing w:after="0" w:line="202" w:lineRule="exact"/>
              <w:rPr>
                <w:sz w:val="20"/>
                <w:szCs w:val="20"/>
                <w:color w:val="auto"/>
              </w:rPr>
            </w:pPr>
            <w:r>
              <w:rPr>
                <w:rFonts w:ascii="Georgia" w:cs="Georgia" w:eastAsia="Georgia" w:hAnsi="Georgia"/>
                <w:sz w:val="18"/>
                <w:szCs w:val="18"/>
                <w:color w:val="auto"/>
              </w:rPr>
              <w:t>(5,590,226)</w:t>
            </w:r>
          </w:p>
        </w:tc>
        <w:tc>
          <w:tcPr>
            <w:tcW w:w="40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(4,624,502)</w:t>
            </w: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Georgia" w:cs="Georgia" w:eastAsia="Georgia" w:hAnsi="Georgia"/>
                <w:sz w:val="18"/>
                <w:szCs w:val="18"/>
                <w:color w:val="auto"/>
              </w:rPr>
              <w:t>Other income (expense)</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Other income</w:t>
            </w:r>
          </w:p>
        </w:tc>
        <w:tc>
          <w:tcPr>
            <w:tcW w:w="4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10"/>
              <w:spacing w:after="0" w:line="202" w:lineRule="exact"/>
              <w:rPr>
                <w:sz w:val="20"/>
                <w:szCs w:val="20"/>
                <w:color w:val="auto"/>
              </w:rPr>
            </w:pPr>
            <w:r>
              <w:rPr>
                <w:rFonts w:ascii="Georgia" w:cs="Georgia" w:eastAsia="Georgia" w:hAnsi="Georgia"/>
                <w:sz w:val="18"/>
                <w:szCs w:val="18"/>
                <w:color w:val="auto"/>
              </w:rPr>
              <w:t>5,966</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7"/>
              <w:spacing w:after="0" w:line="202" w:lineRule="exact"/>
              <w:rPr>
                <w:sz w:val="20"/>
                <w:szCs w:val="20"/>
                <w:color w:val="auto"/>
              </w:rPr>
            </w:pPr>
            <w:r>
              <w:rPr>
                <w:rFonts w:ascii="Georgia" w:cs="Georgia" w:eastAsia="Georgia" w:hAnsi="Georgia"/>
                <w:sz w:val="18"/>
                <w:szCs w:val="18"/>
                <w:color w:val="auto"/>
              </w:rPr>
              <w:t>36,331</w:t>
            </w:r>
          </w:p>
        </w:tc>
      </w:tr>
      <w:tr>
        <w:trPr>
          <w:trHeight w:val="223"/>
        </w:trPr>
        <w:tc>
          <w:tcPr>
            <w:tcW w:w="580" w:type="dxa"/>
            <w:vAlign w:val="bottom"/>
          </w:tcPr>
          <w:p>
            <w:pPr>
              <w:spacing w:after="0"/>
              <w:rPr>
                <w:sz w:val="19"/>
                <w:szCs w:val="19"/>
                <w:color w:val="auto"/>
              </w:rPr>
            </w:pPr>
          </w:p>
        </w:tc>
        <w:tc>
          <w:tcPr>
            <w:tcW w:w="6660" w:type="dxa"/>
            <w:vAlign w:val="bottom"/>
          </w:tcPr>
          <w:p>
            <w:pPr>
              <w:ind w:left="180"/>
              <w:spacing w:after="0" w:line="203" w:lineRule="exact"/>
              <w:rPr>
                <w:sz w:val="20"/>
                <w:szCs w:val="20"/>
                <w:color w:val="auto"/>
              </w:rPr>
            </w:pPr>
            <w:r>
              <w:rPr>
                <w:rFonts w:ascii="Georgia" w:cs="Georgia" w:eastAsia="Georgia" w:hAnsi="Georgia"/>
                <w:sz w:val="18"/>
                <w:szCs w:val="18"/>
                <w:color w:val="auto"/>
              </w:rPr>
              <w:t>Finance expense</w:t>
            </w:r>
          </w:p>
        </w:tc>
        <w:tc>
          <w:tcPr>
            <w:tcW w:w="400" w:type="dxa"/>
            <w:vAlign w:val="bottom"/>
          </w:tcPr>
          <w:p>
            <w:pPr>
              <w:spacing w:after="0"/>
              <w:rPr>
                <w:sz w:val="19"/>
                <w:szCs w:val="19"/>
                <w:color w:val="auto"/>
              </w:rPr>
            </w:pPr>
          </w:p>
        </w:tc>
        <w:tc>
          <w:tcPr>
            <w:tcW w:w="1420" w:type="dxa"/>
            <w:vAlign w:val="bottom"/>
            <w:gridSpan w:val="2"/>
          </w:tcPr>
          <w:p>
            <w:pPr>
              <w:jc w:val="right"/>
              <w:ind w:right="130"/>
              <w:spacing w:after="0"/>
              <w:rPr>
                <w:sz w:val="20"/>
                <w:szCs w:val="20"/>
                <w:color w:val="auto"/>
              </w:rPr>
            </w:pPr>
            <w:r>
              <w:rPr>
                <w:rFonts w:ascii="Georgia" w:cs="Georgia" w:eastAsia="Georgia" w:hAnsi="Georgia"/>
                <w:sz w:val="18"/>
                <w:szCs w:val="18"/>
                <w:color w:val="auto"/>
              </w:rPr>
              <w:t>(7,754)</w:t>
            </w:r>
          </w:p>
        </w:tc>
        <w:tc>
          <w:tcPr>
            <w:tcW w:w="4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Georgia" w:cs="Georgia" w:eastAsia="Georgia" w:hAnsi="Georgia"/>
                <w:sz w:val="18"/>
                <w:szCs w:val="18"/>
                <w:color w:val="auto"/>
              </w:rPr>
              <w:t>(9,552)</w:t>
            </w:r>
          </w:p>
        </w:tc>
      </w:tr>
      <w:tr>
        <w:trPr>
          <w:trHeight w:val="210"/>
        </w:trPr>
        <w:tc>
          <w:tcPr>
            <w:tcW w:w="580" w:type="dxa"/>
            <w:vAlign w:val="bottom"/>
          </w:tcPr>
          <w:p>
            <w:pPr>
              <w:spacing w:after="0"/>
              <w:rPr>
                <w:sz w:val="18"/>
                <w:szCs w:val="18"/>
                <w:color w:val="auto"/>
              </w:rPr>
            </w:pPr>
          </w:p>
        </w:tc>
        <w:tc>
          <w:tcPr>
            <w:tcW w:w="66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Georgia" w:cs="Georgia" w:eastAsia="Georgia" w:hAnsi="Georgia"/>
                <w:sz w:val="18"/>
                <w:szCs w:val="18"/>
                <w:color w:val="auto"/>
              </w:rPr>
              <w:t>Total other income (expense), net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(1,788</w:t>
            </w:r>
          </w:p>
        </w:tc>
        <w:tc>
          <w:tcPr>
            <w:tcW w:w="300" w:type="dxa"/>
            <w:vAlign w:val="bottom"/>
            <w:tcBorders>
              <w:top w:val="single" w:sz="8" w:color="CCEEFF"/>
              <w:bottom w:val="single" w:sz="8" w:color="CCEEFF"/>
            </w:tcBorders>
            <w:shd w:val="clear" w:color="auto" w:fill="CCEEFF"/>
          </w:tcPr>
          <w:p>
            <w:pPr>
              <w:jc w:val="right"/>
              <w:ind w:right="130"/>
              <w:spacing w:after="0" w:line="190" w:lineRule="exact"/>
              <w:rPr>
                <w:sz w:val="20"/>
                <w:szCs w:val="20"/>
                <w:color w:val="auto"/>
              </w:rPr>
            </w:pPr>
            <w:r>
              <w:rPr>
                <w:rFonts w:ascii="Georgia" w:cs="Georgia" w:eastAsia="Georgia" w:hAnsi="Georgia"/>
                <w:sz w:val="18"/>
                <w:szCs w:val="18"/>
                <w:color w:val="auto"/>
                <w:w w:val="88"/>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Loss before income taxes</w:t>
            </w:r>
          </w:p>
        </w:tc>
        <w:tc>
          <w:tcPr>
            <w:tcW w:w="4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30"/>
              <w:spacing w:after="0" w:line="202" w:lineRule="exact"/>
              <w:rPr>
                <w:sz w:val="20"/>
                <w:szCs w:val="20"/>
                <w:color w:val="auto"/>
              </w:rPr>
            </w:pPr>
            <w:r>
              <w:rPr>
                <w:rFonts w:ascii="Georgia" w:cs="Georgia" w:eastAsia="Georgia" w:hAnsi="Georgia"/>
                <w:sz w:val="18"/>
                <w:szCs w:val="18"/>
                <w:color w:val="auto"/>
              </w:rPr>
              <w:t>(5,592,014)</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(4,597,723)</w:t>
            </w:r>
          </w:p>
        </w:tc>
      </w:tr>
      <w:tr>
        <w:trPr>
          <w:trHeight w:val="223"/>
        </w:trPr>
        <w:tc>
          <w:tcPr>
            <w:tcW w:w="580" w:type="dxa"/>
            <w:vAlign w:val="bottom"/>
          </w:tcPr>
          <w:p>
            <w:pPr>
              <w:spacing w:after="0"/>
              <w:rPr>
                <w:sz w:val="19"/>
                <w:szCs w:val="19"/>
                <w:color w:val="auto"/>
              </w:rPr>
            </w:pPr>
          </w:p>
        </w:tc>
        <w:tc>
          <w:tcPr>
            <w:tcW w:w="6660" w:type="dxa"/>
            <w:vAlign w:val="bottom"/>
          </w:tcPr>
          <w:p>
            <w:pPr>
              <w:spacing w:after="0" w:line="203" w:lineRule="exact"/>
              <w:rPr>
                <w:sz w:val="20"/>
                <w:szCs w:val="20"/>
                <w:color w:val="auto"/>
              </w:rPr>
            </w:pPr>
            <w:r>
              <w:rPr>
                <w:rFonts w:ascii="Georgia" w:cs="Georgia" w:eastAsia="Georgia" w:hAnsi="Georgia"/>
                <w:sz w:val="18"/>
                <w:szCs w:val="18"/>
                <w:color w:val="auto"/>
              </w:rPr>
              <w:t>Income tax benefit (expense)</w:t>
            </w:r>
          </w:p>
        </w:tc>
        <w:tc>
          <w:tcPr>
            <w:tcW w:w="400" w:type="dxa"/>
            <w:vAlign w:val="bottom"/>
          </w:tcPr>
          <w:p>
            <w:pPr>
              <w:spacing w:after="0"/>
              <w:rPr>
                <w:sz w:val="19"/>
                <w:szCs w:val="19"/>
                <w:color w:val="auto"/>
              </w:rPr>
            </w:pPr>
          </w:p>
        </w:tc>
        <w:tc>
          <w:tcPr>
            <w:tcW w:w="1420" w:type="dxa"/>
            <w:vAlign w:val="bottom"/>
            <w:gridSpan w:val="2"/>
          </w:tcPr>
          <w:p>
            <w:pPr>
              <w:jc w:val="right"/>
              <w:ind w:right="210"/>
              <w:spacing w:after="0"/>
              <w:rPr>
                <w:sz w:val="20"/>
                <w:szCs w:val="20"/>
                <w:color w:val="auto"/>
              </w:rPr>
            </w:pPr>
            <w:r>
              <w:rPr>
                <w:rFonts w:ascii="Georgia" w:cs="Georgia" w:eastAsia="Georgia" w:hAnsi="Georgia"/>
                <w:sz w:val="18"/>
                <w:szCs w:val="18"/>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27"/>
              <w:spacing w:after="0"/>
              <w:rPr>
                <w:sz w:val="20"/>
                <w:szCs w:val="20"/>
                <w:color w:val="auto"/>
              </w:rPr>
            </w:pPr>
            <w:r>
              <w:rPr>
                <w:rFonts w:ascii="Georgia" w:cs="Georgia" w:eastAsia="Georgia" w:hAnsi="Georgia"/>
                <w:sz w:val="18"/>
                <w:szCs w:val="18"/>
                <w:color w:val="auto"/>
              </w:rPr>
              <w:t>-</w:t>
            </w:r>
          </w:p>
        </w:tc>
      </w:tr>
      <w:tr>
        <w:trPr>
          <w:trHeight w:val="210"/>
        </w:trPr>
        <w:tc>
          <w:tcPr>
            <w:tcW w:w="580" w:type="dxa"/>
            <w:vAlign w:val="bottom"/>
          </w:tcPr>
          <w:p>
            <w:pPr>
              <w:spacing w:after="0"/>
              <w:rPr>
                <w:sz w:val="18"/>
                <w:szCs w:val="18"/>
                <w:color w:val="auto"/>
              </w:rPr>
            </w:pPr>
          </w:p>
        </w:tc>
        <w:tc>
          <w:tcPr>
            <w:tcW w:w="66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Georgia" w:cs="Georgia" w:eastAsia="Georgia" w:hAnsi="Georgia"/>
                <w:sz w:val="18"/>
                <w:szCs w:val="18"/>
                <w:color w:val="auto"/>
              </w:rPr>
              <w:t>Net loss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(5,592,014</w:t>
            </w:r>
          </w:p>
        </w:tc>
        <w:tc>
          <w:tcPr>
            <w:tcW w:w="300" w:type="dxa"/>
            <w:vAlign w:val="bottom"/>
            <w:tcBorders>
              <w:top w:val="single" w:sz="8" w:color="CCEEFF"/>
              <w:bottom w:val="single" w:sz="8" w:color="CCEEFF"/>
            </w:tcBorders>
            <w:shd w:val="clear" w:color="auto" w:fill="CCEEFF"/>
          </w:tcPr>
          <w:p>
            <w:pPr>
              <w:jc w:val="right"/>
              <w:ind w:right="130"/>
              <w:spacing w:after="0" w:line="190" w:lineRule="exact"/>
              <w:rPr>
                <w:sz w:val="20"/>
                <w:szCs w:val="20"/>
                <w:color w:val="auto"/>
              </w:rPr>
            </w:pPr>
            <w:r>
              <w:rPr>
                <w:rFonts w:ascii="Georgia" w:cs="Georgia" w:eastAsia="Georgia" w:hAnsi="Georgia"/>
                <w:sz w:val="18"/>
                <w:szCs w:val="18"/>
                <w:color w:val="auto"/>
                <w:w w:val="88"/>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Georgia" w:cs="Georgia" w:eastAsia="Georgia" w:hAnsi="Georgia"/>
                <w:sz w:val="15"/>
                <w:szCs w:val="15"/>
                <w:color w:val="auto"/>
                <w:w w:val="70"/>
              </w:rPr>
              <w:t>)</w:t>
            </w:r>
          </w:p>
        </w:tc>
      </w:tr>
      <w:tr>
        <w:trPr>
          <w:trHeight w:val="202"/>
        </w:trPr>
        <w:tc>
          <w:tcPr>
            <w:tcW w:w="5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Comprehensive loss</w:t>
            </w:r>
          </w:p>
        </w:tc>
        <w:tc>
          <w:tcPr>
            <w:tcW w:w="4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10"/>
              <w:spacing w:after="0" w:line="202" w:lineRule="exact"/>
              <w:rPr>
                <w:sz w:val="20"/>
                <w:szCs w:val="20"/>
                <w:color w:val="auto"/>
              </w:rPr>
            </w:pPr>
            <w:r>
              <w:rPr>
                <w:rFonts w:ascii="Georgia" w:cs="Georgia" w:eastAsia="Georgia" w:hAnsi="Georgia"/>
                <w:sz w:val="18"/>
                <w:szCs w:val="18"/>
                <w:color w:val="auto"/>
              </w:rPr>
              <w:t>-</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7"/>
              <w:spacing w:after="0" w:line="202" w:lineRule="exact"/>
              <w:rPr>
                <w:sz w:val="20"/>
                <w:szCs w:val="20"/>
                <w:color w:val="auto"/>
              </w:rPr>
            </w:pPr>
            <w:r>
              <w:rPr>
                <w:rFonts w:ascii="Georgia" w:cs="Georgia" w:eastAsia="Georgia" w:hAnsi="Georgia"/>
                <w:sz w:val="18"/>
                <w:szCs w:val="18"/>
                <w:color w:val="auto"/>
              </w:rPr>
              <w:t>-</w:t>
            </w:r>
          </w:p>
        </w:tc>
      </w:tr>
      <w:tr>
        <w:trPr>
          <w:trHeight w:val="203"/>
        </w:trPr>
        <w:tc>
          <w:tcPr>
            <w:tcW w:w="580" w:type="dxa"/>
            <w:vAlign w:val="bottom"/>
          </w:tcPr>
          <w:p>
            <w:pPr>
              <w:spacing w:after="0"/>
              <w:rPr>
                <w:sz w:val="17"/>
                <w:szCs w:val="17"/>
                <w:color w:val="auto"/>
              </w:rPr>
            </w:pPr>
          </w:p>
        </w:tc>
        <w:tc>
          <w:tcPr>
            <w:tcW w:w="6660" w:type="dxa"/>
            <w:vAlign w:val="bottom"/>
          </w:tcPr>
          <w:p>
            <w:pPr>
              <w:spacing w:after="0" w:line="203" w:lineRule="exact"/>
              <w:rPr>
                <w:sz w:val="20"/>
                <w:szCs w:val="20"/>
                <w:color w:val="auto"/>
              </w:rPr>
            </w:pPr>
            <w:r>
              <w:rPr>
                <w:rFonts w:ascii="Georgia" w:cs="Georgia" w:eastAsia="Georgia" w:hAnsi="Georgia"/>
                <w:sz w:val="18"/>
                <w:szCs w:val="18"/>
                <w:color w:val="auto"/>
              </w:rPr>
              <w:t>Total comprehensive loss</w:t>
            </w:r>
          </w:p>
        </w:tc>
        <w:tc>
          <w:tcPr>
            <w:tcW w:w="4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420" w:type="dxa"/>
            <w:vAlign w:val="bottom"/>
            <w:gridSpan w:val="2"/>
          </w:tcPr>
          <w:p>
            <w:pPr>
              <w:jc w:val="right"/>
              <w:ind w:right="130"/>
              <w:spacing w:after="0" w:line="203" w:lineRule="exact"/>
              <w:rPr>
                <w:sz w:val="20"/>
                <w:szCs w:val="20"/>
                <w:color w:val="auto"/>
              </w:rPr>
            </w:pPr>
            <w:r>
              <w:rPr>
                <w:rFonts w:ascii="Georgia" w:cs="Georgia" w:eastAsia="Georgia" w:hAnsi="Georgia"/>
                <w:sz w:val="18"/>
                <w:szCs w:val="18"/>
                <w:color w:val="auto"/>
              </w:rPr>
              <w:t>(5,592,014)</w:t>
            </w:r>
          </w:p>
        </w:tc>
        <w:tc>
          <w:tcPr>
            <w:tcW w:w="4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220" w:type="dxa"/>
            <w:vAlign w:val="bottom"/>
            <w:gridSpan w:val="2"/>
          </w:tcPr>
          <w:p>
            <w:pPr>
              <w:jc w:val="right"/>
              <w:spacing w:after="0" w:line="203" w:lineRule="exact"/>
              <w:rPr>
                <w:sz w:val="20"/>
                <w:szCs w:val="20"/>
                <w:color w:val="auto"/>
              </w:rPr>
            </w:pPr>
            <w:r>
              <w:rPr>
                <w:rFonts w:ascii="Georgia" w:cs="Georgia" w:eastAsia="Georgia" w:hAnsi="Georgia"/>
                <w:sz w:val="18"/>
                <w:szCs w:val="18"/>
                <w:color w:val="auto"/>
              </w:rPr>
              <w:t>(4,597,723)</w:t>
            </w:r>
          </w:p>
        </w:tc>
      </w:tr>
    </w:tbl>
    <w:p>
      <w:pPr>
        <w:spacing w:after="0" w:line="199"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presented pro forma basic and diluted loss per share at December 31, 2021, which consists of our historical loss divided by the pro forma basic and diluted weighted average number of ordinary shares outstanding at December 31, 2021. We did not present basic and diluted loss per share for the years ended December 31, 2020, and 2019, since we were an S.r.l. at the time and maintained classes of quota (similar to membership interests in a limited liability company in the United States) rather than shares, which it now has post-conversion to an S.p.A., (similar to a C-corporation in the United States), which occurred on June 18, 2021. The quotas represented percentage ownership in us and not actual shares. We did not believe that representing loss per quota was meaningful. (See our disclosures in Note 11 to our consolidated financial statements for additional information regarding the method used to calculate the pro forma basic and diluted loss per ordinary share and the pro forma weighted average number of ordinary shares used in the computation of the per share amounts.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Research and Development Expenses</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General and Administrative Expenses</w:t>
      </w:r>
    </w:p>
    <w:p>
      <w:pPr>
        <w:spacing w:after="0" w:line="202" w:lineRule="exact"/>
        <w:rPr>
          <w:sz w:val="20"/>
          <w:szCs w:val="20"/>
          <w:color w:val="auto"/>
        </w:rPr>
      </w:pPr>
    </w:p>
    <w:p>
      <w:pPr>
        <w:ind w:right="300"/>
        <w:spacing w:after="0" w:line="237" w:lineRule="auto"/>
        <w:rPr>
          <w:sz w:val="20"/>
          <w:szCs w:val="20"/>
          <w:color w:val="auto"/>
        </w:rPr>
      </w:pPr>
      <w:r>
        <w:rPr>
          <w:rFonts w:ascii="Georgia" w:cs="Georgia" w:eastAsia="Georgia" w:hAnsi="Georgia"/>
          <w:sz w:val="18"/>
          <w:szCs w:val="18"/>
          <w:color w:val="auto"/>
        </w:rPr>
        <w:t>General and administrative expenses were approximately €0.9 million for the years ended December 31, 2020 and 2019, respectively. The general and administrative expenses remained essentially flat due to our ability to control expenses and focus our resources on research, development, and clinical activities.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spacing w:after="0"/>
        <w:rPr>
          <w:sz w:val="20"/>
          <w:szCs w:val="20"/>
          <w:color w:val="auto"/>
        </w:rPr>
      </w:pPr>
      <w:r>
        <w:rPr>
          <w:rFonts w:ascii="Georgia" w:cs="Georgia" w:eastAsia="Georgia" w:hAnsi="Georgia"/>
          <w:sz w:val="18"/>
          <w:szCs w:val="18"/>
          <w:i w:val="1"/>
          <w:iCs w:val="1"/>
          <w:color w:val="auto"/>
        </w:rPr>
        <w:t>Other Income</w:t>
      </w:r>
    </w:p>
    <w:p>
      <w:pPr>
        <w:spacing w:after="0" w:line="202"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Other income was approximately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Finance Expense</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Net Loss</w:t>
      </w:r>
    </w:p>
    <w:p>
      <w:pPr>
        <w:spacing w:after="0" w:line="202"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Our net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Liquidity and Financial Position</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Overview</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Since inception, we have not generated any revenue and have incurred significant operating losses and negative cash flows from our operations. We have funded our operations to date primarily with proceeds from the sales of quotas, in prior years as an S.r.l., and through our initial public offering (IPO) of our shares as an S.p.A. We received gross cash proceeds of approximately €33.6 million from sales of quotas (pre-IPO) and approximately €32.7 million of gross proceeds from the IPO. As of December 31, 2021, the Company had approximately €37.2 million in cash and cash equivalents.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80" w:type="dxa"/>
            <w:vAlign w:val="bottom"/>
            <w:gridSpan w:val="2"/>
          </w:tcPr>
          <w:p>
            <w:pPr>
              <w:spacing w:after="0"/>
              <w:rPr>
                <w:sz w:val="20"/>
                <w:szCs w:val="20"/>
                <w:color w:val="auto"/>
              </w:rPr>
            </w:pPr>
            <w:r>
              <w:rPr>
                <w:rFonts w:ascii="Georgia" w:cs="Georgia" w:eastAsia="Georgia" w:hAnsi="Georgia"/>
                <w:sz w:val="18"/>
                <w:szCs w:val="18"/>
                <w:color w:val="auto"/>
              </w:rPr>
              <w:t>The table below presents our cash flows for the periods indicated: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80" w:type="dxa"/>
            <w:vAlign w:val="bottom"/>
            <w:gridSpan w:val="2"/>
          </w:tcPr>
          <w:p>
            <w:pPr>
              <w:spacing w:after="0"/>
              <w:rPr>
                <w:sz w:val="20"/>
                <w:szCs w:val="20"/>
                <w:color w:val="auto"/>
              </w:rPr>
            </w:pPr>
            <w:r>
              <w:rPr>
                <w:rFonts w:ascii="Georgia" w:cs="Georgia" w:eastAsia="Georgia" w:hAnsi="Georgia"/>
                <w:sz w:val="18"/>
                <w:szCs w:val="18"/>
                <w:b w:val="1"/>
                <w:bCs w:val="1"/>
                <w:color w:val="auto"/>
              </w:rPr>
              <w:t>(in Euros)</w:t>
            </w:r>
          </w:p>
        </w:tc>
        <w:tc>
          <w:tcPr>
            <w:tcW w:w="320" w:type="dxa"/>
            <w:vAlign w:val="bottom"/>
          </w:tcPr>
          <w:p>
            <w:pPr>
              <w:spacing w:after="0"/>
              <w:rPr>
                <w:sz w:val="24"/>
                <w:szCs w:val="24"/>
                <w:color w:val="auto"/>
              </w:rPr>
            </w:pPr>
          </w:p>
        </w:tc>
        <w:tc>
          <w:tcPr>
            <w:tcW w:w="3760" w:type="dxa"/>
            <w:vAlign w:val="bottom"/>
            <w:gridSpan w:val="6"/>
          </w:tcPr>
          <w:p>
            <w:pPr>
              <w:jc w:val="center"/>
              <w:ind w:left="570"/>
              <w:spacing w:after="0"/>
              <w:rPr>
                <w:sz w:val="20"/>
                <w:szCs w:val="20"/>
                <w:color w:val="auto"/>
              </w:rPr>
            </w:pPr>
            <w:r>
              <w:rPr>
                <w:rFonts w:ascii="Georgia" w:cs="Georgia" w:eastAsia="Georgia" w:hAnsi="Georgia"/>
                <w:sz w:val="18"/>
                <w:szCs w:val="18"/>
                <w:b w:val="1"/>
                <w:bCs w:val="1"/>
                <w:color w:val="auto"/>
              </w:rPr>
              <w:t>For the Year Ended December 31,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rPr>
              <w:t>2021</w:t>
            </w:r>
          </w:p>
        </w:tc>
        <w:tc>
          <w:tcPr>
            <w:tcW w:w="3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center"/>
              <w:ind w:right="110"/>
              <w:spacing w:after="0"/>
              <w:rPr>
                <w:sz w:val="20"/>
                <w:szCs w:val="20"/>
                <w:color w:val="auto"/>
              </w:rPr>
            </w:pPr>
            <w:r>
              <w:rPr>
                <w:rFonts w:ascii="Georgia" w:cs="Georgia" w:eastAsia="Georgia" w:hAnsi="Georgia"/>
                <w:sz w:val="18"/>
                <w:szCs w:val="18"/>
                <w:b w:val="1"/>
                <w:bCs w:val="1"/>
                <w:color w:val="auto"/>
              </w:rPr>
              <w:t>2020</w:t>
            </w:r>
          </w:p>
        </w:tc>
        <w:tc>
          <w:tcPr>
            <w:tcW w:w="34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w w:val="99"/>
              </w:rPr>
              <w:t>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470"/>
              <w:spacing w:after="0" w:line="202" w:lineRule="exact"/>
              <w:rPr>
                <w:sz w:val="20"/>
                <w:szCs w:val="20"/>
                <w:color w:val="auto"/>
              </w:rPr>
            </w:pPr>
            <w:r>
              <w:rPr>
                <w:rFonts w:ascii="Georgia" w:cs="Georgia" w:eastAsia="Georgia" w:hAnsi="Georgia"/>
                <w:sz w:val="18"/>
                <w:szCs w:val="18"/>
                <w:color w:val="auto"/>
              </w:rPr>
              <w:t>(in Euros)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80" w:type="dxa"/>
            <w:vAlign w:val="bottom"/>
            <w:gridSpan w:val="2"/>
            <w:shd w:val="clear" w:color="auto" w:fill="CCEEFF"/>
          </w:tcPr>
          <w:p>
            <w:pPr>
              <w:spacing w:after="0" w:line="203" w:lineRule="exact"/>
              <w:rPr>
                <w:sz w:val="20"/>
                <w:szCs w:val="20"/>
                <w:color w:val="auto"/>
              </w:rPr>
            </w:pPr>
            <w:r>
              <w:rPr>
                <w:rFonts w:ascii="Georgia" w:cs="Georgia" w:eastAsia="Georgia" w:hAnsi="Georgia"/>
                <w:sz w:val="18"/>
                <w:szCs w:val="18"/>
                <w:color w:val="auto"/>
              </w:rPr>
              <w:t>Net cash used in operating activities</w:t>
            </w:r>
          </w:p>
        </w:tc>
        <w:tc>
          <w:tcPr>
            <w:tcW w:w="32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500" w:type="dxa"/>
            <w:vAlign w:val="bottom"/>
            <w:gridSpan w:val="2"/>
            <w:shd w:val="clear" w:color="auto" w:fill="CCEEFF"/>
          </w:tcPr>
          <w:p>
            <w:pPr>
              <w:jc w:val="right"/>
              <w:ind w:right="170"/>
              <w:spacing w:after="0"/>
              <w:rPr>
                <w:sz w:val="20"/>
                <w:szCs w:val="20"/>
                <w:color w:val="auto"/>
              </w:rPr>
            </w:pPr>
            <w:r>
              <w:rPr>
                <w:rFonts w:ascii="Georgia" w:cs="Georgia" w:eastAsia="Georgia" w:hAnsi="Georgia"/>
                <w:sz w:val="18"/>
                <w:szCs w:val="18"/>
                <w:color w:val="auto"/>
              </w:rPr>
              <w:t>(6,958,174)</w:t>
            </w:r>
          </w:p>
        </w:tc>
        <w:tc>
          <w:tcPr>
            <w:tcW w:w="20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580" w:type="dxa"/>
            <w:vAlign w:val="bottom"/>
            <w:gridSpan w:val="2"/>
            <w:shd w:val="clear" w:color="auto" w:fill="CCEEFF"/>
          </w:tcPr>
          <w:p>
            <w:pPr>
              <w:jc w:val="right"/>
              <w:ind w:right="170"/>
              <w:spacing w:after="0"/>
              <w:rPr>
                <w:sz w:val="20"/>
                <w:szCs w:val="20"/>
                <w:color w:val="auto"/>
              </w:rPr>
            </w:pPr>
            <w:r>
              <w:rPr>
                <w:rFonts w:ascii="Georgia" w:cs="Georgia" w:eastAsia="Georgia" w:hAnsi="Georgia"/>
                <w:sz w:val="18"/>
                <w:szCs w:val="18"/>
                <w:color w:val="auto"/>
              </w:rPr>
              <w:t>(6,044,581)</w:t>
            </w:r>
          </w:p>
        </w:tc>
        <w:tc>
          <w:tcPr>
            <w:tcW w:w="48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Georgia" w:cs="Georgia" w:eastAsia="Georgia" w:hAnsi="Georgia"/>
                <w:sz w:val="18"/>
                <w:szCs w:val="18"/>
                <w:color w:val="auto"/>
              </w:rPr>
              <w:t>(2,490,187)</w:t>
            </w:r>
          </w:p>
        </w:tc>
        <w:tc>
          <w:tcPr>
            <w:tcW w:w="0" w:type="dxa"/>
            <w:vAlign w:val="bottom"/>
          </w:tcPr>
          <w:p>
            <w:pPr>
              <w:spacing w:after="0"/>
              <w:rPr>
                <w:sz w:val="1"/>
                <w:szCs w:val="1"/>
                <w:color w:val="auto"/>
              </w:rPr>
            </w:pPr>
          </w:p>
        </w:tc>
      </w:tr>
      <w:tr>
        <w:trPr>
          <w:trHeight w:val="198"/>
        </w:trPr>
        <w:tc>
          <w:tcPr>
            <w:tcW w:w="6080" w:type="dxa"/>
            <w:vAlign w:val="bottom"/>
            <w:tcBorders>
              <w:top w:val="single" w:sz="8" w:color="CCEEFF"/>
              <w:bottom w:val="single" w:sz="8" w:color="CCEEFF"/>
            </w:tcBorders>
            <w:gridSpan w:val="2"/>
          </w:tcPr>
          <w:p>
            <w:pPr>
              <w:spacing w:after="0" w:line="183" w:lineRule="exact"/>
              <w:rPr>
                <w:sz w:val="20"/>
                <w:szCs w:val="20"/>
                <w:color w:val="auto"/>
              </w:rPr>
            </w:pPr>
            <w:r>
              <w:rPr>
                <w:rFonts w:ascii="Georgia" w:cs="Georgia" w:eastAsia="Georgia" w:hAnsi="Georgia"/>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(9,009</w:t>
            </w:r>
          </w:p>
        </w:tc>
        <w:tc>
          <w:tcPr>
            <w:tcW w:w="340" w:type="dxa"/>
            <w:vAlign w:val="bottom"/>
            <w:tcBorders>
              <w:top w:val="single" w:sz="8" w:color="CCEEFF"/>
              <w:bottom w:val="single" w:sz="8" w:color="CCEEFF"/>
            </w:tcBorders>
          </w:tcPr>
          <w:p>
            <w:pPr>
              <w:jc w:val="right"/>
              <w:ind w:right="170"/>
              <w:spacing w:after="0" w:line="183" w:lineRule="exact"/>
              <w:rPr>
                <w:sz w:val="20"/>
                <w:szCs w:val="20"/>
                <w:color w:val="auto"/>
              </w:rPr>
            </w:pPr>
            <w:r>
              <w:rPr>
                <w:rFonts w:ascii="Georgia" w:cs="Georgia" w:eastAsia="Georgia" w:hAnsi="Georgia"/>
                <w:sz w:val="18"/>
                <w:szCs w:val="18"/>
                <w:color w:val="auto"/>
                <w:w w:val="88"/>
              </w:rPr>
              <w:t>)</w:t>
            </w: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(20,871</w:t>
            </w:r>
          </w:p>
        </w:tc>
        <w:tc>
          <w:tcPr>
            <w:tcW w:w="340" w:type="dxa"/>
            <w:vAlign w:val="bottom"/>
            <w:tcBorders>
              <w:top w:val="single" w:sz="8" w:color="CCEEFF"/>
              <w:bottom w:val="single" w:sz="8" w:color="CCEEFF"/>
            </w:tcBorders>
          </w:tcPr>
          <w:p>
            <w:pPr>
              <w:jc w:val="right"/>
              <w:ind w:right="170"/>
              <w:spacing w:after="0" w:line="183" w:lineRule="exact"/>
              <w:rPr>
                <w:sz w:val="20"/>
                <w:szCs w:val="20"/>
                <w:color w:val="auto"/>
              </w:rPr>
            </w:pPr>
            <w:r>
              <w:rPr>
                <w:rFonts w:ascii="Georgia" w:cs="Georgia" w:eastAsia="Georgia" w:hAnsi="Georgia"/>
                <w:sz w:val="18"/>
                <w:szCs w:val="18"/>
                <w:color w:val="auto"/>
                <w:w w:val="88"/>
              </w:rPr>
              <w:t>)</w:t>
            </w: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gridSpan w:val="2"/>
            <w:shd w:val="clear" w:color="auto" w:fill="CCEEFF"/>
          </w:tcPr>
          <w:p>
            <w:pPr>
              <w:spacing w:after="0" w:line="190" w:lineRule="exact"/>
              <w:rPr>
                <w:sz w:val="20"/>
                <w:szCs w:val="20"/>
                <w:color w:val="auto"/>
              </w:rPr>
            </w:pPr>
            <w:r>
              <w:rPr>
                <w:rFonts w:ascii="Georgia" w:cs="Georgia" w:eastAsia="Georgia" w:hAnsi="Georgia"/>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28,742,102</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1,389,316</w:t>
            </w:r>
          </w:p>
        </w:tc>
        <w:tc>
          <w:tcPr>
            <w:tcW w:w="3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14,768,202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spacing w:after="0" w:line="187" w:lineRule="exact"/>
              <w:rPr>
                <w:sz w:val="20"/>
                <w:szCs w:val="20"/>
                <w:color w:val="auto"/>
              </w:rPr>
            </w:pPr>
            <w:r>
              <w:rPr>
                <w:rFonts w:ascii="Georgia" w:cs="Georgia" w:eastAsia="Georgia" w:hAnsi="Georgia"/>
                <w:sz w:val="18"/>
                <w:szCs w:val="18"/>
                <w:b w:val="1"/>
                <w:bCs w:val="1"/>
                <w:color w:val="auto"/>
              </w:rPr>
              <w:t>Net (decrease) increase in cash and cash equivalents</w:t>
            </w:r>
          </w:p>
        </w:tc>
        <w:tc>
          <w:tcPr>
            <w:tcW w:w="320" w:type="dxa"/>
            <w:vAlign w:val="bottom"/>
          </w:tcPr>
          <w:p>
            <w:pPr>
              <w:spacing w:after="0" w:line="190" w:lineRule="exact"/>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line="190" w:lineRule="exact"/>
              <w:rPr>
                <w:sz w:val="20"/>
                <w:szCs w:val="20"/>
                <w:color w:val="auto"/>
              </w:rPr>
            </w:pPr>
            <w:r>
              <w:rPr>
                <w:rFonts w:ascii="Georgia" w:cs="Georgia" w:eastAsia="Georgia" w:hAnsi="Georgia"/>
                <w:sz w:val="18"/>
                <w:szCs w:val="18"/>
                <w:color w:val="auto"/>
              </w:rPr>
              <w:t>21,774,919</w:t>
            </w:r>
          </w:p>
        </w:tc>
        <w:tc>
          <w:tcPr>
            <w:tcW w:w="340" w:type="dxa"/>
            <w:vAlign w:val="bottom"/>
          </w:tcPr>
          <w:p>
            <w:pPr>
              <w:spacing w:after="0"/>
              <w:rPr>
                <w:sz w:val="16"/>
                <w:szCs w:val="16"/>
                <w:color w:val="auto"/>
              </w:rPr>
            </w:pPr>
          </w:p>
        </w:tc>
        <w:tc>
          <w:tcPr>
            <w:tcW w:w="200" w:type="dxa"/>
            <w:vAlign w:val="bottom"/>
          </w:tcPr>
          <w:p>
            <w:pPr>
              <w:spacing w:after="0" w:line="190" w:lineRule="exact"/>
              <w:rPr>
                <w:sz w:val="20"/>
                <w:szCs w:val="20"/>
                <w:color w:val="auto"/>
              </w:rPr>
            </w:pPr>
            <w:r>
              <w:rPr>
                <w:rFonts w:ascii="Georgia" w:cs="Georgia" w:eastAsia="Georgia" w:hAnsi="Georgia"/>
                <w:sz w:val="18"/>
                <w:szCs w:val="18"/>
                <w:color w:val="auto"/>
              </w:rPr>
              <w:t>€</w:t>
            </w:r>
          </w:p>
        </w:tc>
        <w:tc>
          <w:tcPr>
            <w:tcW w:w="1240" w:type="dxa"/>
            <w:vAlign w:val="bottom"/>
          </w:tcPr>
          <w:p>
            <w:pPr>
              <w:jc w:val="right"/>
              <w:spacing w:after="0" w:line="190" w:lineRule="exact"/>
              <w:rPr>
                <w:sz w:val="20"/>
                <w:szCs w:val="20"/>
                <w:color w:val="auto"/>
              </w:rPr>
            </w:pPr>
            <w:r>
              <w:rPr>
                <w:rFonts w:ascii="Georgia" w:cs="Georgia" w:eastAsia="Georgia" w:hAnsi="Georgia"/>
                <w:sz w:val="18"/>
                <w:szCs w:val="18"/>
                <w:color w:val="auto"/>
              </w:rPr>
              <w:t>(4,676,136)</w:t>
            </w:r>
          </w:p>
        </w:tc>
        <w:tc>
          <w:tcPr>
            <w:tcW w:w="340" w:type="dxa"/>
            <w:vAlign w:val="bottom"/>
          </w:tcPr>
          <w:p>
            <w:pPr>
              <w:spacing w:after="0"/>
              <w:rPr>
                <w:sz w:val="16"/>
                <w:szCs w:val="16"/>
                <w:color w:val="auto"/>
              </w:rPr>
            </w:pPr>
          </w:p>
        </w:tc>
        <w:tc>
          <w:tcPr>
            <w:tcW w:w="480" w:type="dxa"/>
            <w:vAlign w:val="bottom"/>
          </w:tcPr>
          <w:p>
            <w:pPr>
              <w:spacing w:after="0" w:line="190" w:lineRule="exact"/>
              <w:rPr>
                <w:sz w:val="20"/>
                <w:szCs w:val="20"/>
                <w:color w:val="auto"/>
              </w:rPr>
            </w:pPr>
            <w:r>
              <w:rPr>
                <w:rFonts w:ascii="Georgia" w:cs="Georgia" w:eastAsia="Georgia" w:hAnsi="Georgia"/>
                <w:sz w:val="18"/>
                <w:szCs w:val="18"/>
                <w:color w:val="auto"/>
              </w:rPr>
              <w:t>€</w:t>
            </w:r>
          </w:p>
        </w:tc>
        <w:tc>
          <w:tcPr>
            <w:tcW w:w="980" w:type="dxa"/>
            <w:vAlign w:val="bottom"/>
          </w:tcPr>
          <w:p>
            <w:pPr>
              <w:jc w:val="right"/>
              <w:spacing w:after="0" w:line="190" w:lineRule="exact"/>
              <w:rPr>
                <w:sz w:val="20"/>
                <w:szCs w:val="20"/>
                <w:color w:val="auto"/>
              </w:rPr>
            </w:pPr>
            <w:r>
              <w:rPr>
                <w:rFonts w:ascii="Georgia" w:cs="Georgia" w:eastAsia="Georgia" w:hAnsi="Georgia"/>
                <w:sz w:val="18"/>
                <w:szCs w:val="18"/>
                <w:color w:val="auto"/>
              </w:rPr>
              <w:t>12,278,015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80" w:type="dxa"/>
            <w:vAlign w:val="bottom"/>
            <w:gridSpan w:val="2"/>
            <w:shd w:val="clear" w:color="auto" w:fill="CCEEFF"/>
          </w:tcPr>
          <w:p>
            <w:pPr>
              <w:spacing w:after="0" w:line="203" w:lineRule="exact"/>
              <w:rPr>
                <w:sz w:val="20"/>
                <w:szCs w:val="20"/>
                <w:color w:val="auto"/>
              </w:rPr>
            </w:pPr>
            <w:r>
              <w:rPr>
                <w:rFonts w:ascii="Georgia" w:cs="Georgia" w:eastAsia="Georgia" w:hAnsi="Georgia"/>
                <w:sz w:val="18"/>
                <w:szCs w:val="18"/>
                <w:color w:val="auto"/>
              </w:rPr>
              <w:t>Cash and cash equivalents at beginning of year</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50"/>
              <w:spacing w:after="0"/>
              <w:rPr>
                <w:sz w:val="20"/>
                <w:szCs w:val="20"/>
                <w:color w:val="auto"/>
              </w:rPr>
            </w:pPr>
            <w:r>
              <w:rPr>
                <w:rFonts w:ascii="Georgia" w:cs="Georgia" w:eastAsia="Georgia" w:hAnsi="Georgia"/>
                <w:sz w:val="18"/>
                <w:szCs w:val="18"/>
                <w:color w:val="auto"/>
              </w:rPr>
              <w:t>15,465,243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30"/>
              <w:spacing w:after="0"/>
              <w:rPr>
                <w:sz w:val="20"/>
                <w:szCs w:val="20"/>
                <w:color w:val="auto"/>
              </w:rPr>
            </w:pPr>
            <w:r>
              <w:rPr>
                <w:rFonts w:ascii="Georgia" w:cs="Georgia" w:eastAsia="Georgia" w:hAnsi="Georgia"/>
                <w:sz w:val="18"/>
                <w:szCs w:val="18"/>
                <w:color w:val="auto"/>
              </w:rPr>
              <w:t>20,141,379</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Georgia" w:cs="Georgia" w:eastAsia="Georgia" w:hAnsi="Georgia"/>
                <w:sz w:val="18"/>
                <w:szCs w:val="18"/>
                <w:color w:val="auto"/>
              </w:rPr>
              <w:t>7,863,364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gridSpan w:val="2"/>
            <w:vMerge w:val="restart"/>
          </w:tcPr>
          <w:p>
            <w:pPr>
              <w:spacing w:after="0" w:line="203" w:lineRule="exact"/>
              <w:rPr>
                <w:sz w:val="20"/>
                <w:szCs w:val="20"/>
                <w:color w:val="auto"/>
              </w:rPr>
            </w:pPr>
            <w:r>
              <w:rPr>
                <w:rFonts w:ascii="Georgia" w:cs="Georgia" w:eastAsia="Georgia" w:hAnsi="Georgia"/>
                <w:sz w:val="18"/>
                <w:szCs w:val="18"/>
                <w:b w:val="1"/>
                <w:bCs w:val="1"/>
                <w:color w:val="auto"/>
              </w:rPr>
              <w:t>Cash and cash equivalents at end of year</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vMerge w:val="continue"/>
          </w:tcPr>
          <w:p>
            <w:pPr>
              <w:spacing w:after="0"/>
              <w:rPr>
                <w:sz w:val="17"/>
                <w:szCs w:val="17"/>
                <w:color w:val="auto"/>
              </w:rPr>
            </w:pPr>
          </w:p>
        </w:tc>
        <w:tc>
          <w:tcPr>
            <w:tcW w:w="32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500" w:type="dxa"/>
            <w:vAlign w:val="bottom"/>
            <w:gridSpan w:val="2"/>
          </w:tcPr>
          <w:p>
            <w:pPr>
              <w:jc w:val="right"/>
              <w:ind w:right="250"/>
              <w:spacing w:after="0" w:line="203" w:lineRule="exact"/>
              <w:rPr>
                <w:sz w:val="20"/>
                <w:szCs w:val="20"/>
                <w:color w:val="auto"/>
              </w:rPr>
            </w:pPr>
            <w:r>
              <w:rPr>
                <w:rFonts w:ascii="Georgia" w:cs="Georgia" w:eastAsia="Georgia" w:hAnsi="Georgia"/>
                <w:sz w:val="18"/>
                <w:szCs w:val="18"/>
                <w:color w:val="auto"/>
              </w:rPr>
              <w:t>37,240,162</w:t>
            </w:r>
          </w:p>
        </w:tc>
        <w:tc>
          <w:tcPr>
            <w:tcW w:w="2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580" w:type="dxa"/>
            <w:vAlign w:val="bottom"/>
            <w:gridSpan w:val="2"/>
          </w:tcPr>
          <w:p>
            <w:pPr>
              <w:jc w:val="right"/>
              <w:ind w:right="230"/>
              <w:spacing w:after="0" w:line="203" w:lineRule="exact"/>
              <w:rPr>
                <w:sz w:val="20"/>
                <w:szCs w:val="20"/>
                <w:color w:val="auto"/>
              </w:rPr>
            </w:pPr>
            <w:r>
              <w:rPr>
                <w:rFonts w:ascii="Georgia" w:cs="Georgia" w:eastAsia="Georgia" w:hAnsi="Georgia"/>
                <w:sz w:val="18"/>
                <w:szCs w:val="18"/>
                <w:color w:val="auto"/>
              </w:rPr>
              <w:t>15,465,243</w:t>
            </w:r>
          </w:p>
        </w:tc>
        <w:tc>
          <w:tcPr>
            <w:tcW w:w="48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000" w:type="dxa"/>
            <w:vAlign w:val="bottom"/>
            <w:gridSpan w:val="2"/>
          </w:tcPr>
          <w:p>
            <w:pPr>
              <w:jc w:val="right"/>
              <w:ind w:right="20"/>
              <w:spacing w:after="0" w:line="203" w:lineRule="exact"/>
              <w:rPr>
                <w:sz w:val="20"/>
                <w:szCs w:val="20"/>
                <w:color w:val="auto"/>
              </w:rPr>
            </w:pPr>
            <w:r>
              <w:rPr>
                <w:rFonts w:ascii="Georgia" w:cs="Georgia" w:eastAsia="Georgia" w:hAnsi="Georgia"/>
                <w:sz w:val="18"/>
                <w:szCs w:val="18"/>
                <w:color w:val="auto"/>
              </w:rPr>
              <w:t>20,141,379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Operating Activities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During the year ended December 31, 2021, operating activities used approximately €7.0 million of cash and cash equivalents, resulting from our net loss of approximately €5.5 million and by cash used for changes in our operating assets and liabilities of approximately €1.9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share-based compensation expense and a de minimis amount of depreciation and retirement benefit obligation expense.</w:t>
      </w:r>
    </w:p>
    <w:p>
      <w:pPr>
        <w:spacing w:after="0" w:line="20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share-based compensation expense and a de minimiMs amount of depreciation and retirement benefit obligation expense.</w:t>
      </w:r>
    </w:p>
    <w:p>
      <w:pPr>
        <w:spacing w:after="0" w:line="206"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OSR - San Raffaele Hospital and the related clinical manufacturers. The non-cash charges relate primarily to approximately €0.7 million of share-based compensation expense.</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Financing Activities</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During the year ended December 31, 2021, net cash provided by financing activities was approximately €28.7 million, primarily consisting of net cash proceeds from our IPO.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ind w:right="160"/>
        <w:spacing w:after="0" w:line="237" w:lineRule="auto"/>
        <w:rPr>
          <w:sz w:val="20"/>
          <w:szCs w:val="20"/>
          <w:color w:val="auto"/>
        </w:rPr>
      </w:pPr>
      <w:r>
        <w:rPr>
          <w:rFonts w:ascii="Georgia" w:cs="Georgia" w:eastAsia="Georgia" w:hAnsi="Georgia"/>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204"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Current Outlook</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To date, we have not generated revenue and do not expect to generate significant revenues from the sale of any product candidate in the near future.</w:t>
      </w: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As of December 31, 2021, our cash and cash equivalents were approximately €37.2 million. Our primary cash obligations relate to payments to OSR pursuant to the license agreement and other providers of clinical trial related services.</w:t>
      </w:r>
    </w:p>
    <w:p>
      <w:pPr>
        <w:spacing w:after="0" w:line="204" w:lineRule="exact"/>
        <w:rPr>
          <w:sz w:val="20"/>
          <w:szCs w:val="20"/>
          <w:color w:val="auto"/>
        </w:rPr>
      </w:pPr>
    </w:p>
    <w:p>
      <w:pPr>
        <w:jc w:val="both"/>
        <w:ind w:right="200"/>
        <w:spacing w:after="0" w:line="237" w:lineRule="auto"/>
        <w:rPr>
          <w:sz w:val="20"/>
          <w:szCs w:val="20"/>
          <w:color w:val="auto"/>
        </w:rPr>
      </w:pPr>
      <w:r>
        <w:rPr>
          <w:rFonts w:ascii="Georgia" w:cs="Georgia" w:eastAsia="Georgia" w:hAnsi="Georgia"/>
          <w:sz w:val="18"/>
          <w:szCs w:val="18"/>
          <w:color w:val="auto"/>
        </w:rPr>
        <w:t>Based on our planned use of the net proceeds from our IPO and our existing cash, we estimate that such funds will be sufficient to fund our operations and capital expenditure requirements through 2024. We have based this estimate on assumptions that may prove to be wrong, and we could use our available capital resources sooner than we currently expect.</w:t>
      </w:r>
    </w:p>
    <w:p>
      <w:pPr>
        <w:spacing w:after="0" w:line="204" w:lineRule="exact"/>
        <w:rPr>
          <w:sz w:val="20"/>
          <w:szCs w:val="20"/>
          <w:color w:val="auto"/>
        </w:rPr>
      </w:pPr>
    </w:p>
    <w:p>
      <w:pPr>
        <w:ind w:right="560"/>
        <w:spacing w:after="0" w:line="237" w:lineRule="auto"/>
        <w:rPr>
          <w:sz w:val="20"/>
          <w:szCs w:val="20"/>
          <w:color w:val="auto"/>
        </w:rPr>
      </w:pPr>
      <w:r>
        <w:rPr>
          <w:rFonts w:ascii="Georgia" w:cs="Georgia" w:eastAsia="Georgia" w:hAnsi="Georgia"/>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202" w:lineRule="exact"/>
        <w:rPr>
          <w:sz w:val="20"/>
          <w:szCs w:val="20"/>
          <w:color w:val="auto"/>
        </w:rPr>
      </w:pPr>
    </w:p>
    <w:p>
      <w:pPr>
        <w:ind w:left="1060" w:hanging="404"/>
        <w:spacing w:after="0"/>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length of the COVID-19 pandemic and its impact on our planned clinical trials, operations and financial condition;</w:t>
      </w:r>
    </w:p>
    <w:p>
      <w:pPr>
        <w:spacing w:after="0" w:line="200" w:lineRule="exact"/>
        <w:rPr>
          <w:rFonts w:ascii="Georgia" w:cs="Georgia" w:eastAsia="Georgia" w:hAnsi="Georgia"/>
          <w:sz w:val="18"/>
          <w:szCs w:val="18"/>
          <w:color w:val="auto"/>
        </w:rPr>
      </w:pPr>
    </w:p>
    <w:p>
      <w:pPr>
        <w:ind w:left="1060" w:hanging="404"/>
        <w:spacing w:after="0"/>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progress and costs of our preclinical studies, clinical trials and other research and development activities;</w:t>
      </w:r>
    </w:p>
    <w:p>
      <w:pPr>
        <w:spacing w:after="0" w:line="200" w:lineRule="exact"/>
        <w:rPr>
          <w:rFonts w:ascii="Georgia" w:cs="Georgia" w:eastAsia="Georgia" w:hAnsi="Georgia"/>
          <w:sz w:val="18"/>
          <w:szCs w:val="18"/>
          <w:color w:val="auto"/>
        </w:rPr>
      </w:pPr>
    </w:p>
    <w:p>
      <w:pPr>
        <w:ind w:left="1060" w:hanging="404"/>
        <w:spacing w:after="0"/>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scope, prioritization and number of our clinical trials and other research and development programs;</w:t>
      </w:r>
    </w:p>
    <w:p>
      <w:pPr>
        <w:spacing w:after="0" w:line="199" w:lineRule="exact"/>
        <w:rPr>
          <w:rFonts w:ascii="Georgia" w:cs="Georgia" w:eastAsia="Georgia" w:hAnsi="Georgia"/>
          <w:sz w:val="18"/>
          <w:szCs w:val="18"/>
          <w:color w:val="auto"/>
        </w:rPr>
      </w:pPr>
    </w:p>
    <w:p>
      <w:pPr>
        <w:ind w:left="1060" w:hanging="404"/>
        <w:spacing w:after="0"/>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any cost that we may incur under in- and out-licensing arrangements relating to our product candidate that we may enter into</w:t>
      </w:r>
    </w:p>
    <w:p>
      <w:pPr>
        <w:spacing w:after="0" w:line="238" w:lineRule="auto"/>
        <w:rPr>
          <w:rFonts w:ascii="Georgia" w:cs="Georgia" w:eastAsia="Georgia" w:hAnsi="Georgia"/>
          <w:sz w:val="18"/>
          <w:szCs w:val="18"/>
          <w:color w:val="auto"/>
        </w:rPr>
      </w:pPr>
      <w:r>
        <w:rPr>
          <w:rFonts w:ascii="Georgia" w:cs="Georgia" w:eastAsia="Georgia" w:hAnsi="Georgia"/>
          <w:sz w:val="18"/>
          <w:szCs w:val="18"/>
          <w:color w:val="auto"/>
        </w:rPr>
        <w:t>in the future;</w:t>
      </w:r>
    </w:p>
    <w:p>
      <w:pPr>
        <w:spacing w:after="0" w:line="200" w:lineRule="exact"/>
        <w:rPr>
          <w:rFonts w:ascii="Georgia" w:cs="Georgia" w:eastAsia="Georgia" w:hAnsi="Georgia"/>
          <w:sz w:val="18"/>
          <w:szCs w:val="18"/>
          <w:color w:val="auto"/>
        </w:rPr>
      </w:pPr>
    </w:p>
    <w:p>
      <w:pPr>
        <w:ind w:left="1060" w:hanging="404"/>
        <w:spacing w:after="0"/>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costs and timing of obtaining regulatory approval for our product candidates;</w:t>
      </w:r>
    </w:p>
    <w:p>
      <w:pPr>
        <w:spacing w:after="0" w:line="200" w:lineRule="exact"/>
        <w:rPr>
          <w:rFonts w:ascii="Georgia" w:cs="Georgia" w:eastAsia="Georgia" w:hAnsi="Georgia"/>
          <w:sz w:val="18"/>
          <w:szCs w:val="18"/>
          <w:color w:val="auto"/>
        </w:rPr>
      </w:pPr>
    </w:p>
    <w:p>
      <w:pPr>
        <w:ind w:left="1060" w:hanging="404"/>
        <w:spacing w:after="0"/>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costs of filing, prosecuting, enforcing and defending patent claims and other intellectual property rights;</w:t>
      </w:r>
    </w:p>
    <w:p>
      <w:pPr>
        <w:spacing w:after="0" w:line="201" w:lineRule="exact"/>
        <w:rPr>
          <w:rFonts w:ascii="Georgia" w:cs="Georgia" w:eastAsia="Georgia" w:hAnsi="Georgia"/>
          <w:sz w:val="18"/>
          <w:szCs w:val="18"/>
          <w:color w:val="auto"/>
        </w:rPr>
      </w:pPr>
    </w:p>
    <w:p>
      <w:pPr>
        <w:ind w:right="200" w:firstLine="656"/>
        <w:spacing w:after="0" w:line="237" w:lineRule="auto"/>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203" w:lineRule="exact"/>
        <w:rPr>
          <w:rFonts w:ascii="Georgia" w:cs="Georgia" w:eastAsia="Georgia" w:hAnsi="Georgia"/>
          <w:sz w:val="18"/>
          <w:szCs w:val="18"/>
          <w:color w:val="auto"/>
        </w:rPr>
      </w:pPr>
    </w:p>
    <w:p>
      <w:pPr>
        <w:ind w:right="320" w:firstLine="656"/>
        <w:spacing w:after="0" w:line="237" w:lineRule="auto"/>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potential costs of contracting with third parties to provide marketing and distribution services for us or for building such capacities internally; and</w:t>
      </w:r>
    </w:p>
    <w:p>
      <w:pPr>
        <w:spacing w:after="0" w:line="203" w:lineRule="exact"/>
        <w:rPr>
          <w:rFonts w:ascii="Georgia" w:cs="Georgia" w:eastAsia="Georgia" w:hAnsi="Georgia"/>
          <w:sz w:val="18"/>
          <w:szCs w:val="18"/>
          <w:color w:val="auto"/>
        </w:rPr>
      </w:pPr>
    </w:p>
    <w:p>
      <w:pPr>
        <w:ind w:right="780" w:firstLine="656"/>
        <w:spacing w:after="0" w:line="237" w:lineRule="auto"/>
        <w:tabs>
          <w:tab w:leader="none" w:pos="1060" w:val="left"/>
        </w:tabs>
        <w:numPr>
          <w:ilvl w:val="0"/>
          <w:numId w:val="79"/>
        </w:numPr>
        <w:rPr>
          <w:rFonts w:ascii="Georgia" w:cs="Georgia" w:eastAsia="Georgia" w:hAnsi="Georgia"/>
          <w:sz w:val="18"/>
          <w:szCs w:val="18"/>
          <w:color w:val="auto"/>
        </w:rPr>
      </w:pPr>
      <w:r>
        <w:rPr>
          <w:rFonts w:ascii="Georgia" w:cs="Georgia" w:eastAsia="Georgia" w:hAnsi="Georgia"/>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204"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Until we can generate significant revenues, if ever, we expect to satisfy our future cash needs through our existing cash, cash equivalents and short-term deposits.</w:t>
      </w:r>
    </w:p>
    <w:p>
      <w:pPr>
        <w:spacing w:after="0" w:line="204" w:lineRule="exact"/>
        <w:rPr>
          <w:sz w:val="20"/>
          <w:szCs w:val="20"/>
          <w:color w:val="auto"/>
        </w:rPr>
      </w:pPr>
    </w:p>
    <w:p>
      <w:pPr>
        <w:ind w:right="300"/>
        <w:spacing w:after="0" w:line="237" w:lineRule="auto"/>
        <w:rPr>
          <w:sz w:val="20"/>
          <w:szCs w:val="20"/>
          <w:color w:val="auto"/>
        </w:rPr>
      </w:pPr>
      <w:r>
        <w:rPr>
          <w:rFonts w:ascii="Georgia" w:cs="Georgia" w:eastAsia="Georgia" w:hAnsi="Georgia"/>
          <w:sz w:val="18"/>
          <w:szCs w:val="18"/>
          <w:color w:val="auto"/>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204" w:lineRule="exact"/>
        <w:rPr>
          <w:sz w:val="20"/>
          <w:szCs w:val="20"/>
          <w:color w:val="auto"/>
        </w:rPr>
      </w:pPr>
    </w:p>
    <w:p>
      <w:pPr>
        <w:jc w:val="both"/>
        <w:ind w:right="100"/>
        <w:spacing w:after="0" w:line="237" w:lineRule="auto"/>
        <w:rPr>
          <w:sz w:val="20"/>
          <w:szCs w:val="20"/>
          <w:color w:val="auto"/>
        </w:rPr>
      </w:pPr>
      <w:r>
        <w:rPr>
          <w:rFonts w:ascii="Georgia" w:cs="Georgia" w:eastAsia="Georgia" w:hAnsi="Georgia"/>
          <w:sz w:val="18"/>
          <w:szCs w:val="18"/>
          <w:color w:val="auto"/>
        </w:rPr>
        <w:t>This expected use of cash and cash equivalents represents our intentions based upon our current plans and business conditions, which could change in the future as our plans and business conditions evolve. We may also use a portion of the available cash and cash equivalents to in-license, acquire, or invest in additional businesses, technologies, products, or assets.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Critical Accounting Policies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6" w:lineRule="exact"/>
        <w:rPr>
          <w:sz w:val="20"/>
          <w:szCs w:val="20"/>
          <w:color w:val="auto"/>
        </w:rPr>
      </w:pPr>
    </w:p>
    <w:p>
      <w:pPr>
        <w:ind w:right="760"/>
        <w:spacing w:after="0" w:line="237" w:lineRule="auto"/>
        <w:rPr>
          <w:sz w:val="20"/>
          <w:szCs w:val="20"/>
          <w:color w:val="auto"/>
        </w:rPr>
      </w:pPr>
      <w:r>
        <w:rPr>
          <w:rFonts w:ascii="Georgia" w:cs="Georgia" w:eastAsia="Georgia" w:hAnsi="Georgia"/>
          <w:sz w:val="18"/>
          <w:szCs w:val="18"/>
          <w:color w:val="auto"/>
        </w:rPr>
        <w:t>We believe that the accounting policies described below are critical in order to understand the judgements and estimates used in the consolidated financial statements and to fully understand and evaluate our financial condition and results of operations.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14" w:name="page115"/>
    <w:bookmarkEnd w:id="114"/>
    <w:p>
      <w:pPr>
        <w:spacing w:after="0"/>
        <w:rPr>
          <w:sz w:val="20"/>
          <w:szCs w:val="20"/>
          <w:color w:val="auto"/>
        </w:rPr>
      </w:pPr>
      <w:r>
        <w:rPr>
          <w:rFonts w:ascii="Georgia" w:cs="Georgia" w:eastAsia="Georgia" w:hAnsi="Georgia"/>
          <w:sz w:val="18"/>
          <w:szCs w:val="18"/>
          <w:b w:val="1"/>
          <w:bCs w:val="1"/>
          <w:i w:val="1"/>
          <w:iCs w:val="1"/>
          <w:color w:val="auto"/>
        </w:rPr>
        <w:t>Accrued Research and Development Expenses</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207" w:lineRule="exact"/>
        <w:rPr>
          <w:sz w:val="20"/>
          <w:szCs w:val="20"/>
          <w:color w:val="auto"/>
        </w:rPr>
      </w:pPr>
    </w:p>
    <w:p>
      <w:pPr>
        <w:ind w:left="660" w:right="720" w:hanging="328"/>
        <w:spacing w:after="0" w:line="237" w:lineRule="auto"/>
        <w:tabs>
          <w:tab w:leader="none" w:pos="660" w:val="left"/>
        </w:tabs>
        <w:numPr>
          <w:ilvl w:val="0"/>
          <w:numId w:val="80"/>
        </w:numPr>
        <w:rPr>
          <w:rFonts w:ascii="Georgia" w:cs="Georgia" w:eastAsia="Georgia" w:hAnsi="Georgia"/>
          <w:sz w:val="18"/>
          <w:szCs w:val="18"/>
          <w:color w:val="auto"/>
        </w:rPr>
      </w:pPr>
      <w:r>
        <w:rPr>
          <w:rFonts w:ascii="Georgia" w:cs="Georgia" w:eastAsia="Georgia" w:hAnsi="Georgia"/>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80"/>
        </w:numPr>
        <w:rPr>
          <w:rFonts w:ascii="Georgia" w:cs="Georgia" w:eastAsia="Georgia" w:hAnsi="Georgia"/>
          <w:sz w:val="18"/>
          <w:szCs w:val="18"/>
          <w:color w:val="auto"/>
        </w:rPr>
      </w:pPr>
      <w:r>
        <w:rPr>
          <w:rFonts w:ascii="Georgia" w:cs="Georgia" w:eastAsia="Georgia" w:hAnsi="Georgia"/>
          <w:sz w:val="18"/>
          <w:szCs w:val="18"/>
          <w:color w:val="auto"/>
        </w:rPr>
        <w:t>CROs and investigative sites in connection with preclinical and clinical studies;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80"/>
        </w:numPr>
        <w:rPr>
          <w:rFonts w:ascii="Georgia" w:cs="Georgia" w:eastAsia="Georgia" w:hAnsi="Georgia"/>
          <w:sz w:val="18"/>
          <w:szCs w:val="18"/>
          <w:color w:val="auto"/>
        </w:rPr>
      </w:pPr>
      <w:r>
        <w:rPr>
          <w:rFonts w:ascii="Georgia" w:cs="Georgia" w:eastAsia="Georgia" w:hAnsi="Georgia"/>
          <w:sz w:val="18"/>
          <w:szCs w:val="18"/>
          <w:color w:val="auto"/>
        </w:rPr>
        <w:t>CMOs in connection with drug substance and drug product formulation of preclinical and clinical trial materials.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Share-based compensation</w:t>
      </w:r>
    </w:p>
    <w:p>
      <w:pPr>
        <w:spacing w:after="0" w:line="202" w:lineRule="exact"/>
        <w:rPr>
          <w:sz w:val="20"/>
          <w:szCs w:val="20"/>
          <w:color w:val="auto"/>
        </w:rPr>
      </w:pPr>
    </w:p>
    <w:p>
      <w:pPr>
        <w:spacing w:after="0" w:line="257" w:lineRule="auto"/>
        <w:rPr>
          <w:sz w:val="20"/>
          <w:szCs w:val="20"/>
          <w:color w:val="auto"/>
        </w:rPr>
      </w:pPr>
      <w:r>
        <w:rPr>
          <w:rFonts w:ascii="Georgia" w:cs="Georgia" w:eastAsia="Georgia" w:hAnsi="Georgia"/>
          <w:sz w:val="17"/>
          <w:szCs w:val="17"/>
          <w:color w:val="auto"/>
        </w:rPr>
        <w:t>The Board has implemented new stock option plan (the Company’s “2021–2025 Equity Incentive Plan”) based on a maximum of 2.7 million of new ordinary shares (i.e., common stock) or 10% of the number of shares outstanding after the IPO (approximately 1.8 million). The new stock option plan is administered by the Board of Directors, in consultation with the Compensation, Nomination and Governance Committee.</w:t>
      </w:r>
    </w:p>
    <w:p>
      <w:pPr>
        <w:spacing w:after="0" w:line="189" w:lineRule="exact"/>
        <w:rPr>
          <w:sz w:val="20"/>
          <w:szCs w:val="20"/>
          <w:color w:val="auto"/>
        </w:rPr>
      </w:pPr>
    </w:p>
    <w:p>
      <w:pPr>
        <w:ind w:right="520"/>
        <w:spacing w:after="0" w:line="237" w:lineRule="auto"/>
        <w:rPr>
          <w:sz w:val="20"/>
          <w:szCs w:val="20"/>
          <w:color w:val="auto"/>
        </w:rPr>
      </w:pPr>
      <w:r>
        <w:rPr>
          <w:rFonts w:ascii="Georgia" w:cs="Georgia" w:eastAsia="Georgia" w:hAnsi="Georgia"/>
          <w:sz w:val="18"/>
          <w:szCs w:val="18"/>
          <w:color w:val="auto"/>
        </w:rPr>
        <w:t>On May 20, 2021, our board of directors approved the general terms (e.g., regulation) of our 2021 – 2025 Equity Incentive Plan. Under Italian law, we do not need to obtain the approval of the specific terms of our equity incentive plans from our shareholders.</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205"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Research and development tax credit receivables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We account for our research and development tax credit receivable in accordance with IAS 20 </w:t>
      </w:r>
      <w:r>
        <w:rPr>
          <w:rFonts w:ascii="Georgia" w:cs="Georgia" w:eastAsia="Georgia" w:hAnsi="Georgia"/>
          <w:sz w:val="18"/>
          <w:szCs w:val="18"/>
          <w:i w:val="1"/>
          <w:iCs w:val="1"/>
          <w:color w:val="auto"/>
        </w:rPr>
        <w:t>Accounting for Government Grants and</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Disclosure of Government Assistance</w:t>
      </w:r>
      <w:r>
        <w:rPr>
          <w:rFonts w:ascii="Georgia" w:cs="Georgia" w:eastAsia="Georgia" w:hAnsi="Georgia"/>
          <w:sz w:val="18"/>
          <w:szCs w:val="18"/>
          <w:color w:val="auto"/>
        </w:rPr>
        <w:t>. The receivable is recognized when there is reasonable assurance that: (1) the recipient will comply with</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the relevant conditions and (2) the grant will be received. We elected to present the credit net of the related expenditure on the statements of operations and comprehensive loss. 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15" w:name="page116"/>
    <w:bookmarkEnd w:id="115"/>
    <w:p>
      <w:pPr>
        <w:spacing w:after="0"/>
        <w:rPr>
          <w:sz w:val="20"/>
          <w:szCs w:val="20"/>
          <w:color w:val="auto"/>
        </w:rPr>
      </w:pPr>
      <w:r>
        <w:rPr>
          <w:rFonts w:ascii="Georgia" w:cs="Georgia" w:eastAsia="Georgia" w:hAnsi="Georgia"/>
          <w:sz w:val="18"/>
          <w:szCs w:val="18"/>
          <w:b w:val="1"/>
          <w:bCs w:val="1"/>
          <w:i w:val="1"/>
          <w:iCs w:val="1"/>
          <w:color w:val="auto"/>
        </w:rPr>
        <w:t>Emerging Growth Company Status</w:t>
      </w:r>
    </w:p>
    <w:p>
      <w:pPr>
        <w:spacing w:after="0" w:line="202" w:lineRule="exact"/>
        <w:rPr>
          <w:sz w:val="20"/>
          <w:szCs w:val="20"/>
          <w:color w:val="auto"/>
        </w:rPr>
      </w:pPr>
    </w:p>
    <w:p>
      <w:pPr>
        <w:ind w:right="280"/>
        <w:spacing w:after="0" w:line="237" w:lineRule="auto"/>
        <w:rPr>
          <w:sz w:val="20"/>
          <w:szCs w:val="20"/>
          <w:color w:val="auto"/>
        </w:rPr>
      </w:pPr>
      <w:r>
        <w:rPr>
          <w:rFonts w:ascii="Georgia" w:cs="Georgia" w:eastAsia="Georgia" w:hAnsi="Georgia"/>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Off-Balance Sheet Arrangements</w:t>
      </w:r>
    </w:p>
    <w:p>
      <w:pPr>
        <w:spacing w:after="0" w:line="202" w:lineRule="exact"/>
        <w:rPr>
          <w:sz w:val="20"/>
          <w:szCs w:val="20"/>
          <w:color w:val="auto"/>
        </w:rPr>
      </w:pPr>
    </w:p>
    <w:p>
      <w:pPr>
        <w:ind w:right="540"/>
        <w:spacing w:after="0" w:line="237" w:lineRule="auto"/>
        <w:rPr>
          <w:sz w:val="20"/>
          <w:szCs w:val="20"/>
          <w:color w:val="auto"/>
        </w:rPr>
      </w:pPr>
      <w:r>
        <w:rPr>
          <w:rFonts w:ascii="Georgia" w:cs="Georgia" w:eastAsia="Georgia" w:hAnsi="Georgia"/>
          <w:sz w:val="18"/>
          <w:szCs w:val="18"/>
          <w:color w:val="auto"/>
        </w:rPr>
        <w:t>We have not engaged in any off-balance sheet arrangements, such as the use of unconsolidated subsidiaries, structured finance, special purpose entities or variable interest entities.</w:t>
      </w:r>
    </w:p>
    <w:p>
      <w:pPr>
        <w:spacing w:after="0" w:line="204"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Quantitative and Qualitative Disclosure About Market Risk</w:t>
      </w:r>
    </w:p>
    <w:p>
      <w:pPr>
        <w:spacing w:after="0" w:line="202"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Foreign Currency Exchange Risk</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205" w:lineRule="exact"/>
        <w:rPr>
          <w:sz w:val="20"/>
          <w:szCs w:val="20"/>
          <w:color w:val="auto"/>
        </w:rPr>
      </w:pPr>
    </w:p>
    <w:p>
      <w:pPr>
        <w:jc w:val="both"/>
        <w:ind w:right="240"/>
        <w:spacing w:after="0" w:line="237" w:lineRule="auto"/>
        <w:rPr>
          <w:sz w:val="20"/>
          <w:szCs w:val="20"/>
          <w:color w:val="auto"/>
        </w:rPr>
      </w:pPr>
      <w:r>
        <w:rPr>
          <w:rFonts w:ascii="Georgia" w:cs="Georgia" w:eastAsia="Georgia" w:hAnsi="Georgia"/>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Lock-Up Agreements</w:t>
      </w:r>
    </w:p>
    <w:p>
      <w:pPr>
        <w:spacing w:after="0" w:line="202" w:lineRule="exact"/>
        <w:rPr>
          <w:sz w:val="20"/>
          <w:szCs w:val="20"/>
          <w:color w:val="auto"/>
        </w:rPr>
      </w:pPr>
    </w:p>
    <w:p>
      <w:pPr>
        <w:ind w:right="180" w:firstLine="648"/>
        <w:spacing w:after="0" w:line="237" w:lineRule="auto"/>
        <w:rPr>
          <w:sz w:val="20"/>
          <w:szCs w:val="20"/>
          <w:color w:val="auto"/>
        </w:rPr>
      </w:pPr>
      <w:r>
        <w:rPr>
          <w:rFonts w:ascii="Georgia" w:cs="Georgia" w:eastAsia="Georgia" w:hAnsi="Georgia"/>
          <w:sz w:val="18"/>
          <w:szCs w:val="18"/>
          <w:color w:val="auto"/>
        </w:rPr>
        <w:t>The Company’s pre-IPO investors entered into a lock-up agreement and agreed with the underwriters not to offer, sell, contract to sell, pledge, grant any option to purchase, purchase any option or contract to sell, right or warrant to purchase, make any short sale, file a registration statement with respect to any ordinary shares or ADSs or any securities that are convertible into or exercisable or exchangeable for ordinary shares or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without the prior consent, for a period of 180 days from the IPO, i.e., December 15, 2021 The Company’s pre-IPO investors also agreed to cause affiliates to abide by the restrictions of the lock-up agreement</w:t>
      </w:r>
      <w:r>
        <w:rPr>
          <w:rFonts w:ascii="Georgia" w:cs="Georgia" w:eastAsia="Georgia" w:hAnsi="Georgia"/>
          <w:sz w:val="14"/>
          <w:szCs w:val="14"/>
          <w:color w:val="auto"/>
        </w:rPr>
        <w:t>.</w:t>
      </w:r>
    </w:p>
    <w:p>
      <w:pPr>
        <w:spacing w:after="0" w:line="207" w:lineRule="exact"/>
        <w:rPr>
          <w:sz w:val="20"/>
          <w:szCs w:val="20"/>
          <w:color w:val="auto"/>
        </w:rPr>
      </w:pPr>
    </w:p>
    <w:p>
      <w:pPr>
        <w:ind w:right="5140"/>
        <w:spacing w:after="0" w:line="473" w:lineRule="auto"/>
        <w:rPr>
          <w:sz w:val="20"/>
          <w:szCs w:val="20"/>
          <w:color w:val="auto"/>
        </w:rPr>
      </w:pPr>
      <w:r>
        <w:rPr>
          <w:rFonts w:ascii="Georgia" w:cs="Georgia" w:eastAsia="Georgia" w:hAnsi="Georgia"/>
          <w:sz w:val="18"/>
          <w:szCs w:val="18"/>
          <w:b w:val="1"/>
          <w:bCs w:val="1"/>
          <w:color w:val="auto"/>
        </w:rPr>
        <w:t>ITEM 6. DIRECTORS, SENIOR MANAGEMENT AND EMPLOYEES A. Directors and senior management</w:t>
      </w:r>
    </w:p>
    <w:p>
      <w:pPr>
        <w:spacing w:after="0" w:line="4" w:lineRule="exact"/>
        <w:rPr>
          <w:sz w:val="20"/>
          <w:szCs w:val="20"/>
          <w:color w:val="auto"/>
        </w:rPr>
      </w:pPr>
    </w:p>
    <w:p>
      <w:pPr>
        <w:jc w:val="both"/>
        <w:ind w:firstLine="648"/>
        <w:spacing w:after="0" w:line="237" w:lineRule="auto"/>
        <w:rPr>
          <w:sz w:val="20"/>
          <w:szCs w:val="20"/>
          <w:color w:val="auto"/>
        </w:rPr>
      </w:pPr>
      <w:r>
        <w:rPr>
          <w:rFonts w:ascii="Georgia" w:cs="Georgia" w:eastAsia="Georgia" w:hAnsi="Georgia"/>
          <w:sz w:val="18"/>
          <w:szCs w:val="18"/>
          <w:color w:val="auto"/>
        </w:rPr>
        <w:t>The following table sets forth the name, age as of April 26, 2022, and position of the individuals who serve as our directors and executive officers.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Georgia" w:cs="Georgia" w:eastAsia="Georgia" w:hAnsi="Georgia"/>
                <w:sz w:val="18"/>
                <w:szCs w:val="18"/>
                <w:b w:val="1"/>
                <w:bCs w:val="1"/>
                <w:color w:val="auto"/>
              </w:rPr>
              <w:t>Year elected or</w:t>
            </w:r>
          </w:p>
        </w:tc>
      </w:tr>
      <w:tr>
        <w:trPr>
          <w:trHeight w:val="213"/>
        </w:trPr>
        <w:tc>
          <w:tcPr>
            <w:tcW w:w="3840" w:type="dxa"/>
            <w:vAlign w:val="bottom"/>
            <w:gridSpan w:val="2"/>
          </w:tcPr>
          <w:p>
            <w:pPr>
              <w:spacing w:after="0" w:line="203" w:lineRule="exact"/>
              <w:rPr>
                <w:sz w:val="20"/>
                <w:szCs w:val="20"/>
                <w:color w:val="auto"/>
              </w:rPr>
            </w:pPr>
            <w:r>
              <w:rPr>
                <w:rFonts w:ascii="Georgia" w:cs="Georgia" w:eastAsia="Georgia" w:hAnsi="Georgia"/>
                <w:sz w:val="18"/>
                <w:szCs w:val="18"/>
                <w:b w:val="1"/>
                <w:bCs w:val="1"/>
                <w:color w:val="auto"/>
              </w:rPr>
              <w:t>Name</w:t>
            </w:r>
          </w:p>
        </w:tc>
        <w:tc>
          <w:tcPr>
            <w:tcW w:w="1360" w:type="dxa"/>
            <w:vAlign w:val="bottom"/>
            <w:gridSpan w:val="2"/>
          </w:tcPr>
          <w:p>
            <w:pPr>
              <w:ind w:left="400"/>
              <w:spacing w:after="0" w:line="203" w:lineRule="exact"/>
              <w:rPr>
                <w:sz w:val="20"/>
                <w:szCs w:val="20"/>
                <w:color w:val="auto"/>
              </w:rPr>
            </w:pPr>
            <w:r>
              <w:rPr>
                <w:rFonts w:ascii="Georgia" w:cs="Georgia" w:eastAsia="Georgia" w:hAnsi="Georgia"/>
                <w:sz w:val="18"/>
                <w:szCs w:val="18"/>
                <w:b w:val="1"/>
                <w:bCs w:val="1"/>
                <w:color w:val="auto"/>
              </w:rPr>
              <w:t>Age</w:t>
            </w:r>
          </w:p>
        </w:tc>
        <w:tc>
          <w:tcPr>
            <w:tcW w:w="4240" w:type="dxa"/>
            <w:vAlign w:val="bottom"/>
            <w:gridSpan w:val="2"/>
          </w:tcPr>
          <w:p>
            <w:pPr>
              <w:ind w:left="1620"/>
              <w:spacing w:after="0" w:line="203" w:lineRule="exact"/>
              <w:rPr>
                <w:sz w:val="20"/>
                <w:szCs w:val="20"/>
                <w:color w:val="auto"/>
              </w:rPr>
            </w:pPr>
            <w:r>
              <w:rPr>
                <w:rFonts w:ascii="Georgia" w:cs="Georgia" w:eastAsia="Georgia" w:hAnsi="Georgia"/>
                <w:sz w:val="18"/>
                <w:szCs w:val="18"/>
                <w:b w:val="1"/>
                <w:bCs w:val="1"/>
                <w:color w:val="auto"/>
              </w:rPr>
              <w:t>Position</w:t>
            </w:r>
          </w:p>
        </w:tc>
        <w:tc>
          <w:tcPr>
            <w:tcW w:w="1800" w:type="dxa"/>
            <w:vAlign w:val="bottom"/>
          </w:tcPr>
          <w:p>
            <w:pPr>
              <w:jc w:val="center"/>
              <w:spacing w:after="0" w:line="203" w:lineRule="exact"/>
              <w:rPr>
                <w:sz w:val="20"/>
                <w:szCs w:val="20"/>
                <w:color w:val="auto"/>
              </w:rPr>
            </w:pPr>
            <w:r>
              <w:rPr>
                <w:rFonts w:ascii="Georgia" w:cs="Georgia" w:eastAsia="Georgia" w:hAnsi="Georgia"/>
                <w:sz w:val="18"/>
                <w:szCs w:val="18"/>
                <w:b w:val="1"/>
                <w:bCs w:val="1"/>
                <w:color w:val="auto"/>
                <w:w w:val="99"/>
              </w:rPr>
              <w:t>appointed</w:t>
            </w:r>
          </w:p>
        </w:tc>
      </w:tr>
      <w:tr>
        <w:trPr>
          <w:trHeight w:val="199"/>
        </w:trPr>
        <w:tc>
          <w:tcPr>
            <w:tcW w:w="362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Stephen Squinto, Ph.D.</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0" w:lineRule="exact"/>
              <w:rPr>
                <w:sz w:val="20"/>
                <w:szCs w:val="20"/>
                <w:color w:val="auto"/>
              </w:rPr>
            </w:pPr>
            <w:r>
              <w:rPr>
                <w:rFonts w:ascii="Georgia" w:cs="Georgia" w:eastAsia="Georgia" w:hAnsi="Georgia"/>
                <w:sz w:val="18"/>
                <w:szCs w:val="18"/>
                <w:color w:val="auto"/>
              </w:rPr>
              <w:t>65</w:t>
            </w:r>
          </w:p>
        </w:tc>
        <w:tc>
          <w:tcPr>
            <w:tcW w:w="220" w:type="dxa"/>
            <w:vAlign w:val="bottom"/>
          </w:tcPr>
          <w:p>
            <w:pPr>
              <w:spacing w:after="0"/>
              <w:rPr>
                <w:sz w:val="17"/>
                <w:szCs w:val="17"/>
                <w:color w:val="auto"/>
              </w:rPr>
            </w:pPr>
          </w:p>
        </w:tc>
        <w:tc>
          <w:tcPr>
            <w:tcW w:w="402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Chairman of the Board of Directors(1)(2)</w:t>
            </w:r>
          </w:p>
        </w:tc>
        <w:tc>
          <w:tcPr>
            <w:tcW w:w="22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0" w:lineRule="exact"/>
              <w:rPr>
                <w:sz w:val="20"/>
                <w:szCs w:val="20"/>
                <w:color w:val="auto"/>
              </w:rPr>
            </w:pPr>
            <w:r>
              <w:rPr>
                <w:rFonts w:ascii="Georgia" w:cs="Georgia" w:eastAsia="Georgia" w:hAnsi="Georgia"/>
                <w:sz w:val="18"/>
                <w:szCs w:val="18"/>
                <w:color w:val="auto"/>
              </w:rPr>
              <w:t>2021</w:t>
            </w:r>
          </w:p>
        </w:tc>
      </w:tr>
      <w:tr>
        <w:trPr>
          <w:trHeight w:val="203"/>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Pierluigi Paracchi</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48</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Chief Executive Officer, Vice Chairman of the</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2014</w:t>
            </w:r>
          </w:p>
        </w:tc>
      </w:tr>
      <w:tr>
        <w:trPr>
          <w:trHeight w:val="203"/>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Board of Directors and General Manager</w:t>
            </w:r>
          </w:p>
        </w:tc>
        <w:tc>
          <w:tcPr>
            <w:tcW w:w="1800" w:type="dxa"/>
            <w:vAlign w:val="bottom"/>
          </w:tcPr>
          <w:p>
            <w:pPr>
              <w:spacing w:after="0"/>
              <w:rPr>
                <w:sz w:val="17"/>
                <w:szCs w:val="17"/>
                <w:color w:val="auto"/>
              </w:rPr>
            </w:pPr>
          </w:p>
        </w:tc>
      </w:tr>
      <w:tr>
        <w:trPr>
          <w:trHeight w:val="203"/>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Richard B. Slansky</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65</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Chief Financial Officer</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2021</w:t>
            </w:r>
          </w:p>
        </w:tc>
      </w:tr>
      <w:tr>
        <w:trPr>
          <w:trHeight w:val="203"/>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Carlo Russo, M.D.</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69</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Chief Medical Officer, Head of Development</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2021</w:t>
            </w:r>
          </w:p>
        </w:tc>
      </w:tr>
      <w:tr>
        <w:trPr>
          <w:trHeight w:val="203"/>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Roger Abravanel</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75</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Director(1)(2)</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2017</w:t>
            </w:r>
          </w:p>
        </w:tc>
      </w:tr>
      <w:tr>
        <w:trPr>
          <w:trHeight w:val="202"/>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Daniela Bellomo, Ph.D.</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54</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Director</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2019</w:t>
            </w:r>
          </w:p>
        </w:tc>
      </w:tr>
      <w:tr>
        <w:trPr>
          <w:trHeight w:val="203"/>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Guido Guidi</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69</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Director(1)(2)</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2017</w:t>
            </w:r>
          </w:p>
        </w:tc>
      </w:tr>
      <w:tr>
        <w:trPr>
          <w:trHeight w:val="203"/>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Luca Guidotti</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61</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Director</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2018</w:t>
            </w:r>
          </w:p>
        </w:tc>
      </w:tr>
      <w:tr>
        <w:trPr>
          <w:trHeight w:val="202"/>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Anthony Marucci</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60</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Director(1)</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2021</w:t>
            </w:r>
          </w:p>
        </w:tc>
      </w:tr>
      <w:tr>
        <w:trPr>
          <w:trHeight w:val="203"/>
        </w:trPr>
        <w:tc>
          <w:tcPr>
            <w:tcW w:w="3840" w:type="dxa"/>
            <w:vAlign w:val="bottom"/>
            <w:gridSpan w:val="2"/>
          </w:tcPr>
          <w:p>
            <w:pPr>
              <w:spacing w:after="0" w:line="202" w:lineRule="exact"/>
              <w:rPr>
                <w:sz w:val="20"/>
                <w:szCs w:val="20"/>
                <w:color w:val="auto"/>
              </w:rPr>
            </w:pPr>
            <w:r>
              <w:rPr>
                <w:rFonts w:ascii="Georgia" w:cs="Georgia" w:eastAsia="Georgia" w:hAnsi="Georgia"/>
                <w:sz w:val="18"/>
                <w:szCs w:val="18"/>
                <w:color w:val="auto"/>
              </w:rPr>
              <w:t>Stefania Mazzoleni, Ph.D.</w:t>
            </w:r>
          </w:p>
        </w:tc>
        <w:tc>
          <w:tcPr>
            <w:tcW w:w="1360" w:type="dxa"/>
            <w:vAlign w:val="bottom"/>
            <w:gridSpan w:val="2"/>
          </w:tcPr>
          <w:p>
            <w:pPr>
              <w:jc w:val="right"/>
              <w:ind w:right="220"/>
              <w:spacing w:after="0" w:line="202" w:lineRule="exact"/>
              <w:rPr>
                <w:sz w:val="20"/>
                <w:szCs w:val="20"/>
                <w:color w:val="auto"/>
              </w:rPr>
            </w:pPr>
            <w:r>
              <w:rPr>
                <w:rFonts w:ascii="Georgia" w:cs="Georgia" w:eastAsia="Georgia" w:hAnsi="Georgia"/>
                <w:sz w:val="18"/>
                <w:szCs w:val="18"/>
                <w:color w:val="auto"/>
              </w:rPr>
              <w:t>40</w:t>
            </w:r>
          </w:p>
        </w:tc>
        <w:tc>
          <w:tcPr>
            <w:tcW w:w="4240" w:type="dxa"/>
            <w:vAlign w:val="bottom"/>
            <w:gridSpan w:val="2"/>
          </w:tcPr>
          <w:p>
            <w:pPr>
              <w:spacing w:after="0" w:line="202" w:lineRule="exact"/>
              <w:rPr>
                <w:sz w:val="20"/>
                <w:szCs w:val="20"/>
                <w:color w:val="auto"/>
              </w:rPr>
            </w:pPr>
            <w:r>
              <w:rPr>
                <w:rFonts w:ascii="Georgia" w:cs="Georgia" w:eastAsia="Georgia" w:hAnsi="Georgia"/>
                <w:sz w:val="18"/>
                <w:szCs w:val="18"/>
                <w:color w:val="auto"/>
              </w:rPr>
              <w:t>Scientific Project Manager and Communications</w:t>
            </w:r>
          </w:p>
        </w:tc>
        <w:tc>
          <w:tcPr>
            <w:tcW w:w="1800" w:type="dxa"/>
            <w:vAlign w:val="bottom"/>
          </w:tcPr>
          <w:p>
            <w:pPr>
              <w:jc w:val="center"/>
              <w:spacing w:after="0" w:line="202" w:lineRule="exact"/>
              <w:rPr>
                <w:sz w:val="20"/>
                <w:szCs w:val="20"/>
                <w:color w:val="auto"/>
              </w:rPr>
            </w:pPr>
            <w:r>
              <w:rPr>
                <w:rFonts w:ascii="Georgia" w:cs="Georgia" w:eastAsia="Georgia" w:hAnsi="Georgia"/>
                <w:sz w:val="18"/>
                <w:szCs w:val="18"/>
                <w:color w:val="auto"/>
              </w:rPr>
              <w:t>2016</w:t>
            </w:r>
          </w:p>
        </w:tc>
      </w:tr>
      <w:tr>
        <w:trPr>
          <w:trHeight w:val="203"/>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40" w:type="dxa"/>
            <w:vAlign w:val="bottom"/>
            <w:gridSpan w:val="2"/>
          </w:tcPr>
          <w:p>
            <w:pPr>
              <w:spacing w:after="0" w:line="203" w:lineRule="exact"/>
              <w:rPr>
                <w:sz w:val="20"/>
                <w:szCs w:val="20"/>
                <w:color w:val="auto"/>
              </w:rPr>
            </w:pPr>
            <w:r>
              <w:rPr>
                <w:rFonts w:ascii="Georgia" w:cs="Georgia" w:eastAsia="Georgia" w:hAnsi="Georgia"/>
                <w:sz w:val="18"/>
                <w:szCs w:val="18"/>
                <w:color w:val="auto"/>
              </w:rPr>
              <w:t>Officer</w:t>
            </w:r>
          </w:p>
        </w:tc>
        <w:tc>
          <w:tcPr>
            <w:tcW w:w="1800" w:type="dxa"/>
            <w:vAlign w:val="bottom"/>
          </w:tcPr>
          <w:p>
            <w:pPr>
              <w:spacing w:after="0"/>
              <w:rPr>
                <w:sz w:val="17"/>
                <w:szCs w:val="17"/>
                <w:color w:val="auto"/>
              </w:rPr>
            </w:pPr>
          </w:p>
        </w:tc>
      </w:tr>
    </w:tbl>
    <w:p>
      <w:pPr>
        <w:spacing w:after="0" w:line="200" w:lineRule="exact"/>
        <w:rPr>
          <w:sz w:val="20"/>
          <w:szCs w:val="20"/>
          <w:color w:val="auto"/>
        </w:rPr>
      </w:pPr>
    </w:p>
    <w:p>
      <w:pPr>
        <w:ind w:left="1300" w:hanging="644"/>
        <w:spacing w:after="0"/>
        <w:tabs>
          <w:tab w:leader="none" w:pos="1300" w:val="left"/>
        </w:tabs>
        <w:numPr>
          <w:ilvl w:val="0"/>
          <w:numId w:val="81"/>
        </w:numPr>
        <w:rPr>
          <w:rFonts w:ascii="Georgia" w:cs="Georgia" w:eastAsia="Georgia" w:hAnsi="Georgia"/>
          <w:sz w:val="18"/>
          <w:szCs w:val="18"/>
          <w:color w:val="auto"/>
        </w:rPr>
      </w:pPr>
      <w:r>
        <w:rPr>
          <w:rFonts w:ascii="Georgia" w:cs="Georgia" w:eastAsia="Georgia" w:hAnsi="Georgia"/>
          <w:sz w:val="18"/>
          <w:szCs w:val="18"/>
          <w:color w:val="auto"/>
        </w:rPr>
        <w:t>Independent Director (as defined under Nasdaq Stock Market rules)</w:t>
      </w:r>
    </w:p>
    <w:p>
      <w:pPr>
        <w:spacing w:after="0" w:line="200" w:lineRule="exact"/>
        <w:rPr>
          <w:rFonts w:ascii="Georgia" w:cs="Georgia" w:eastAsia="Georgia" w:hAnsi="Georgia"/>
          <w:sz w:val="18"/>
          <w:szCs w:val="18"/>
          <w:color w:val="auto"/>
        </w:rPr>
      </w:pPr>
    </w:p>
    <w:p>
      <w:pPr>
        <w:ind w:left="1300" w:hanging="644"/>
        <w:spacing w:after="0"/>
        <w:tabs>
          <w:tab w:leader="none" w:pos="1300" w:val="left"/>
        </w:tabs>
        <w:numPr>
          <w:ilvl w:val="0"/>
          <w:numId w:val="81"/>
        </w:numPr>
        <w:rPr>
          <w:rFonts w:ascii="Georgia" w:cs="Georgia" w:eastAsia="Georgia" w:hAnsi="Georgia"/>
          <w:sz w:val="18"/>
          <w:szCs w:val="18"/>
          <w:color w:val="auto"/>
        </w:rPr>
      </w:pPr>
      <w:r>
        <w:rPr>
          <w:rFonts w:ascii="Georgia" w:cs="Georgia" w:eastAsia="Georgia" w:hAnsi="Georgia"/>
          <w:sz w:val="18"/>
          <w:szCs w:val="18"/>
          <w:color w:val="auto"/>
        </w:rPr>
        <w:t>Member of the Compensation, Nomination and Governance Committee</w:t>
      </w:r>
    </w:p>
    <w:p>
      <w:pPr>
        <w:spacing w:after="0" w:line="186" w:lineRule="exact"/>
        <w:rPr>
          <w:rFonts w:ascii="Georgia" w:cs="Georgia" w:eastAsia="Georgia" w:hAnsi="Georgia"/>
          <w:sz w:val="18"/>
          <w:szCs w:val="18"/>
          <w:color w:val="auto"/>
        </w:rPr>
      </w:pPr>
    </w:p>
    <w:p>
      <w:pPr>
        <w:ind w:left="5500"/>
        <w:spacing w:after="0"/>
        <w:rPr>
          <w:rFonts w:ascii="Georgia" w:cs="Georgia" w:eastAsia="Georgia" w:hAnsi="Georgia"/>
          <w:sz w:val="18"/>
          <w:szCs w:val="18"/>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77" w:gutter="0" w:footer="0" w:header="0"/>
        </w:sectPr>
      </w:pPr>
    </w:p>
    <w:bookmarkStart w:id="116" w:name="page117"/>
    <w:bookmarkEnd w:id="116"/>
    <w:p>
      <w:pPr>
        <w:jc w:val="both"/>
        <w:spacing w:after="0" w:line="237" w:lineRule="auto"/>
        <w:rPr>
          <w:sz w:val="20"/>
          <w:szCs w:val="20"/>
          <w:color w:val="auto"/>
        </w:rPr>
      </w:pPr>
      <w:r>
        <w:rPr>
          <w:rFonts w:ascii="Georgia" w:cs="Georgia" w:eastAsia="Georgia" w:hAnsi="Georgia"/>
          <w:sz w:val="18"/>
          <w:szCs w:val="18"/>
          <w:color w:val="auto"/>
        </w:rPr>
        <w:t>The directors above were elected at the Company’s general shareholders’ meeting held on May 20, 2021, for a three-year term. The board of directors consists of 7 (seven) members.</w:t>
      </w:r>
    </w:p>
    <w:p>
      <w:pPr>
        <w:spacing w:after="0" w:line="204"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 board of directors’ term will expire with the Shareholders’ Meeting called to approve the financial statements for the year ending December 31, 2023, or earlier upon resignation.</w:t>
      </w:r>
    </w:p>
    <w:p>
      <w:pPr>
        <w:spacing w:after="0" w:line="204"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207"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 Management</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Pierluigi Paracchi, Chief Executive Officer, Vice Chairman of the Board of Directors and General Manager</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Richard B. Slansky, Chief Financial Officer</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Carlo Russo, M.D., Chief Medical Officer &amp; Head of Development</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17" w:name="page118"/>
    <w:bookmarkEnd w:id="117"/>
    <w:p>
      <w:pPr>
        <w:spacing w:after="0"/>
        <w:rPr>
          <w:sz w:val="20"/>
          <w:szCs w:val="20"/>
          <w:color w:val="auto"/>
        </w:rPr>
      </w:pPr>
      <w:r>
        <w:rPr>
          <w:rFonts w:ascii="Georgia" w:cs="Georgia" w:eastAsia="Georgia" w:hAnsi="Georgia"/>
          <w:sz w:val="18"/>
          <w:szCs w:val="18"/>
          <w:b w:val="1"/>
          <w:bCs w:val="1"/>
          <w:i w:val="1"/>
          <w:iCs w:val="1"/>
          <w:color w:val="auto"/>
        </w:rPr>
        <w:t>Stefania Mazzoleni, Ph.D., Scientific Project Manager and Communications Officer</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(OSR -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205"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Board of Directors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Stephen Squinto, Ph.D., Chairman of the Board of Directors</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w:t>
      </w:r>
    </w:p>
    <w:p>
      <w:pPr>
        <w:spacing w:after="0" w:line="205"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In April 2022, we were informed that Dr. Stephen Squinto will step down from his role as Chairman of the Board of Directors effective May 1st, 2022, to pursue a new business role. Dr. Squinto is also leaving his position as Executive Partner at OrbiMed Advisors. The Board has nominated Dr. Mark A. Sirgo to succeed him as the Company’s new Chairman of the Board. Although Dr. Sirgo will begin serving on May 1st, the Company will seek ratification by its shareholders in its June 2022 AGM. On May 1, 2022, Dr. Sirgo will replace Dr. Squinto as Chair and a member of our Compensation, Nomination and Governance Committee.</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Mark A. Sirgo, Pharm.D., Chairman Designee</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Dr. Sirgo most recently was CEO of Aruna Bio, Inc., a preclinical biotech company developing neural stem cells for the treatment of neurological disorders. He previously founded and spent 13 years as CEO of the specialty pharmaceutical company Biodelivery Sciences, Inc. (NASDAQ: BDSI), overseeing development, approval and commercialization of three products, raising over $600 million in capital through equity and debt financings and growth in market capitalization from $10 million to nearly $1 billion during that period. Dr. Sirgo remained on the Board until the successful sale of the Company in March of this year. Dr. Sirgo also has extensive experience in research and development and sales and marketing and serves on the boards of multiple private and public companies. Dr. Sirgo holds a Doctorate in Pharmacy from Philadelphia College of Pharmacy and Sciences.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Roger Abravanel, Director</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Daniela Bellomo, Ph.D., Director</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Dr. Bellomo is Head of Business Development at OSR -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Guido Guidi, Director</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Luca Guidotti, MD, Ph.D., Director</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OSR - San Raffaele Hospital, Milan. He has published works in prestigious scientific journals including Cell, Nature, Science, Nature Medicine, Journal of Clinical Investigation and Journal of Experimental Medicine.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Anthony Marucci, Director</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ind w:left="660"/>
        <w:spacing w:after="0"/>
        <w:rPr>
          <w:sz w:val="20"/>
          <w:szCs w:val="20"/>
          <w:color w:val="auto"/>
        </w:rPr>
      </w:pPr>
      <w:r>
        <w:rPr>
          <w:rFonts w:ascii="Georgia" w:cs="Georgia" w:eastAsia="Georgia" w:hAnsi="Georgia"/>
          <w:sz w:val="18"/>
          <w:szCs w:val="18"/>
          <w:b w:val="1"/>
          <w:bCs w:val="1"/>
          <w:color w:val="auto"/>
        </w:rPr>
        <w:t>Executive Scientific Board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Luigi Naldini, M.D., Ph.D., Chairman of the Executive Scientific Board</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Bernhard Gentner, M.D., Member of the Executive Scientific Board</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OSR -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Strategic Advisors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Advisors to the Company include:</w:t>
      </w:r>
    </w:p>
    <w:p>
      <w:pPr>
        <w:spacing w:after="0" w:line="202" w:lineRule="exact"/>
        <w:rPr>
          <w:sz w:val="20"/>
          <w:szCs w:val="20"/>
          <w:color w:val="auto"/>
        </w:rPr>
      </w:pPr>
    </w:p>
    <w:p>
      <w:pPr>
        <w:jc w:val="both"/>
        <w:ind w:left="1300" w:hanging="644"/>
        <w:spacing w:after="0" w:line="237" w:lineRule="auto"/>
        <w:tabs>
          <w:tab w:leader="none" w:pos="1300" w:val="left"/>
        </w:tabs>
        <w:numPr>
          <w:ilvl w:val="0"/>
          <w:numId w:val="82"/>
        </w:numPr>
        <w:rPr>
          <w:rFonts w:ascii="Georgia" w:cs="Georgia" w:eastAsia="Georgia" w:hAnsi="Georgia"/>
          <w:sz w:val="18"/>
          <w:szCs w:val="18"/>
          <w:color w:val="auto"/>
        </w:rPr>
      </w:pPr>
      <w:r>
        <w:rPr>
          <w:rFonts w:ascii="Georgia" w:cs="Georgia" w:eastAsia="Georgia" w:hAnsi="Georgia"/>
          <w:sz w:val="18"/>
          <w:szCs w:val="18"/>
          <w:color w:val="auto"/>
        </w:rPr>
        <w:t>Gaurav Shah, M.D.: co-founder of Rocket Pharma (NASDAQ: RCKT) and serves as its Chief Executive Officer and Corporate Board Member. Prior to this role Dr. Shah was a Global Program Head in the Cell &amp; Gene Therapies Unit at Novartis, where he had strategic oversight of 12 functions and helped spearhead pivotal trials with CART-19 for patients with leukemia and lymphoma.</w:t>
      </w:r>
    </w:p>
    <w:p>
      <w:pPr>
        <w:spacing w:after="0" w:line="204" w:lineRule="exact"/>
        <w:rPr>
          <w:rFonts w:ascii="Georgia" w:cs="Georgia" w:eastAsia="Georgia" w:hAnsi="Georgia"/>
          <w:sz w:val="18"/>
          <w:szCs w:val="18"/>
          <w:color w:val="auto"/>
        </w:rPr>
      </w:pPr>
    </w:p>
    <w:p>
      <w:pPr>
        <w:ind w:left="1300" w:hanging="644"/>
        <w:spacing w:after="0" w:line="237" w:lineRule="auto"/>
        <w:tabs>
          <w:tab w:leader="none" w:pos="1300" w:val="left"/>
        </w:tabs>
        <w:numPr>
          <w:ilvl w:val="0"/>
          <w:numId w:val="82"/>
        </w:numPr>
        <w:rPr>
          <w:rFonts w:ascii="Georgia" w:cs="Georgia" w:eastAsia="Georgia" w:hAnsi="Georgia"/>
          <w:sz w:val="18"/>
          <w:szCs w:val="18"/>
          <w:color w:val="auto"/>
        </w:rPr>
      </w:pPr>
      <w:r>
        <w:rPr>
          <w:rFonts w:ascii="Georgia" w:cs="Georgia" w:eastAsia="Georgia" w:hAnsi="Georgia"/>
          <w:sz w:val="18"/>
          <w:szCs w:val="18"/>
          <w:color w:val="auto"/>
        </w:rPr>
        <w:t>Brad Loncar: Founder and Chief Executive Officer at Loncar Investments. Mr. Loncar is a biotech investor, index provider, and creator of two Nasdaq-listed exchange traded funds.</w:t>
      </w:r>
    </w:p>
    <w:p>
      <w:pPr>
        <w:spacing w:after="0" w:line="203" w:lineRule="exact"/>
        <w:rPr>
          <w:rFonts w:ascii="Georgia" w:cs="Georgia" w:eastAsia="Georgia" w:hAnsi="Georgia"/>
          <w:sz w:val="18"/>
          <w:szCs w:val="18"/>
          <w:color w:val="auto"/>
        </w:rPr>
      </w:pPr>
    </w:p>
    <w:p>
      <w:pPr>
        <w:jc w:val="both"/>
        <w:ind w:left="1300" w:hanging="644"/>
        <w:spacing w:after="0" w:line="237" w:lineRule="auto"/>
        <w:tabs>
          <w:tab w:leader="none" w:pos="1300" w:val="left"/>
        </w:tabs>
        <w:numPr>
          <w:ilvl w:val="0"/>
          <w:numId w:val="82"/>
        </w:numPr>
        <w:rPr>
          <w:rFonts w:ascii="Georgia" w:cs="Georgia" w:eastAsia="Georgia" w:hAnsi="Georgia"/>
          <w:sz w:val="18"/>
          <w:szCs w:val="18"/>
          <w:color w:val="auto"/>
        </w:rPr>
      </w:pPr>
      <w:r>
        <w:rPr>
          <w:rFonts w:ascii="Georgia" w:cs="Georgia" w:eastAsia="Georgia" w:hAnsi="Georgia"/>
          <w:sz w:val="18"/>
          <w:szCs w:val="18"/>
          <w:color w:val="auto"/>
        </w:rPr>
        <w:t xml:space="preserve">Alexander Ross: Distinguished Visiting Professor at The University of Bologna Business School and a Board Partner at Amplo, a global venture capital firm. He is the author of New York Times–bestselling </w:t>
      </w:r>
      <w:r>
        <w:rPr>
          <w:rFonts w:ascii="Georgia" w:cs="Georgia" w:eastAsia="Georgia" w:hAnsi="Georgia"/>
          <w:sz w:val="18"/>
          <w:szCs w:val="18"/>
          <w:i w:val="1"/>
          <w:iCs w:val="1"/>
          <w:color w:val="auto"/>
        </w:rPr>
        <w:t>The Industries of the Future</w:t>
      </w:r>
      <w:r>
        <w:rPr>
          <w:rFonts w:ascii="Georgia" w:cs="Georgia" w:eastAsia="Georgia" w:hAnsi="Georgia"/>
          <w:sz w:val="18"/>
          <w:szCs w:val="18"/>
          <w:color w:val="auto"/>
        </w:rPr>
        <w:t xml:space="preserve"> and Former Senior Advisor for Innovation to the US Secretary of State (2009-2013).</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Family Relationships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There are no family relationships among our executive officers and directors.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Arrangements Concerning Election of Directors and Members of Management</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There are no arrangements or understandings with major shareholders, customers, suppliers or others pursuant to which any of our directors or members of senior management were selected as such.</w:t>
      </w:r>
    </w:p>
    <w:p>
      <w:pPr>
        <w:spacing w:after="0" w:line="202"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Compensation</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 following table presents in the aggregate all compensation we paid to all of our directors and senior management as a group for the year ended December 31, 2021.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Georgia" w:cs="Georgia" w:eastAsia="Georgia" w:hAnsi="Georgia"/>
          <w:sz w:val="18"/>
          <w:szCs w:val="18"/>
          <w:color w:val="auto"/>
        </w:rPr>
        <w:t>All amounts reported in the table below reflect the cost to the Company, in thousands of Euros, for the year ended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gridSpan w:val="3"/>
          </w:tcPr>
          <w:p>
            <w:pPr>
              <w:jc w:val="center"/>
              <w:ind w:right="340"/>
              <w:spacing w:after="0"/>
              <w:rPr>
                <w:sz w:val="20"/>
                <w:szCs w:val="20"/>
                <w:color w:val="auto"/>
              </w:rPr>
            </w:pPr>
            <w:r>
              <w:rPr>
                <w:rFonts w:ascii="Georgia" w:cs="Georgia" w:eastAsia="Georgia" w:hAnsi="Georgia"/>
                <w:sz w:val="18"/>
                <w:szCs w:val="18"/>
                <w:b w:val="1"/>
                <w:bCs w:val="1"/>
                <w:color w:val="auto"/>
                <w:w w:val="99"/>
              </w:rPr>
              <w:t>Pension, Retirement</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240" w:type="dxa"/>
            <w:vAlign w:val="bottom"/>
            <w:gridSpan w:val="3"/>
          </w:tcPr>
          <w:p>
            <w:pPr>
              <w:ind w:left="20"/>
              <w:spacing w:after="0" w:line="202" w:lineRule="exact"/>
              <w:rPr>
                <w:sz w:val="20"/>
                <w:szCs w:val="20"/>
                <w:color w:val="auto"/>
              </w:rPr>
            </w:pPr>
            <w:r>
              <w:rPr>
                <w:rFonts w:ascii="Georgia" w:cs="Georgia" w:eastAsia="Georgia" w:hAnsi="Georgia"/>
                <w:sz w:val="18"/>
                <w:szCs w:val="18"/>
                <w:b w:val="1"/>
                <w:bCs w:val="1"/>
                <w:color w:val="auto"/>
              </w:rPr>
              <w:t>Salary, Bonuses and</w:t>
            </w:r>
          </w:p>
        </w:tc>
        <w:tc>
          <w:tcPr>
            <w:tcW w:w="120" w:type="dxa"/>
            <w:vAlign w:val="bottom"/>
          </w:tcPr>
          <w:p>
            <w:pPr>
              <w:spacing w:after="0"/>
              <w:rPr>
                <w:sz w:val="17"/>
                <w:szCs w:val="17"/>
                <w:color w:val="auto"/>
              </w:rPr>
            </w:pPr>
          </w:p>
        </w:tc>
        <w:tc>
          <w:tcPr>
            <w:tcW w:w="2120" w:type="dxa"/>
            <w:vAlign w:val="bottom"/>
            <w:gridSpan w:val="2"/>
          </w:tcPr>
          <w:p>
            <w:pPr>
              <w:jc w:val="center"/>
              <w:ind w:right="460"/>
              <w:spacing w:after="0" w:line="202" w:lineRule="exact"/>
              <w:rPr>
                <w:sz w:val="20"/>
                <w:szCs w:val="20"/>
                <w:color w:val="auto"/>
              </w:rPr>
            </w:pPr>
            <w:r>
              <w:rPr>
                <w:rFonts w:ascii="Georgia" w:cs="Georgia" w:eastAsia="Georgia" w:hAnsi="Georgia"/>
                <w:sz w:val="18"/>
                <w:szCs w:val="18"/>
                <w:b w:val="1"/>
                <w:bCs w:val="1"/>
                <w:color w:val="auto"/>
                <w:w w:val="99"/>
              </w:rPr>
              <w:t>and Other Similar</w:t>
            </w:r>
          </w:p>
        </w:tc>
        <w:tc>
          <w:tcPr>
            <w:tcW w:w="200" w:type="dxa"/>
            <w:vAlign w:val="bottom"/>
          </w:tcPr>
          <w:p>
            <w:pPr>
              <w:spacing w:after="0"/>
              <w:rPr>
                <w:sz w:val="17"/>
                <w:szCs w:val="17"/>
                <w:color w:val="auto"/>
              </w:rPr>
            </w:pPr>
          </w:p>
        </w:tc>
        <w:tc>
          <w:tcPr>
            <w:tcW w:w="1820" w:type="dxa"/>
            <w:vAlign w:val="bottom"/>
            <w:gridSpan w:val="2"/>
          </w:tcPr>
          <w:p>
            <w:pPr>
              <w:jc w:val="center"/>
              <w:ind w:right="320"/>
              <w:spacing w:after="0" w:line="202" w:lineRule="exact"/>
              <w:rPr>
                <w:sz w:val="20"/>
                <w:szCs w:val="20"/>
                <w:color w:val="auto"/>
              </w:rPr>
            </w:pPr>
            <w:r>
              <w:rPr>
                <w:rFonts w:ascii="Georgia" w:cs="Georgia" w:eastAsia="Georgia" w:hAnsi="Georgia"/>
                <w:sz w:val="18"/>
                <w:szCs w:val="18"/>
                <w:b w:val="1"/>
                <w:bCs w:val="1"/>
                <w:color w:val="auto"/>
                <w:w w:val="99"/>
              </w:rPr>
              <w:t>Share Based</w:t>
            </w:r>
          </w:p>
        </w:tc>
      </w:tr>
      <w:tr>
        <w:trPr>
          <w:trHeight w:val="213"/>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520"/>
              <w:spacing w:after="0" w:line="203" w:lineRule="exact"/>
              <w:rPr>
                <w:sz w:val="20"/>
                <w:szCs w:val="20"/>
                <w:color w:val="auto"/>
              </w:rPr>
            </w:pPr>
            <w:r>
              <w:rPr>
                <w:rFonts w:ascii="Georgia" w:cs="Georgia" w:eastAsia="Georgia" w:hAnsi="Georgia"/>
                <w:sz w:val="18"/>
                <w:szCs w:val="18"/>
                <w:b w:val="1"/>
                <w:bCs w:val="1"/>
                <w:color w:val="auto"/>
              </w:rPr>
              <w:t>Related Benefits</w:t>
            </w:r>
          </w:p>
        </w:tc>
        <w:tc>
          <w:tcPr>
            <w:tcW w:w="120" w:type="dxa"/>
            <w:vAlign w:val="bottom"/>
          </w:tcPr>
          <w:p>
            <w:pPr>
              <w:spacing w:after="0"/>
              <w:rPr>
                <w:sz w:val="18"/>
                <w:szCs w:val="18"/>
                <w:color w:val="auto"/>
              </w:rPr>
            </w:pPr>
          </w:p>
        </w:tc>
        <w:tc>
          <w:tcPr>
            <w:tcW w:w="2120" w:type="dxa"/>
            <w:vAlign w:val="bottom"/>
            <w:gridSpan w:val="2"/>
          </w:tcPr>
          <w:p>
            <w:pPr>
              <w:jc w:val="center"/>
              <w:ind w:right="440"/>
              <w:spacing w:after="0" w:line="203" w:lineRule="exact"/>
              <w:rPr>
                <w:sz w:val="20"/>
                <w:szCs w:val="20"/>
                <w:color w:val="auto"/>
              </w:rPr>
            </w:pPr>
            <w:r>
              <w:rPr>
                <w:rFonts w:ascii="Georgia" w:cs="Georgia" w:eastAsia="Georgia" w:hAnsi="Georgia"/>
                <w:sz w:val="18"/>
                <w:szCs w:val="18"/>
                <w:b w:val="1"/>
                <w:bCs w:val="1"/>
                <w:color w:val="auto"/>
                <w:w w:val="99"/>
              </w:rPr>
              <w:t>Benefits</w:t>
            </w:r>
          </w:p>
        </w:tc>
        <w:tc>
          <w:tcPr>
            <w:tcW w:w="200" w:type="dxa"/>
            <w:vAlign w:val="bottom"/>
          </w:tcPr>
          <w:p>
            <w:pPr>
              <w:spacing w:after="0"/>
              <w:rPr>
                <w:sz w:val="18"/>
                <w:szCs w:val="18"/>
                <w:color w:val="auto"/>
              </w:rPr>
            </w:pPr>
          </w:p>
        </w:tc>
        <w:tc>
          <w:tcPr>
            <w:tcW w:w="1820" w:type="dxa"/>
            <w:vAlign w:val="bottom"/>
            <w:gridSpan w:val="2"/>
          </w:tcPr>
          <w:p>
            <w:pPr>
              <w:jc w:val="center"/>
              <w:ind w:right="320"/>
              <w:spacing w:after="0" w:line="203" w:lineRule="exact"/>
              <w:rPr>
                <w:sz w:val="20"/>
                <w:szCs w:val="20"/>
                <w:color w:val="auto"/>
              </w:rPr>
            </w:pPr>
            <w:r>
              <w:rPr>
                <w:rFonts w:ascii="Georgia" w:cs="Georgia" w:eastAsia="Georgia" w:hAnsi="Georgia"/>
                <w:sz w:val="18"/>
                <w:szCs w:val="18"/>
                <w:b w:val="1"/>
                <w:bCs w:val="1"/>
                <w:color w:val="auto"/>
                <w:w w:val="99"/>
              </w:rPr>
              <w:t>Compensation</w:t>
            </w:r>
          </w:p>
        </w:tc>
      </w:tr>
      <w:tr>
        <w:trPr>
          <w:trHeight w:val="186"/>
        </w:trPr>
        <w:tc>
          <w:tcPr>
            <w:tcW w:w="4740" w:type="dxa"/>
            <w:vAlign w:val="bottom"/>
            <w:tcBorders>
              <w:top w:val="single" w:sz="8" w:color="CCEEFF"/>
            </w:tcBorders>
            <w:shd w:val="clear" w:color="auto" w:fill="CCEEFF"/>
          </w:tcPr>
          <w:p>
            <w:pPr>
              <w:spacing w:after="0" w:line="186" w:lineRule="exact"/>
              <w:rPr>
                <w:sz w:val="20"/>
                <w:szCs w:val="20"/>
                <w:color w:val="auto"/>
              </w:rPr>
            </w:pPr>
            <w:r>
              <w:rPr>
                <w:rFonts w:ascii="Georgia" w:cs="Georgia" w:eastAsia="Georgia" w:hAnsi="Georgia"/>
                <w:sz w:val="18"/>
                <w:szCs w:val="18"/>
                <w:color w:val="auto"/>
              </w:rPr>
              <w:t>All  directors  and  senior  management  as  a  group,</w:t>
            </w:r>
          </w:p>
        </w:tc>
        <w:tc>
          <w:tcPr>
            <w:tcW w:w="16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6"/>
        </w:trPr>
        <w:tc>
          <w:tcPr>
            <w:tcW w:w="47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consisting of 9 persons</w:t>
            </w:r>
          </w:p>
        </w:tc>
        <w:tc>
          <w:tcPr>
            <w:tcW w:w="16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w:t>
            </w:r>
          </w:p>
        </w:tc>
        <w:tc>
          <w:tcPr>
            <w:tcW w:w="208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1,028,572</w:t>
            </w:r>
          </w:p>
        </w:tc>
        <w:tc>
          <w:tcPr>
            <w:tcW w:w="12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w w:val="86"/>
              </w:rPr>
              <w:t>€</w:t>
            </w:r>
          </w:p>
        </w:tc>
        <w:tc>
          <w:tcPr>
            <w:tcW w:w="212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1,221</w:t>
            </w:r>
          </w:p>
        </w:tc>
        <w:tc>
          <w:tcPr>
            <w:tcW w:w="20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w:t>
            </w:r>
          </w:p>
        </w:tc>
        <w:tc>
          <w:tcPr>
            <w:tcW w:w="1820" w:type="dxa"/>
            <w:vAlign w:val="bottom"/>
            <w:gridSpan w:val="2"/>
            <w:shd w:val="clear" w:color="auto" w:fill="CCEEFF"/>
          </w:tcPr>
          <w:p>
            <w:pPr>
              <w:jc w:val="right"/>
              <w:ind w:right="100"/>
              <w:spacing w:after="0" w:line="203" w:lineRule="exact"/>
              <w:rPr>
                <w:sz w:val="20"/>
                <w:szCs w:val="20"/>
                <w:color w:val="auto"/>
              </w:rPr>
            </w:pPr>
            <w:r>
              <w:rPr>
                <w:rFonts w:ascii="Georgia" w:cs="Georgia" w:eastAsia="Georgia" w:hAnsi="Georgia"/>
                <w:sz w:val="18"/>
                <w:szCs w:val="18"/>
                <w:color w:val="auto"/>
              </w:rPr>
              <w:t>412,259</w:t>
            </w:r>
          </w:p>
        </w:tc>
      </w:tr>
    </w:tbl>
    <w:p>
      <w:pPr>
        <w:spacing w:after="0" w:line="19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 Board Practices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Committees of the Board of Directors</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currently follow the historical Italian corporate governance system, with a board of directors (</w:t>
      </w:r>
      <w:r>
        <w:rPr>
          <w:rFonts w:ascii="Georgia" w:cs="Georgia" w:eastAsia="Georgia" w:hAnsi="Georgia"/>
          <w:sz w:val="18"/>
          <w:szCs w:val="18"/>
          <w:i w:val="1"/>
          <w:iCs w:val="1"/>
          <w:color w:val="auto"/>
        </w:rPr>
        <w:t>consiglio di amministrazione</w:t>
      </w:r>
      <w:r>
        <w:rPr>
          <w:rFonts w:ascii="Georgia" w:cs="Georgia" w:eastAsia="Georgia" w:hAnsi="Georgia"/>
          <w:sz w:val="18"/>
          <w:szCs w:val="18"/>
          <w:color w:val="auto"/>
        </w:rPr>
        <w:t>) and a separate board of statutory auditors (</w:t>
      </w:r>
      <w:r>
        <w:rPr>
          <w:rFonts w:ascii="Georgia" w:cs="Georgia" w:eastAsia="Georgia" w:hAnsi="Georgia"/>
          <w:sz w:val="18"/>
          <w:szCs w:val="18"/>
          <w:i w:val="1"/>
          <w:iCs w:val="1"/>
          <w:color w:val="auto"/>
        </w:rPr>
        <w:t>collegio sindacale</w:t>
      </w:r>
      <w:r>
        <w:rPr>
          <w:rFonts w:ascii="Georgia" w:cs="Georgia" w:eastAsia="Georgia" w:hAnsi="Georgia"/>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Statutory Auditors</w:t>
      </w:r>
    </w:p>
    <w:p>
      <w:pPr>
        <w:spacing w:after="0" w:line="202" w:lineRule="exact"/>
        <w:rPr>
          <w:sz w:val="20"/>
          <w:szCs w:val="20"/>
          <w:color w:val="auto"/>
        </w:rPr>
      </w:pPr>
    </w:p>
    <w:p>
      <w:pPr>
        <w:ind w:right="340"/>
        <w:spacing w:after="0" w:line="237" w:lineRule="auto"/>
        <w:rPr>
          <w:sz w:val="20"/>
          <w:szCs w:val="20"/>
          <w:color w:val="auto"/>
        </w:rPr>
      </w:pPr>
      <w:r>
        <w:rPr>
          <w:rFonts w:ascii="Georgia" w:cs="Georgia" w:eastAsia="Georgia" w:hAnsi="Georgia"/>
          <w:sz w:val="18"/>
          <w:szCs w:val="18"/>
          <w:color w:val="auto"/>
        </w:rPr>
        <w:t>During 2021, the Company’s statutory auditors received approximately €47,000 in compensation in the aggregate for their services to the Company.</w:t>
      </w:r>
    </w:p>
    <w:p>
      <w:pPr>
        <w:spacing w:after="0" w:line="204"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Georgia" w:cs="Georgia" w:eastAsia="Georgia" w:hAnsi="Georgia"/>
                <w:sz w:val="18"/>
                <w:szCs w:val="18"/>
                <w:b w:val="1"/>
                <w:bCs w:val="1"/>
                <w:color w:val="auto"/>
              </w:rPr>
              <w:t>Year elected or re-</w:t>
            </w:r>
          </w:p>
        </w:tc>
      </w:tr>
      <w:tr>
        <w:trPr>
          <w:trHeight w:val="213"/>
        </w:trPr>
        <w:tc>
          <w:tcPr>
            <w:tcW w:w="2700" w:type="dxa"/>
            <w:vAlign w:val="bottom"/>
          </w:tcPr>
          <w:p>
            <w:pPr>
              <w:spacing w:after="0" w:line="203" w:lineRule="exact"/>
              <w:rPr>
                <w:sz w:val="20"/>
                <w:szCs w:val="20"/>
                <w:color w:val="auto"/>
              </w:rPr>
            </w:pPr>
            <w:r>
              <w:rPr>
                <w:rFonts w:ascii="Georgia" w:cs="Georgia" w:eastAsia="Georgia" w:hAnsi="Georgia"/>
                <w:sz w:val="18"/>
                <w:szCs w:val="18"/>
                <w:b w:val="1"/>
                <w:bCs w:val="1"/>
                <w:color w:val="auto"/>
              </w:rPr>
              <w:t>Name</w:t>
            </w:r>
          </w:p>
        </w:tc>
        <w:tc>
          <w:tcPr>
            <w:tcW w:w="1140" w:type="dxa"/>
            <w:vAlign w:val="bottom"/>
            <w:gridSpan w:val="2"/>
          </w:tcPr>
          <w:p>
            <w:pPr>
              <w:ind w:left="240"/>
              <w:spacing w:after="0" w:line="203" w:lineRule="exact"/>
              <w:rPr>
                <w:sz w:val="20"/>
                <w:szCs w:val="20"/>
                <w:color w:val="auto"/>
              </w:rPr>
            </w:pPr>
            <w:r>
              <w:rPr>
                <w:rFonts w:ascii="Georgia" w:cs="Georgia" w:eastAsia="Georgia" w:hAnsi="Georgia"/>
                <w:sz w:val="18"/>
                <w:szCs w:val="18"/>
                <w:b w:val="1"/>
                <w:bCs w:val="1"/>
                <w:color w:val="auto"/>
              </w:rPr>
              <w:t>Age</w:t>
            </w:r>
          </w:p>
        </w:tc>
        <w:tc>
          <w:tcPr>
            <w:tcW w:w="5380" w:type="dxa"/>
            <w:vAlign w:val="bottom"/>
            <w:gridSpan w:val="3"/>
          </w:tcPr>
          <w:p>
            <w:pPr>
              <w:ind w:left="240"/>
              <w:spacing w:after="0" w:line="203" w:lineRule="exact"/>
              <w:rPr>
                <w:sz w:val="20"/>
                <w:szCs w:val="20"/>
                <w:color w:val="auto"/>
              </w:rPr>
            </w:pPr>
            <w:r>
              <w:rPr>
                <w:rFonts w:ascii="Georgia" w:cs="Georgia" w:eastAsia="Georgia" w:hAnsi="Georgia"/>
                <w:sz w:val="18"/>
                <w:szCs w:val="18"/>
                <w:b w:val="1"/>
                <w:bCs w:val="1"/>
                <w:color w:val="auto"/>
              </w:rPr>
              <w:t>Position</w:t>
            </w:r>
          </w:p>
        </w:tc>
        <w:tc>
          <w:tcPr>
            <w:tcW w:w="2020" w:type="dxa"/>
            <w:vAlign w:val="bottom"/>
          </w:tcPr>
          <w:p>
            <w:pPr>
              <w:spacing w:after="0" w:line="203" w:lineRule="exact"/>
              <w:rPr>
                <w:sz w:val="20"/>
                <w:szCs w:val="20"/>
                <w:color w:val="auto"/>
              </w:rPr>
            </w:pPr>
            <w:r>
              <w:rPr>
                <w:rFonts w:ascii="Georgia" w:cs="Georgia" w:eastAsia="Georgia" w:hAnsi="Georgia"/>
                <w:sz w:val="18"/>
                <w:szCs w:val="18"/>
                <w:b w:val="1"/>
                <w:bCs w:val="1"/>
                <w:color w:val="auto"/>
              </w:rPr>
              <w:t>appointed</w:t>
            </w:r>
          </w:p>
        </w:tc>
      </w:tr>
      <w:tr>
        <w:trPr>
          <w:trHeight w:val="199"/>
        </w:trPr>
        <w:tc>
          <w:tcPr>
            <w:tcW w:w="270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Carlo-Alberto Nicchio</w:t>
            </w: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46</w:t>
            </w:r>
          </w:p>
        </w:tc>
        <w:tc>
          <w:tcPr>
            <w:tcW w:w="240" w:type="dxa"/>
            <w:vAlign w:val="bottom"/>
          </w:tcPr>
          <w:p>
            <w:pPr>
              <w:spacing w:after="0"/>
              <w:rPr>
                <w:sz w:val="17"/>
                <w:szCs w:val="17"/>
                <w:color w:val="auto"/>
              </w:rPr>
            </w:pPr>
          </w:p>
        </w:tc>
        <w:tc>
          <w:tcPr>
            <w:tcW w:w="494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Chairman of the Board of Statutory Auditors</w:t>
            </w:r>
          </w:p>
        </w:tc>
        <w:tc>
          <w:tcPr>
            <w:tcW w:w="200" w:type="dxa"/>
            <w:vAlign w:val="bottom"/>
          </w:tcPr>
          <w:p>
            <w:pPr>
              <w:spacing w:after="0"/>
              <w:rPr>
                <w:sz w:val="17"/>
                <w:szCs w:val="17"/>
                <w:color w:val="auto"/>
              </w:rPr>
            </w:pPr>
          </w:p>
        </w:tc>
        <w:tc>
          <w:tcPr>
            <w:tcW w:w="202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color w:val="auto"/>
              </w:rPr>
              <w:t>2021</w:t>
            </w:r>
          </w:p>
        </w:tc>
      </w:tr>
      <w:tr>
        <w:trPr>
          <w:trHeight w:val="203"/>
        </w:trPr>
        <w:tc>
          <w:tcPr>
            <w:tcW w:w="2700" w:type="dxa"/>
            <w:vAlign w:val="bottom"/>
          </w:tcPr>
          <w:p>
            <w:pPr>
              <w:spacing w:after="0" w:line="202" w:lineRule="exact"/>
              <w:rPr>
                <w:sz w:val="20"/>
                <w:szCs w:val="20"/>
                <w:color w:val="auto"/>
              </w:rPr>
            </w:pPr>
            <w:r>
              <w:rPr>
                <w:rFonts w:ascii="Georgia" w:cs="Georgia" w:eastAsia="Georgia" w:hAnsi="Georgia"/>
                <w:sz w:val="18"/>
                <w:szCs w:val="18"/>
                <w:color w:val="auto"/>
              </w:rPr>
              <w:t>Cesare Lazzaroni</w:t>
            </w:r>
          </w:p>
        </w:tc>
        <w:tc>
          <w:tcPr>
            <w:tcW w:w="1140" w:type="dxa"/>
            <w:vAlign w:val="bottom"/>
            <w:gridSpan w:val="2"/>
          </w:tcPr>
          <w:p>
            <w:pPr>
              <w:ind w:left="240"/>
              <w:spacing w:after="0" w:line="202" w:lineRule="exact"/>
              <w:rPr>
                <w:sz w:val="20"/>
                <w:szCs w:val="20"/>
                <w:color w:val="auto"/>
              </w:rPr>
            </w:pPr>
            <w:r>
              <w:rPr>
                <w:rFonts w:ascii="Georgia" w:cs="Georgia" w:eastAsia="Georgia" w:hAnsi="Georgia"/>
                <w:sz w:val="18"/>
                <w:szCs w:val="18"/>
                <w:color w:val="auto"/>
              </w:rPr>
              <w:t>70</w:t>
            </w:r>
          </w:p>
        </w:tc>
        <w:tc>
          <w:tcPr>
            <w:tcW w:w="5380" w:type="dxa"/>
            <w:vAlign w:val="bottom"/>
            <w:gridSpan w:val="3"/>
          </w:tcPr>
          <w:p>
            <w:pPr>
              <w:ind w:left="240"/>
              <w:spacing w:after="0" w:line="202" w:lineRule="exact"/>
              <w:rPr>
                <w:sz w:val="20"/>
                <w:szCs w:val="20"/>
                <w:color w:val="auto"/>
              </w:rPr>
            </w:pPr>
            <w:r>
              <w:rPr>
                <w:rFonts w:ascii="Georgia" w:cs="Georgia" w:eastAsia="Georgia" w:hAnsi="Georgia"/>
                <w:sz w:val="18"/>
                <w:szCs w:val="18"/>
                <w:color w:val="auto"/>
              </w:rPr>
              <w:t>Statutory auditor</w:t>
            </w:r>
          </w:p>
        </w:tc>
        <w:tc>
          <w:tcPr>
            <w:tcW w:w="2020" w:type="dxa"/>
            <w:vAlign w:val="bottom"/>
          </w:tcPr>
          <w:p>
            <w:pPr>
              <w:spacing w:after="0" w:line="202" w:lineRule="exact"/>
              <w:rPr>
                <w:sz w:val="20"/>
                <w:szCs w:val="20"/>
                <w:color w:val="auto"/>
              </w:rPr>
            </w:pPr>
            <w:r>
              <w:rPr>
                <w:rFonts w:ascii="Georgia" w:cs="Georgia" w:eastAsia="Georgia" w:hAnsi="Georgia"/>
                <w:sz w:val="18"/>
                <w:szCs w:val="18"/>
                <w:color w:val="auto"/>
              </w:rPr>
              <w:t>2021</w:t>
            </w:r>
          </w:p>
        </w:tc>
      </w:tr>
      <w:tr>
        <w:trPr>
          <w:trHeight w:val="203"/>
        </w:trPr>
        <w:tc>
          <w:tcPr>
            <w:tcW w:w="2700" w:type="dxa"/>
            <w:vAlign w:val="bottom"/>
          </w:tcPr>
          <w:p>
            <w:pPr>
              <w:spacing w:after="0" w:line="202" w:lineRule="exact"/>
              <w:rPr>
                <w:sz w:val="20"/>
                <w:szCs w:val="20"/>
                <w:color w:val="auto"/>
              </w:rPr>
            </w:pPr>
            <w:r>
              <w:rPr>
                <w:rFonts w:ascii="Georgia" w:cs="Georgia" w:eastAsia="Georgia" w:hAnsi="Georgia"/>
                <w:sz w:val="18"/>
                <w:szCs w:val="18"/>
                <w:color w:val="auto"/>
              </w:rPr>
              <w:t>Jacopo Doveri</w:t>
            </w:r>
          </w:p>
        </w:tc>
        <w:tc>
          <w:tcPr>
            <w:tcW w:w="1140" w:type="dxa"/>
            <w:vAlign w:val="bottom"/>
            <w:gridSpan w:val="2"/>
          </w:tcPr>
          <w:p>
            <w:pPr>
              <w:ind w:left="240"/>
              <w:spacing w:after="0" w:line="202" w:lineRule="exact"/>
              <w:rPr>
                <w:sz w:val="20"/>
                <w:szCs w:val="20"/>
                <w:color w:val="auto"/>
              </w:rPr>
            </w:pPr>
            <w:r>
              <w:rPr>
                <w:rFonts w:ascii="Georgia" w:cs="Georgia" w:eastAsia="Georgia" w:hAnsi="Georgia"/>
                <w:sz w:val="18"/>
                <w:szCs w:val="18"/>
                <w:color w:val="auto"/>
              </w:rPr>
              <w:t>48</w:t>
            </w:r>
          </w:p>
        </w:tc>
        <w:tc>
          <w:tcPr>
            <w:tcW w:w="5380" w:type="dxa"/>
            <w:vAlign w:val="bottom"/>
            <w:gridSpan w:val="3"/>
          </w:tcPr>
          <w:p>
            <w:pPr>
              <w:ind w:left="240"/>
              <w:spacing w:after="0" w:line="202" w:lineRule="exact"/>
              <w:rPr>
                <w:sz w:val="20"/>
                <w:szCs w:val="20"/>
                <w:color w:val="auto"/>
              </w:rPr>
            </w:pPr>
            <w:r>
              <w:rPr>
                <w:rFonts w:ascii="Georgia" w:cs="Georgia" w:eastAsia="Georgia" w:hAnsi="Georgia"/>
                <w:sz w:val="18"/>
                <w:szCs w:val="18"/>
                <w:color w:val="auto"/>
              </w:rPr>
              <w:t>Statutory auditor</w:t>
            </w:r>
          </w:p>
        </w:tc>
        <w:tc>
          <w:tcPr>
            <w:tcW w:w="2020" w:type="dxa"/>
            <w:vAlign w:val="bottom"/>
          </w:tcPr>
          <w:p>
            <w:pPr>
              <w:spacing w:after="0" w:line="202" w:lineRule="exact"/>
              <w:rPr>
                <w:sz w:val="20"/>
                <w:szCs w:val="20"/>
                <w:color w:val="auto"/>
              </w:rPr>
            </w:pPr>
            <w:r>
              <w:rPr>
                <w:rFonts w:ascii="Georgia" w:cs="Georgia" w:eastAsia="Georgia" w:hAnsi="Georgia"/>
                <w:sz w:val="18"/>
                <w:szCs w:val="18"/>
                <w:color w:val="auto"/>
              </w:rPr>
              <w:t>2021</w:t>
            </w:r>
          </w:p>
        </w:tc>
      </w:tr>
      <w:tr>
        <w:trPr>
          <w:trHeight w:val="203"/>
        </w:trPr>
        <w:tc>
          <w:tcPr>
            <w:tcW w:w="2700" w:type="dxa"/>
            <w:vAlign w:val="bottom"/>
          </w:tcPr>
          <w:p>
            <w:pPr>
              <w:spacing w:after="0" w:line="202" w:lineRule="exact"/>
              <w:rPr>
                <w:sz w:val="20"/>
                <w:szCs w:val="20"/>
                <w:color w:val="auto"/>
              </w:rPr>
            </w:pPr>
            <w:r>
              <w:rPr>
                <w:rFonts w:ascii="Georgia" w:cs="Georgia" w:eastAsia="Georgia" w:hAnsi="Georgia"/>
                <w:sz w:val="18"/>
                <w:szCs w:val="18"/>
                <w:color w:val="auto"/>
              </w:rPr>
              <w:t>Lorenzo Gianluigi Grossi</w:t>
            </w:r>
          </w:p>
        </w:tc>
        <w:tc>
          <w:tcPr>
            <w:tcW w:w="1140" w:type="dxa"/>
            <w:vAlign w:val="bottom"/>
            <w:gridSpan w:val="2"/>
          </w:tcPr>
          <w:p>
            <w:pPr>
              <w:ind w:left="240"/>
              <w:spacing w:after="0" w:line="202" w:lineRule="exact"/>
              <w:rPr>
                <w:sz w:val="20"/>
                <w:szCs w:val="20"/>
                <w:color w:val="auto"/>
              </w:rPr>
            </w:pPr>
            <w:r>
              <w:rPr>
                <w:rFonts w:ascii="Georgia" w:cs="Georgia" w:eastAsia="Georgia" w:hAnsi="Georgia"/>
                <w:sz w:val="18"/>
                <w:szCs w:val="18"/>
                <w:color w:val="auto"/>
              </w:rPr>
              <w:t>55</w:t>
            </w:r>
          </w:p>
        </w:tc>
        <w:tc>
          <w:tcPr>
            <w:tcW w:w="5380" w:type="dxa"/>
            <w:vAlign w:val="bottom"/>
            <w:gridSpan w:val="3"/>
          </w:tcPr>
          <w:p>
            <w:pPr>
              <w:ind w:left="240"/>
              <w:spacing w:after="0" w:line="202" w:lineRule="exact"/>
              <w:rPr>
                <w:sz w:val="20"/>
                <w:szCs w:val="20"/>
                <w:color w:val="auto"/>
              </w:rPr>
            </w:pPr>
            <w:r>
              <w:rPr>
                <w:rFonts w:ascii="Georgia" w:cs="Georgia" w:eastAsia="Georgia" w:hAnsi="Georgia"/>
                <w:sz w:val="18"/>
                <w:szCs w:val="18"/>
                <w:color w:val="auto"/>
              </w:rPr>
              <w:t>Alternate auditor</w:t>
            </w:r>
          </w:p>
        </w:tc>
        <w:tc>
          <w:tcPr>
            <w:tcW w:w="2020" w:type="dxa"/>
            <w:vAlign w:val="bottom"/>
          </w:tcPr>
          <w:p>
            <w:pPr>
              <w:spacing w:after="0" w:line="202" w:lineRule="exact"/>
              <w:rPr>
                <w:sz w:val="20"/>
                <w:szCs w:val="20"/>
                <w:color w:val="auto"/>
              </w:rPr>
            </w:pPr>
            <w:r>
              <w:rPr>
                <w:rFonts w:ascii="Georgia" w:cs="Georgia" w:eastAsia="Georgia" w:hAnsi="Georgia"/>
                <w:sz w:val="18"/>
                <w:szCs w:val="18"/>
                <w:color w:val="auto"/>
              </w:rPr>
              <w:t>2021</w:t>
            </w:r>
          </w:p>
        </w:tc>
      </w:tr>
      <w:tr>
        <w:trPr>
          <w:trHeight w:val="203"/>
        </w:trPr>
        <w:tc>
          <w:tcPr>
            <w:tcW w:w="2700" w:type="dxa"/>
            <w:vAlign w:val="bottom"/>
          </w:tcPr>
          <w:p>
            <w:pPr>
              <w:spacing w:after="0" w:line="203" w:lineRule="exact"/>
              <w:rPr>
                <w:sz w:val="20"/>
                <w:szCs w:val="20"/>
                <w:color w:val="auto"/>
              </w:rPr>
            </w:pPr>
            <w:r>
              <w:rPr>
                <w:rFonts w:ascii="Georgia" w:cs="Georgia" w:eastAsia="Georgia" w:hAnsi="Georgia"/>
                <w:sz w:val="18"/>
                <w:szCs w:val="18"/>
                <w:color w:val="auto"/>
              </w:rPr>
              <w:t>Alessandro Arpiani</w:t>
            </w:r>
          </w:p>
        </w:tc>
        <w:tc>
          <w:tcPr>
            <w:tcW w:w="1140" w:type="dxa"/>
            <w:vAlign w:val="bottom"/>
            <w:gridSpan w:val="2"/>
          </w:tcPr>
          <w:p>
            <w:pPr>
              <w:ind w:left="240"/>
              <w:spacing w:after="0" w:line="203" w:lineRule="exact"/>
              <w:rPr>
                <w:sz w:val="20"/>
                <w:szCs w:val="20"/>
                <w:color w:val="auto"/>
              </w:rPr>
            </w:pPr>
            <w:r>
              <w:rPr>
                <w:rFonts w:ascii="Georgia" w:cs="Georgia" w:eastAsia="Georgia" w:hAnsi="Georgia"/>
                <w:sz w:val="18"/>
                <w:szCs w:val="18"/>
                <w:color w:val="auto"/>
              </w:rPr>
              <w:t>37</w:t>
            </w:r>
          </w:p>
        </w:tc>
        <w:tc>
          <w:tcPr>
            <w:tcW w:w="5380" w:type="dxa"/>
            <w:vAlign w:val="bottom"/>
            <w:gridSpan w:val="3"/>
          </w:tcPr>
          <w:p>
            <w:pPr>
              <w:ind w:left="240"/>
              <w:spacing w:after="0" w:line="203" w:lineRule="exact"/>
              <w:rPr>
                <w:sz w:val="20"/>
                <w:szCs w:val="20"/>
                <w:color w:val="auto"/>
              </w:rPr>
            </w:pPr>
            <w:r>
              <w:rPr>
                <w:rFonts w:ascii="Georgia" w:cs="Georgia" w:eastAsia="Georgia" w:hAnsi="Georgia"/>
                <w:sz w:val="18"/>
                <w:szCs w:val="18"/>
                <w:color w:val="auto"/>
              </w:rPr>
              <w:t>Alternate auditor</w:t>
            </w:r>
          </w:p>
        </w:tc>
        <w:tc>
          <w:tcPr>
            <w:tcW w:w="2020" w:type="dxa"/>
            <w:vAlign w:val="bottom"/>
          </w:tcPr>
          <w:p>
            <w:pPr>
              <w:spacing w:after="0" w:line="203" w:lineRule="exact"/>
              <w:rPr>
                <w:sz w:val="20"/>
                <w:szCs w:val="20"/>
                <w:color w:val="auto"/>
              </w:rPr>
            </w:pPr>
            <w:r>
              <w:rPr>
                <w:rFonts w:ascii="Georgia" w:cs="Georgia" w:eastAsia="Georgia" w:hAnsi="Georgia"/>
                <w:sz w:val="18"/>
                <w:szCs w:val="18"/>
                <w:color w:val="auto"/>
              </w:rPr>
              <w:t>2021</w:t>
            </w:r>
          </w:p>
        </w:tc>
      </w:tr>
    </w:tbl>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207" w:lineRule="exact"/>
        <w:rPr>
          <w:sz w:val="20"/>
          <w:szCs w:val="20"/>
          <w:color w:val="auto"/>
        </w:rPr>
      </w:pPr>
    </w:p>
    <w:p>
      <w:pPr>
        <w:jc w:val="both"/>
        <w:ind w:right="20"/>
        <w:spacing w:after="0" w:line="237" w:lineRule="auto"/>
        <w:rPr>
          <w:sz w:val="20"/>
          <w:szCs w:val="20"/>
          <w:color w:val="auto"/>
        </w:rPr>
      </w:pPr>
      <w:r>
        <w:rPr>
          <w:rFonts w:ascii="Georgia" w:cs="Georgia" w:eastAsia="Georgia" w:hAnsi="Georgia"/>
          <w:sz w:val="18"/>
          <w:szCs w:val="18"/>
          <w:color w:val="auto"/>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spacing w:after="0" w:line="20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Georgia" w:cs="Georgia" w:eastAsia="Georgia" w:hAnsi="Georgia"/>
          <w:sz w:val="18"/>
          <w:szCs w:val="18"/>
          <w:b w:val="1"/>
          <w:bCs w:val="1"/>
          <w:i w:val="1"/>
          <w:iCs w:val="1"/>
          <w:color w:val="auto"/>
        </w:rPr>
        <w:t>Additional Board Committees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Although Italian law does not require that we adopt a Compensation, Nomination and Governance Committee, in connection with the Corporate Conversion, we have established a Compensation, Nomination and Governance Committee according to Nasdaq Listing Rule 5615(a)(3). The members of our compensation, nomination and governance committee include Stephen Squinto, Roger Abravanel and Guido Guidi. On May 1, 2022, Dr. Sirgo will replace Dr. Squinto on our Compensation, Nomination and Governance Committee.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Differences between Italian Laws and Nasdaq Requirements</w:t>
      </w:r>
    </w:p>
    <w:p>
      <w:pPr>
        <w:spacing w:after="0" w:line="20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The Sarbanes-Oxley Act, as well as related rules subsequently implemented by the SEC, requires foreign private issuers, such as us, to comply with various corporate governance practices. In addition, following the listing of the ADSs on Nasdaq, we are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205"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04" w:lineRule="exact"/>
        <w:rPr>
          <w:sz w:val="20"/>
          <w:szCs w:val="20"/>
          <w:color w:val="auto"/>
        </w:rPr>
      </w:pPr>
    </w:p>
    <w:p>
      <w:pPr>
        <w:ind w:left="660" w:right="100" w:hanging="328"/>
        <w:spacing w:after="0" w:line="237" w:lineRule="auto"/>
        <w:tabs>
          <w:tab w:leader="none" w:pos="660" w:val="left"/>
        </w:tabs>
        <w:numPr>
          <w:ilvl w:val="0"/>
          <w:numId w:val="83"/>
        </w:numPr>
        <w:rPr>
          <w:rFonts w:ascii="Georgia" w:cs="Georgia" w:eastAsia="Georgia" w:hAnsi="Georgia"/>
          <w:sz w:val="18"/>
          <w:szCs w:val="18"/>
          <w:color w:val="auto"/>
        </w:rPr>
      </w:pPr>
      <w:r>
        <w:rPr>
          <w:rFonts w:ascii="Georgia" w:cs="Georgia" w:eastAsia="Georgia" w:hAnsi="Georgia"/>
          <w:sz w:val="18"/>
          <w:szCs w:val="18"/>
          <w:i w:val="1"/>
          <w:iCs w:val="1"/>
          <w:color w:val="auto"/>
        </w:rPr>
        <w:t>Composition of the board of directors</w:t>
      </w:r>
      <w:r>
        <w:rPr>
          <w:rFonts w:ascii="Georgia" w:cs="Georgia" w:eastAsia="Georgia" w:hAnsi="Georgia"/>
          <w:sz w:val="18"/>
          <w:szCs w:val="18"/>
          <w:color w:val="auto"/>
        </w:rPr>
        <w:t>. Italian law does not require that the majority of our board of directors consist of independent</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204" w:lineRule="exact"/>
        <w:rPr>
          <w:rFonts w:ascii="Georgia" w:cs="Georgia" w:eastAsia="Georgia" w:hAnsi="Georgia"/>
          <w:sz w:val="18"/>
          <w:szCs w:val="18"/>
          <w:color w:val="auto"/>
        </w:rPr>
      </w:pPr>
    </w:p>
    <w:p>
      <w:pPr>
        <w:ind w:left="660" w:right="60" w:hanging="328"/>
        <w:spacing w:after="0" w:line="237" w:lineRule="auto"/>
        <w:tabs>
          <w:tab w:leader="none" w:pos="660" w:val="left"/>
        </w:tabs>
        <w:numPr>
          <w:ilvl w:val="0"/>
          <w:numId w:val="83"/>
        </w:numPr>
        <w:rPr>
          <w:rFonts w:ascii="Georgia" w:cs="Georgia" w:eastAsia="Georgia" w:hAnsi="Georgia"/>
          <w:sz w:val="18"/>
          <w:szCs w:val="18"/>
          <w:color w:val="auto"/>
        </w:rPr>
      </w:pPr>
      <w:r>
        <w:rPr>
          <w:rFonts w:ascii="Georgia" w:cs="Georgia" w:eastAsia="Georgia" w:hAnsi="Georgia"/>
          <w:sz w:val="18"/>
          <w:szCs w:val="18"/>
          <w:color w:val="auto"/>
        </w:rPr>
        <w:t>Quorum. In accordance with Italian law quorum requirements generally applicable to general meetings of shareholders are set forth in the Italian Civil Code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204" w:lineRule="exact"/>
        <w:rPr>
          <w:rFonts w:ascii="Georgia" w:cs="Georgia" w:eastAsia="Georgia" w:hAnsi="Georgia"/>
          <w:sz w:val="18"/>
          <w:szCs w:val="18"/>
          <w:color w:val="auto"/>
        </w:rPr>
      </w:pPr>
    </w:p>
    <w:p>
      <w:pPr>
        <w:ind w:left="660" w:right="60"/>
        <w:spacing w:after="0" w:line="237" w:lineRule="auto"/>
        <w:rPr>
          <w:rFonts w:ascii="Georgia" w:cs="Georgia" w:eastAsia="Georgia" w:hAnsi="Georgia"/>
          <w:sz w:val="18"/>
          <w:szCs w:val="18"/>
          <w:color w:val="auto"/>
        </w:rPr>
      </w:pPr>
      <w:r>
        <w:rPr>
          <w:rFonts w:ascii="Georgia" w:cs="Georgia" w:eastAsia="Georgia" w:hAnsi="Georgia"/>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205" w:lineRule="exact"/>
        <w:rPr>
          <w:rFonts w:ascii="Georgia" w:cs="Georgia" w:eastAsia="Georgia" w:hAnsi="Georgia"/>
          <w:sz w:val="18"/>
          <w:szCs w:val="18"/>
          <w:color w:val="auto"/>
        </w:rPr>
      </w:pPr>
    </w:p>
    <w:p>
      <w:pPr>
        <w:ind w:left="660" w:right="160" w:hanging="328"/>
        <w:spacing w:after="0" w:line="237" w:lineRule="auto"/>
        <w:tabs>
          <w:tab w:leader="none" w:pos="660" w:val="left"/>
        </w:tabs>
        <w:numPr>
          <w:ilvl w:val="0"/>
          <w:numId w:val="83"/>
        </w:numPr>
        <w:rPr>
          <w:rFonts w:ascii="Georgia" w:cs="Georgia" w:eastAsia="Georgia" w:hAnsi="Georgia"/>
          <w:sz w:val="18"/>
          <w:szCs w:val="18"/>
          <w:color w:val="auto"/>
        </w:rPr>
      </w:pPr>
      <w:r>
        <w:rPr>
          <w:rFonts w:ascii="Georgia" w:cs="Georgia" w:eastAsia="Georgia" w:hAnsi="Georgia"/>
          <w:sz w:val="18"/>
          <w:szCs w:val="18"/>
          <w:i w:val="1"/>
          <w:iCs w:val="1"/>
          <w:color w:val="auto"/>
        </w:rPr>
        <w:t>Proxy Solicitations</w:t>
      </w:r>
      <w:r>
        <w:rPr>
          <w:rFonts w:ascii="Georgia" w:cs="Georgia" w:eastAsia="Georgia" w:hAnsi="Georgia"/>
          <w:sz w:val="18"/>
          <w:szCs w:val="18"/>
          <w:color w:val="auto"/>
        </w:rPr>
        <w:t>. Under Italian law shareholders may appoint attorneys-in-fact by delivering in writing appropriate power of</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attorney to 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205" w:lineRule="exact"/>
        <w:rPr>
          <w:rFonts w:ascii="Georgia" w:cs="Georgia" w:eastAsia="Georgia" w:hAnsi="Georgia"/>
          <w:sz w:val="18"/>
          <w:szCs w:val="18"/>
          <w:color w:val="auto"/>
        </w:rPr>
      </w:pPr>
    </w:p>
    <w:p>
      <w:pPr>
        <w:ind w:left="660" w:right="40" w:hanging="328"/>
        <w:spacing w:after="0" w:line="237" w:lineRule="auto"/>
        <w:tabs>
          <w:tab w:leader="none" w:pos="660" w:val="left"/>
        </w:tabs>
        <w:numPr>
          <w:ilvl w:val="0"/>
          <w:numId w:val="83"/>
        </w:numPr>
        <w:rPr>
          <w:rFonts w:ascii="Georgia" w:cs="Georgia" w:eastAsia="Georgia" w:hAnsi="Georgia"/>
          <w:sz w:val="18"/>
          <w:szCs w:val="18"/>
          <w:color w:val="auto"/>
        </w:rPr>
      </w:pPr>
      <w:r>
        <w:rPr>
          <w:rFonts w:ascii="Georgia" w:cs="Georgia" w:eastAsia="Georgia" w:hAnsi="Georgia"/>
          <w:sz w:val="18"/>
          <w:szCs w:val="18"/>
          <w:i w:val="1"/>
          <w:iCs w:val="1"/>
          <w:color w:val="auto"/>
        </w:rPr>
        <w:t>Share Issuances</w:t>
      </w:r>
      <w:r>
        <w:rPr>
          <w:rFonts w:ascii="Georgia" w:cs="Georgia" w:eastAsia="Georgia" w:hAnsi="Georgia"/>
          <w:sz w:val="18"/>
          <w:szCs w:val="18"/>
          <w:color w:val="auto"/>
        </w:rPr>
        <w:t>. Pursuant to Italian law, we have opted out of shareholder approval requirements by way of including authorized</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and conditional share capital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205" w:lineRule="exact"/>
        <w:rPr>
          <w:rFonts w:ascii="Georgia" w:cs="Georgia" w:eastAsia="Georgia" w:hAnsi="Georgia"/>
          <w:sz w:val="18"/>
          <w:szCs w:val="18"/>
          <w:color w:val="auto"/>
        </w:rPr>
      </w:pPr>
    </w:p>
    <w:p>
      <w:pPr>
        <w:ind w:left="660" w:right="120" w:hanging="328"/>
        <w:spacing w:after="0" w:line="252" w:lineRule="auto"/>
        <w:tabs>
          <w:tab w:leader="none" w:pos="660" w:val="left"/>
        </w:tabs>
        <w:numPr>
          <w:ilvl w:val="0"/>
          <w:numId w:val="83"/>
        </w:numPr>
        <w:rPr>
          <w:rFonts w:ascii="Georgia" w:cs="Georgia" w:eastAsia="Georgia" w:hAnsi="Georgia"/>
          <w:sz w:val="17"/>
          <w:szCs w:val="17"/>
          <w:color w:val="auto"/>
        </w:rPr>
      </w:pPr>
      <w:r>
        <w:rPr>
          <w:rFonts w:ascii="Georgia" w:cs="Georgia" w:eastAsia="Georgia" w:hAnsi="Georgia"/>
          <w:sz w:val="17"/>
          <w:szCs w:val="17"/>
          <w:i w:val="1"/>
          <w:iCs w:val="1"/>
          <w:color w:val="auto"/>
        </w:rPr>
        <w:t>Audit Committee</w:t>
      </w:r>
      <w:r>
        <w:rPr>
          <w:rFonts w:ascii="Georgia" w:cs="Georgia" w:eastAsia="Georgia" w:hAnsi="Georgia"/>
          <w:sz w:val="17"/>
          <w:szCs w:val="17"/>
          <w:color w:val="auto"/>
        </w:rPr>
        <w:t>. US companies listed on Nasdaq are required to have an audit committee that satisfies the requirements of Rule</w:t>
      </w:r>
      <w:r>
        <w:rPr>
          <w:rFonts w:ascii="Georgia" w:cs="Georgia" w:eastAsia="Georgia" w:hAnsi="Georgia"/>
          <w:sz w:val="17"/>
          <w:szCs w:val="17"/>
          <w:i w:val="1"/>
          <w:iCs w:val="1"/>
          <w:color w:val="auto"/>
        </w:rPr>
        <w:t xml:space="preserve"> </w:t>
      </w:r>
      <w:r>
        <w:rPr>
          <w:rFonts w:ascii="Georgia" w:cs="Georgia" w:eastAsia="Georgia" w:hAnsi="Georgia"/>
          <w:sz w:val="17"/>
          <w:szCs w:val="17"/>
          <w:color w:val="auto"/>
        </w:rPr>
        <w:t>10A-3 under the 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7" w:lineRule="exact"/>
        <w:rPr>
          <w:rFonts w:ascii="Georgia" w:cs="Georgia" w:eastAsia="Georgia" w:hAnsi="Georgia"/>
          <w:sz w:val="17"/>
          <w:szCs w:val="17"/>
          <w:color w:val="auto"/>
        </w:rPr>
      </w:pPr>
    </w:p>
    <w:p>
      <w:pPr>
        <w:ind w:left="1300" w:hanging="320"/>
        <w:spacing w:after="0"/>
        <w:tabs>
          <w:tab w:leader="none" w:pos="1300" w:val="left"/>
        </w:tabs>
        <w:numPr>
          <w:ilvl w:val="1"/>
          <w:numId w:val="83"/>
        </w:numPr>
        <w:rPr>
          <w:rFonts w:ascii="Georgia" w:cs="Georgia" w:eastAsia="Georgia" w:hAnsi="Georgia"/>
          <w:sz w:val="18"/>
          <w:szCs w:val="18"/>
          <w:color w:val="auto"/>
        </w:rPr>
      </w:pPr>
      <w:r>
        <w:rPr>
          <w:rFonts w:ascii="Georgia" w:cs="Georgia" w:eastAsia="Georgia" w:hAnsi="Georgia"/>
          <w:sz w:val="18"/>
          <w:szCs w:val="18"/>
          <w:color w:val="auto"/>
        </w:rPr>
        <w:t>the board of statutory auditors is established and selected pursuant to Italian law expressly permitting such a board;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ind w:left="1300" w:hanging="320"/>
        <w:spacing w:after="0"/>
        <w:tabs>
          <w:tab w:leader="none" w:pos="1300" w:val="left"/>
        </w:tabs>
        <w:numPr>
          <w:ilvl w:val="0"/>
          <w:numId w:val="84"/>
        </w:numPr>
        <w:rPr>
          <w:rFonts w:ascii="Georgia" w:cs="Georgia" w:eastAsia="Georgia" w:hAnsi="Georgia"/>
          <w:sz w:val="18"/>
          <w:szCs w:val="18"/>
          <w:color w:val="auto"/>
        </w:rPr>
      </w:pPr>
      <w:r>
        <w:rPr>
          <w:rFonts w:ascii="Georgia" w:cs="Georgia" w:eastAsia="Georgia" w:hAnsi="Georgia"/>
          <w:sz w:val="18"/>
          <w:szCs w:val="18"/>
          <w:color w:val="auto"/>
        </w:rPr>
        <w:t>the board of statutory auditors is required under Italian law to be separate from the Company’s board of directors;</w:t>
      </w:r>
    </w:p>
    <w:p>
      <w:pPr>
        <w:ind w:left="1300" w:right="260" w:hanging="320"/>
        <w:spacing w:after="0" w:line="237" w:lineRule="auto"/>
        <w:tabs>
          <w:tab w:leader="none" w:pos="1300" w:val="left"/>
        </w:tabs>
        <w:numPr>
          <w:ilvl w:val="0"/>
          <w:numId w:val="84"/>
        </w:numPr>
        <w:rPr>
          <w:rFonts w:ascii="Georgia" w:cs="Georgia" w:eastAsia="Georgia" w:hAnsi="Georgia"/>
          <w:sz w:val="18"/>
          <w:szCs w:val="18"/>
          <w:color w:val="auto"/>
        </w:rPr>
      </w:pPr>
      <w:r>
        <w:rPr>
          <w:rFonts w:ascii="Georgia" w:cs="Georgia" w:eastAsia="Georgia" w:hAnsi="Georgia"/>
          <w:sz w:val="18"/>
          <w:szCs w:val="18"/>
          <w:color w:val="auto"/>
        </w:rPr>
        <w:t>the board of statutory auditors is not elected by management of the Company and no executive officer of the Company is a member of the board of statutory auditors;</w:t>
      </w:r>
    </w:p>
    <w:p>
      <w:pPr>
        <w:spacing w:after="0" w:line="203" w:lineRule="exact"/>
        <w:rPr>
          <w:rFonts w:ascii="Georgia" w:cs="Georgia" w:eastAsia="Georgia" w:hAnsi="Georgia"/>
          <w:sz w:val="18"/>
          <w:szCs w:val="18"/>
          <w:color w:val="auto"/>
        </w:rPr>
      </w:pPr>
    </w:p>
    <w:p>
      <w:pPr>
        <w:ind w:left="1300" w:right="740" w:hanging="320"/>
        <w:spacing w:after="0" w:line="237" w:lineRule="auto"/>
        <w:tabs>
          <w:tab w:leader="none" w:pos="1300" w:val="left"/>
        </w:tabs>
        <w:numPr>
          <w:ilvl w:val="0"/>
          <w:numId w:val="84"/>
        </w:numPr>
        <w:rPr>
          <w:rFonts w:ascii="Georgia" w:cs="Georgia" w:eastAsia="Georgia" w:hAnsi="Georgia"/>
          <w:sz w:val="18"/>
          <w:szCs w:val="18"/>
          <w:color w:val="auto"/>
        </w:rPr>
      </w:pPr>
      <w:r>
        <w:rPr>
          <w:rFonts w:ascii="Georgia" w:cs="Georgia" w:eastAsia="Georgia" w:hAnsi="Georgia"/>
          <w:sz w:val="18"/>
          <w:szCs w:val="18"/>
          <w:color w:val="auto"/>
        </w:rPr>
        <w:t>Italian law provides for standards for the independence of the board of statutory auditors from the Company and its management;</w:t>
      </w:r>
    </w:p>
    <w:p>
      <w:pPr>
        <w:spacing w:after="0" w:line="203" w:lineRule="exact"/>
        <w:rPr>
          <w:rFonts w:ascii="Georgia" w:cs="Georgia" w:eastAsia="Georgia" w:hAnsi="Georgia"/>
          <w:sz w:val="18"/>
          <w:szCs w:val="18"/>
          <w:color w:val="auto"/>
        </w:rPr>
      </w:pPr>
    </w:p>
    <w:p>
      <w:pPr>
        <w:ind w:left="1300" w:right="280" w:hanging="320"/>
        <w:spacing w:after="0" w:line="237" w:lineRule="auto"/>
        <w:tabs>
          <w:tab w:leader="none" w:pos="1300" w:val="left"/>
        </w:tabs>
        <w:numPr>
          <w:ilvl w:val="0"/>
          <w:numId w:val="84"/>
        </w:numPr>
        <w:rPr>
          <w:rFonts w:ascii="Georgia" w:cs="Georgia" w:eastAsia="Georgia" w:hAnsi="Georgia"/>
          <w:sz w:val="18"/>
          <w:szCs w:val="18"/>
          <w:color w:val="auto"/>
        </w:rPr>
      </w:pPr>
      <w:r>
        <w:rPr>
          <w:rFonts w:ascii="Georgia" w:cs="Georgia" w:eastAsia="Georgia" w:hAnsi="Georgia"/>
          <w:sz w:val="18"/>
          <w:szCs w:val="18"/>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205" w:lineRule="exact"/>
        <w:rPr>
          <w:sz w:val="20"/>
          <w:szCs w:val="20"/>
          <w:color w:val="auto"/>
        </w:rPr>
      </w:pPr>
    </w:p>
    <w:p>
      <w:pPr>
        <w:ind w:right="560"/>
        <w:spacing w:after="0" w:line="237" w:lineRule="auto"/>
        <w:rPr>
          <w:sz w:val="20"/>
          <w:szCs w:val="20"/>
          <w:color w:val="auto"/>
        </w:rPr>
      </w:pPr>
      <w:r>
        <w:rPr>
          <w:rFonts w:ascii="Georgia" w:cs="Georgia" w:eastAsia="Georgia" w:hAnsi="Georgia"/>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204" w:lineRule="exact"/>
        <w:rPr>
          <w:sz w:val="20"/>
          <w:szCs w:val="20"/>
          <w:color w:val="auto"/>
        </w:rPr>
      </w:pPr>
    </w:p>
    <w:p>
      <w:pPr>
        <w:ind w:left="660" w:hanging="328"/>
        <w:spacing w:after="0" w:line="237" w:lineRule="auto"/>
        <w:tabs>
          <w:tab w:leader="none" w:pos="660" w:val="left"/>
        </w:tabs>
        <w:numPr>
          <w:ilvl w:val="1"/>
          <w:numId w:val="85"/>
        </w:numPr>
        <w:rPr>
          <w:rFonts w:ascii="Georgia" w:cs="Georgia" w:eastAsia="Georgia" w:hAnsi="Georgia"/>
          <w:sz w:val="18"/>
          <w:szCs w:val="18"/>
          <w:color w:val="auto"/>
        </w:rPr>
      </w:pPr>
      <w:r>
        <w:rPr>
          <w:rFonts w:ascii="Georgia" w:cs="Georgia" w:eastAsia="Georgia" w:hAnsi="Georgia"/>
          <w:sz w:val="18"/>
          <w:szCs w:val="18"/>
          <w:i w:val="1"/>
          <w:iCs w:val="1"/>
          <w:color w:val="auto"/>
        </w:rPr>
        <w:t>Compensation, Nomination and Governance Committee</w:t>
      </w:r>
      <w:r>
        <w:rPr>
          <w:rFonts w:ascii="Georgia" w:cs="Georgia" w:eastAsia="Georgia" w:hAnsi="Georgia"/>
          <w:sz w:val="18"/>
          <w:szCs w:val="18"/>
          <w:color w:val="auto"/>
        </w:rPr>
        <w:t>. Italian law does not require the appointment of a Compensation,</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Nomination and 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206" w:lineRule="exact"/>
        <w:rPr>
          <w:rFonts w:ascii="Georgia" w:cs="Georgia" w:eastAsia="Georgia" w:hAnsi="Georgia"/>
          <w:sz w:val="18"/>
          <w:szCs w:val="18"/>
          <w:color w:val="auto"/>
        </w:rPr>
      </w:pPr>
    </w:p>
    <w:p>
      <w:pPr>
        <w:ind w:left="660" w:right="180" w:hanging="328"/>
        <w:spacing w:after="0" w:line="237" w:lineRule="auto"/>
        <w:tabs>
          <w:tab w:leader="none" w:pos="660" w:val="left"/>
        </w:tabs>
        <w:numPr>
          <w:ilvl w:val="1"/>
          <w:numId w:val="85"/>
        </w:numPr>
        <w:rPr>
          <w:rFonts w:ascii="Georgia" w:cs="Georgia" w:eastAsia="Georgia" w:hAnsi="Georgia"/>
          <w:sz w:val="18"/>
          <w:szCs w:val="18"/>
          <w:color w:val="auto"/>
        </w:rPr>
      </w:pPr>
      <w:r>
        <w:rPr>
          <w:rFonts w:ascii="Georgia" w:cs="Georgia" w:eastAsia="Georgia" w:hAnsi="Georgia"/>
          <w:sz w:val="18"/>
          <w:szCs w:val="18"/>
          <w:i w:val="1"/>
          <w:iCs w:val="1"/>
          <w:color w:val="auto"/>
        </w:rPr>
        <w:t>Code of Business</w:t>
      </w:r>
      <w:r>
        <w:rPr>
          <w:rFonts w:ascii="Georgia" w:cs="Georgia" w:eastAsia="Georgia" w:hAnsi="Georgia"/>
          <w:sz w:val="18"/>
          <w:szCs w:val="18"/>
          <w:color w:val="auto"/>
        </w:rPr>
        <w:t>. Conduct and Ethics. Pursuant to Italian law, we have adopted an “Organization and Operational Model” as</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required by Italian Legislative Decree of June 8, 2001, No. 231 (relating to administrative responsibility) that we expect will consist of: (i) a Code of Ethics; (ii) operating procedures and reporting systems applicable to all of our directors, officers and employees, which may not comply with the requirements of Nasdaq Listing Rule 5610.</w:t>
      </w:r>
    </w:p>
    <w:p>
      <w:pPr>
        <w:spacing w:after="0" w:line="203" w:lineRule="exact"/>
        <w:rPr>
          <w:rFonts w:ascii="Georgia" w:cs="Georgia" w:eastAsia="Georgia" w:hAnsi="Georgia"/>
          <w:sz w:val="18"/>
          <w:szCs w:val="18"/>
          <w:color w:val="auto"/>
        </w:rPr>
      </w:pPr>
    </w:p>
    <w:p>
      <w:pPr>
        <w:ind w:left="260" w:hanging="252"/>
        <w:spacing w:after="0"/>
        <w:tabs>
          <w:tab w:leader="none" w:pos="260" w:val="left"/>
        </w:tabs>
        <w:numPr>
          <w:ilvl w:val="0"/>
          <w:numId w:val="85"/>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Employees</w:t>
      </w:r>
    </w:p>
    <w:p>
      <w:pPr>
        <w:spacing w:after="0" w:line="202" w:lineRule="exact"/>
        <w:rPr>
          <w:sz w:val="20"/>
          <w:szCs w:val="20"/>
          <w:color w:val="auto"/>
        </w:rPr>
      </w:pPr>
    </w:p>
    <w:p>
      <w:pPr>
        <w:ind w:right="160" w:firstLine="324"/>
        <w:spacing w:after="0" w:line="237" w:lineRule="auto"/>
        <w:rPr>
          <w:sz w:val="20"/>
          <w:szCs w:val="20"/>
          <w:color w:val="auto"/>
        </w:rPr>
      </w:pPr>
      <w:r>
        <w:rPr>
          <w:rFonts w:ascii="Georgia" w:cs="Georgia" w:eastAsia="Georgia" w:hAnsi="Georgia"/>
          <w:sz w:val="18"/>
          <w:szCs w:val="18"/>
          <w:color w:val="auto"/>
        </w:rPr>
        <w:t>As of April 26, 2022, we had seven full-time employees, five located in Milan, Italy and two located in the United States. We also rely on consultants and a large number of collaborators at SR-TIGET and OSR. Our full-time employees and consultants are engaged in clinical, research and development, product development, quality assurance, finance, accounting and administrative activities. We consider our relationship with our employees to be good.</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E. Share Ownership</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See Item 7.A below.</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7. MAJOR SHAREHOLDERS AND RELATED PARTY TRANSACTIONS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A. Major shareholders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following table sets forth information regarding beneficial ownership of our ordinary shares as of April 26, 2022 by:</w:t>
      </w:r>
    </w:p>
    <w:p>
      <w:pPr>
        <w:spacing w:after="0" w:line="202" w:lineRule="exact"/>
        <w:rPr>
          <w:sz w:val="20"/>
          <w:szCs w:val="20"/>
          <w:color w:val="auto"/>
        </w:rPr>
      </w:pPr>
    </w:p>
    <w:p>
      <w:pPr>
        <w:ind w:left="1300" w:right="560" w:hanging="644"/>
        <w:spacing w:after="0" w:line="237" w:lineRule="auto"/>
        <w:tabs>
          <w:tab w:leader="none" w:pos="1300" w:val="left"/>
        </w:tabs>
        <w:numPr>
          <w:ilvl w:val="0"/>
          <w:numId w:val="86"/>
        </w:numPr>
        <w:rPr>
          <w:rFonts w:ascii="Georgia" w:cs="Georgia" w:eastAsia="Georgia" w:hAnsi="Georgia"/>
          <w:sz w:val="18"/>
          <w:szCs w:val="18"/>
          <w:color w:val="auto"/>
        </w:rPr>
      </w:pPr>
      <w:r>
        <w:rPr>
          <w:rFonts w:ascii="Georgia" w:cs="Georgia" w:eastAsia="Georgia" w:hAnsi="Georgia"/>
          <w:sz w:val="18"/>
          <w:szCs w:val="18"/>
          <w:color w:val="auto"/>
        </w:rPr>
        <w:t>each person, or group of affiliated persons, known to us to be the beneficial owner of more than 5% of our outstanding ordinary shares;</w:t>
      </w:r>
    </w:p>
    <w:p>
      <w:pPr>
        <w:spacing w:after="0" w:line="1" w:lineRule="exact"/>
        <w:rPr>
          <w:rFonts w:ascii="Georgia" w:cs="Georgia" w:eastAsia="Georgia" w:hAnsi="Georgia"/>
          <w:sz w:val="18"/>
          <w:szCs w:val="18"/>
          <w:color w:val="auto"/>
        </w:rPr>
      </w:pPr>
    </w:p>
    <w:p>
      <w:pPr>
        <w:ind w:left="1300" w:hanging="644"/>
        <w:spacing w:after="0" w:line="237" w:lineRule="auto"/>
        <w:tabs>
          <w:tab w:leader="none" w:pos="1300" w:val="left"/>
        </w:tabs>
        <w:numPr>
          <w:ilvl w:val="0"/>
          <w:numId w:val="86"/>
        </w:numPr>
        <w:rPr>
          <w:rFonts w:ascii="Georgia" w:cs="Georgia" w:eastAsia="Georgia" w:hAnsi="Georgia"/>
          <w:sz w:val="18"/>
          <w:szCs w:val="18"/>
          <w:color w:val="auto"/>
        </w:rPr>
      </w:pPr>
      <w:r>
        <w:rPr>
          <w:rFonts w:ascii="Georgia" w:cs="Georgia" w:eastAsia="Georgia" w:hAnsi="Georgia"/>
          <w:sz w:val="18"/>
          <w:szCs w:val="18"/>
          <w:color w:val="auto"/>
        </w:rPr>
        <w:t>each of our directors and executive officers; and</w:t>
      </w:r>
    </w:p>
    <w:p>
      <w:pPr>
        <w:ind w:left="1300" w:hanging="644"/>
        <w:spacing w:after="0" w:line="238" w:lineRule="auto"/>
        <w:tabs>
          <w:tab w:leader="none" w:pos="1300" w:val="left"/>
        </w:tabs>
        <w:numPr>
          <w:ilvl w:val="0"/>
          <w:numId w:val="86"/>
        </w:numPr>
        <w:rPr>
          <w:rFonts w:ascii="Georgia" w:cs="Georgia" w:eastAsia="Georgia" w:hAnsi="Georgia"/>
          <w:sz w:val="18"/>
          <w:szCs w:val="18"/>
          <w:color w:val="auto"/>
        </w:rPr>
      </w:pPr>
      <w:r>
        <w:rPr>
          <w:rFonts w:ascii="Georgia" w:cs="Georgia" w:eastAsia="Georgia" w:hAnsi="Georgia"/>
          <w:sz w:val="18"/>
          <w:szCs w:val="18"/>
          <w:color w:val="auto"/>
        </w:rPr>
        <w:t>all of our directors and executive officers as a group.</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22" w:name="page123"/>
    <w:bookmarkEnd w:id="122"/>
    <w:p>
      <w:pPr>
        <w:ind w:right="60"/>
        <w:spacing w:after="0" w:line="237" w:lineRule="auto"/>
        <w:rPr>
          <w:sz w:val="20"/>
          <w:szCs w:val="20"/>
          <w:color w:val="auto"/>
        </w:rPr>
      </w:pPr>
      <w:r>
        <w:rPr>
          <w:rFonts w:ascii="Georgia" w:cs="Georgia" w:eastAsia="Georgia" w:hAnsi="Georgia"/>
          <w:sz w:val="18"/>
          <w:szCs w:val="18"/>
          <w:color w:val="auto"/>
        </w:rPr>
        <w:t>Beneficial ownership is determined in accordance with the rules of the SEC and includes voting or investment power with respect to ordinary shares. Percentage of shares beneficially owned is based on 18,216,858 ordinary shares and ADSs outstanding on April 26, 2022.</w:t>
      </w:r>
    </w:p>
    <w:p>
      <w:pPr>
        <w:spacing w:after="0" w:line="204" w:lineRule="exact"/>
        <w:rPr>
          <w:sz w:val="20"/>
          <w:szCs w:val="20"/>
          <w:color w:val="auto"/>
        </w:rPr>
      </w:pPr>
    </w:p>
    <w:p>
      <w:pPr>
        <w:ind w:right="380"/>
        <w:spacing w:after="0" w:line="237" w:lineRule="auto"/>
        <w:rPr>
          <w:sz w:val="20"/>
          <w:szCs w:val="20"/>
          <w:color w:val="auto"/>
        </w:rPr>
      </w:pPr>
      <w:r>
        <w:rPr>
          <w:rFonts w:ascii="Georgia" w:cs="Georgia" w:eastAsia="Georgia" w:hAnsi="Georgia"/>
          <w:sz w:val="18"/>
          <w:szCs w:val="18"/>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S.p.A., Via Olgettina no. 58, 20132 Milan, Italy.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460" w:type="dxa"/>
            <w:vAlign w:val="bottom"/>
            <w:gridSpan w:val="2"/>
          </w:tcPr>
          <w:p>
            <w:pPr>
              <w:jc w:val="right"/>
              <w:ind w:right="780"/>
              <w:spacing w:after="0"/>
              <w:rPr>
                <w:sz w:val="20"/>
                <w:szCs w:val="20"/>
                <w:color w:val="auto"/>
              </w:rPr>
            </w:pPr>
            <w:r>
              <w:rPr>
                <w:rFonts w:ascii="Georgia" w:cs="Georgia" w:eastAsia="Georgia" w:hAnsi="Georgia"/>
                <w:sz w:val="18"/>
                <w:szCs w:val="18"/>
                <w:b w:val="1"/>
                <w:bCs w:val="1"/>
                <w:color w:val="auto"/>
              </w:rPr>
              <w:t>No. of Shares</w:t>
            </w:r>
          </w:p>
        </w:tc>
        <w:tc>
          <w:tcPr>
            <w:tcW w:w="2260" w:type="dxa"/>
            <w:vAlign w:val="bottom"/>
            <w:gridSpan w:val="2"/>
            <w:vMerge w:val="restart"/>
          </w:tcPr>
          <w:p>
            <w:pPr>
              <w:jc w:val="right"/>
              <w:ind w:right="240"/>
              <w:spacing w:after="0"/>
              <w:rPr>
                <w:sz w:val="20"/>
                <w:szCs w:val="20"/>
                <w:color w:val="auto"/>
              </w:rPr>
            </w:pPr>
            <w:r>
              <w:rPr>
                <w:rFonts w:ascii="Georgia" w:cs="Georgia" w:eastAsia="Georgia" w:hAnsi="Georgia"/>
                <w:sz w:val="18"/>
                <w:szCs w:val="18"/>
                <w:b w:val="1"/>
                <w:bCs w:val="1"/>
                <w:color w:val="auto"/>
              </w:rPr>
              <w:t>Percentage Owned</w:t>
            </w:r>
            <w:r>
              <w:rPr>
                <w:rFonts w:ascii="Georgia" w:cs="Georgia" w:eastAsia="Georgia" w:hAnsi="Georgia"/>
                <w:sz w:val="29"/>
                <w:szCs w:val="29"/>
                <w:b w:val="1"/>
                <w:bCs w:val="1"/>
                <w:color w:val="auto"/>
                <w:vertAlign w:val="superscript"/>
              </w:rPr>
              <w:t>(1)</w:t>
            </w:r>
          </w:p>
        </w:tc>
        <w:tc>
          <w:tcPr>
            <w:tcW w:w="0" w:type="dxa"/>
            <w:vAlign w:val="bottom"/>
          </w:tcPr>
          <w:p>
            <w:pPr>
              <w:spacing w:after="0"/>
              <w:rPr>
                <w:sz w:val="1"/>
                <w:szCs w:val="1"/>
                <w:color w:val="auto"/>
              </w:rPr>
            </w:pPr>
          </w:p>
        </w:tc>
      </w:tr>
      <w:tr>
        <w:trPr>
          <w:trHeight w:val="213"/>
        </w:trPr>
        <w:tc>
          <w:tcPr>
            <w:tcW w:w="6520" w:type="dxa"/>
            <w:vAlign w:val="bottom"/>
          </w:tcPr>
          <w:p>
            <w:pPr>
              <w:spacing w:after="0"/>
              <w:rPr>
                <w:sz w:val="18"/>
                <w:szCs w:val="18"/>
                <w:color w:val="auto"/>
              </w:rPr>
            </w:pPr>
          </w:p>
        </w:tc>
        <w:tc>
          <w:tcPr>
            <w:tcW w:w="2460" w:type="dxa"/>
            <w:vAlign w:val="bottom"/>
            <w:gridSpan w:val="2"/>
          </w:tcPr>
          <w:p>
            <w:pPr>
              <w:jc w:val="right"/>
              <w:ind w:right="500"/>
              <w:spacing w:after="0" w:line="203" w:lineRule="exact"/>
              <w:rPr>
                <w:sz w:val="20"/>
                <w:szCs w:val="20"/>
                <w:color w:val="auto"/>
              </w:rPr>
            </w:pPr>
            <w:r>
              <w:rPr>
                <w:rFonts w:ascii="Georgia" w:cs="Georgia" w:eastAsia="Georgia" w:hAnsi="Georgia"/>
                <w:sz w:val="18"/>
                <w:szCs w:val="18"/>
                <w:b w:val="1"/>
                <w:bCs w:val="1"/>
                <w:color w:val="auto"/>
              </w:rPr>
              <w:t>Beneficially Owned</w:t>
            </w:r>
          </w:p>
        </w:tc>
        <w:tc>
          <w:tcPr>
            <w:tcW w:w="2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shd w:val="clear" w:color="auto" w:fill="CCEEFF"/>
          </w:tcPr>
          <w:p>
            <w:pPr>
              <w:spacing w:after="0" w:line="200" w:lineRule="exact"/>
              <w:rPr>
                <w:sz w:val="20"/>
                <w:szCs w:val="20"/>
                <w:color w:val="auto"/>
              </w:rPr>
            </w:pPr>
            <w:r>
              <w:rPr>
                <w:rFonts w:ascii="Georgia" w:cs="Georgia" w:eastAsia="Georgia" w:hAnsi="Georgia"/>
                <w:sz w:val="18"/>
                <w:szCs w:val="18"/>
                <w:b w:val="1"/>
                <w:bCs w:val="1"/>
                <w:color w:val="auto"/>
              </w:rPr>
              <w:t>Directors and executive officers</w:t>
            </w:r>
          </w:p>
        </w:tc>
        <w:tc>
          <w:tcPr>
            <w:tcW w:w="2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Georgia" w:cs="Georgia" w:eastAsia="Georgia" w:hAnsi="Georgia"/>
                <w:sz w:val="18"/>
                <w:szCs w:val="18"/>
                <w:color w:val="auto"/>
              </w:rPr>
              <w:t>Stephen Squinto</w:t>
            </w:r>
          </w:p>
        </w:tc>
        <w:tc>
          <w:tcPr>
            <w:tcW w:w="246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147,783</w:t>
            </w:r>
          </w:p>
        </w:tc>
        <w:tc>
          <w:tcPr>
            <w:tcW w:w="226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Pierluigi Paracchi</w:t>
            </w:r>
          </w:p>
        </w:tc>
        <w:tc>
          <w:tcPr>
            <w:tcW w:w="24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2,275,516</w:t>
            </w:r>
          </w:p>
        </w:tc>
        <w:tc>
          <w:tcPr>
            <w:tcW w:w="22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12.49%</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Georgia" w:cs="Georgia" w:eastAsia="Georgia" w:hAnsi="Georgia"/>
                <w:sz w:val="18"/>
                <w:szCs w:val="18"/>
                <w:color w:val="auto"/>
              </w:rPr>
              <w:t>Roger Abravanel</w:t>
            </w:r>
          </w:p>
        </w:tc>
        <w:tc>
          <w:tcPr>
            <w:tcW w:w="246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76,179</w:t>
            </w:r>
          </w:p>
        </w:tc>
        <w:tc>
          <w:tcPr>
            <w:tcW w:w="226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Daniela Bellomo</w:t>
            </w:r>
          </w:p>
        </w:tc>
        <w:tc>
          <w:tcPr>
            <w:tcW w:w="24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16,357</w:t>
            </w:r>
          </w:p>
        </w:tc>
        <w:tc>
          <w:tcPr>
            <w:tcW w:w="22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Georgia" w:cs="Georgia" w:eastAsia="Georgia" w:hAnsi="Georgia"/>
                <w:sz w:val="18"/>
                <w:szCs w:val="18"/>
                <w:color w:val="auto"/>
              </w:rPr>
              <w:t>Guido Guidi</w:t>
            </w:r>
          </w:p>
        </w:tc>
        <w:tc>
          <w:tcPr>
            <w:tcW w:w="246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61,553</w:t>
            </w:r>
          </w:p>
        </w:tc>
        <w:tc>
          <w:tcPr>
            <w:tcW w:w="226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Luca Guidotti</w:t>
            </w:r>
          </w:p>
        </w:tc>
        <w:tc>
          <w:tcPr>
            <w:tcW w:w="24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49,469</w:t>
            </w:r>
          </w:p>
        </w:tc>
        <w:tc>
          <w:tcPr>
            <w:tcW w:w="22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Georgia" w:cs="Georgia" w:eastAsia="Georgia" w:hAnsi="Georgia"/>
                <w:sz w:val="18"/>
                <w:szCs w:val="18"/>
                <w:color w:val="auto"/>
              </w:rPr>
              <w:t>Anthony Marucci</w:t>
            </w:r>
          </w:p>
        </w:tc>
        <w:tc>
          <w:tcPr>
            <w:tcW w:w="246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w:t>
            </w:r>
          </w:p>
        </w:tc>
        <w:tc>
          <w:tcPr>
            <w:tcW w:w="2260" w:type="dxa"/>
            <w:vAlign w:val="bottom"/>
            <w:gridSpan w:val="2"/>
          </w:tcPr>
          <w:p>
            <w:pPr>
              <w:jc w:val="right"/>
              <w:ind w:right="140"/>
              <w:spacing w:after="0" w:line="202" w:lineRule="exact"/>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Richard B. Slansky</w:t>
            </w:r>
          </w:p>
        </w:tc>
        <w:tc>
          <w:tcPr>
            <w:tcW w:w="24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19,947</w:t>
            </w:r>
          </w:p>
        </w:tc>
        <w:tc>
          <w:tcPr>
            <w:tcW w:w="22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Georgia" w:cs="Georgia" w:eastAsia="Georgia" w:hAnsi="Georgia"/>
                <w:sz w:val="18"/>
                <w:szCs w:val="18"/>
                <w:color w:val="auto"/>
              </w:rPr>
              <w:t>Carlo Russo</w:t>
            </w:r>
          </w:p>
        </w:tc>
        <w:tc>
          <w:tcPr>
            <w:tcW w:w="246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598,417</w:t>
            </w:r>
          </w:p>
        </w:tc>
        <w:tc>
          <w:tcPr>
            <w:tcW w:w="226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3.29%</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Luigi Naldini</w:t>
            </w:r>
          </w:p>
        </w:tc>
        <w:tc>
          <w:tcPr>
            <w:tcW w:w="24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1,386,145</w:t>
            </w:r>
          </w:p>
        </w:tc>
        <w:tc>
          <w:tcPr>
            <w:tcW w:w="22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7.61%</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Georgia" w:cs="Georgia" w:eastAsia="Georgia" w:hAnsi="Georgia"/>
                <w:sz w:val="18"/>
                <w:szCs w:val="18"/>
                <w:color w:val="auto"/>
              </w:rPr>
              <w:t>Bernhard Gentner</w:t>
            </w:r>
          </w:p>
        </w:tc>
        <w:tc>
          <w:tcPr>
            <w:tcW w:w="246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692,871</w:t>
            </w:r>
          </w:p>
        </w:tc>
        <w:tc>
          <w:tcPr>
            <w:tcW w:w="226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3.80%</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Georgia" w:cs="Georgia" w:eastAsia="Georgia" w:hAnsi="Georgia"/>
                <w:sz w:val="18"/>
                <w:szCs w:val="18"/>
                <w:i w:val="1"/>
                <w:iCs w:val="1"/>
                <w:color w:val="auto"/>
              </w:rPr>
              <w:t>All directors and executive officers as a group (11 persons)</w:t>
            </w:r>
          </w:p>
        </w:tc>
        <w:tc>
          <w:tcPr>
            <w:tcW w:w="24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5,324,237</w:t>
            </w:r>
          </w:p>
        </w:tc>
        <w:tc>
          <w:tcPr>
            <w:tcW w:w="22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28.99%</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Georgia" w:cs="Georgia" w:eastAsia="Georgia" w:hAnsi="Georgia"/>
                <w:sz w:val="18"/>
                <w:szCs w:val="18"/>
                <w:color w:val="auto"/>
              </w:rPr>
              <w:t>5% Shareholders</w:t>
            </w: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OSR - San Raffaele Hospital</w:t>
            </w:r>
          </w:p>
        </w:tc>
        <w:tc>
          <w:tcPr>
            <w:tcW w:w="24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1,896,730</w:t>
            </w:r>
          </w:p>
        </w:tc>
        <w:tc>
          <w:tcPr>
            <w:tcW w:w="22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10.41%</w:t>
            </w:r>
          </w:p>
        </w:tc>
        <w:tc>
          <w:tcPr>
            <w:tcW w:w="0" w:type="dxa"/>
            <w:vAlign w:val="bottom"/>
          </w:tcPr>
          <w:p>
            <w:pPr>
              <w:spacing w:after="0"/>
              <w:rPr>
                <w:sz w:val="1"/>
                <w:szCs w:val="1"/>
                <w:color w:val="auto"/>
              </w:rPr>
            </w:pPr>
          </w:p>
        </w:tc>
      </w:tr>
      <w:tr>
        <w:trPr>
          <w:trHeight w:val="376"/>
        </w:trPr>
        <w:tc>
          <w:tcPr>
            <w:tcW w:w="6520" w:type="dxa"/>
            <w:vAlign w:val="bottom"/>
          </w:tcPr>
          <w:p>
            <w:pPr>
              <w:spacing w:after="0"/>
              <w:rPr>
                <w:sz w:val="20"/>
                <w:szCs w:val="20"/>
                <w:color w:val="auto"/>
              </w:rPr>
            </w:pPr>
            <w:r>
              <w:rPr>
                <w:rFonts w:ascii="Georgia" w:cs="Georgia" w:eastAsia="Georgia" w:hAnsi="Georgia"/>
                <w:sz w:val="18"/>
                <w:szCs w:val="18"/>
                <w:color w:val="auto"/>
              </w:rPr>
              <w:t>Spafid</w:t>
            </w:r>
            <w:r>
              <w:rPr>
                <w:rFonts w:ascii="Georgia" w:cs="Georgia" w:eastAsia="Georgia" w:hAnsi="Georgia"/>
                <w:sz w:val="29"/>
                <w:szCs w:val="29"/>
                <w:color w:val="auto"/>
                <w:vertAlign w:val="superscript"/>
              </w:rPr>
              <w:t>(2)</w:t>
            </w:r>
          </w:p>
        </w:tc>
        <w:tc>
          <w:tcPr>
            <w:tcW w:w="246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3,404,688</w:t>
            </w:r>
          </w:p>
        </w:tc>
        <w:tc>
          <w:tcPr>
            <w:tcW w:w="2260" w:type="dxa"/>
            <w:vAlign w:val="bottom"/>
            <w:gridSpan w:val="2"/>
          </w:tcPr>
          <w:p>
            <w:pPr>
              <w:jc w:val="right"/>
              <w:spacing w:after="0"/>
              <w:rPr>
                <w:sz w:val="20"/>
                <w:szCs w:val="20"/>
                <w:color w:val="auto"/>
              </w:rPr>
            </w:pPr>
            <w:r>
              <w:rPr>
                <w:rFonts w:ascii="Georgia" w:cs="Georgia" w:eastAsia="Georgia" w:hAnsi="Georgia"/>
                <w:sz w:val="18"/>
                <w:szCs w:val="18"/>
                <w:color w:val="auto"/>
              </w:rPr>
              <w:t>18.69%</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 Less than 1%.</w:t>
      </w:r>
    </w:p>
    <w:p>
      <w:pPr>
        <w:spacing w:after="0" w:line="200" w:lineRule="exact"/>
        <w:rPr>
          <w:sz w:val="20"/>
          <w:szCs w:val="20"/>
          <w:color w:val="auto"/>
        </w:rPr>
      </w:pPr>
    </w:p>
    <w:p>
      <w:pPr>
        <w:ind w:left="980" w:hanging="324"/>
        <w:spacing w:after="0"/>
        <w:tabs>
          <w:tab w:leader="none" w:pos="980" w:val="left"/>
        </w:tabs>
        <w:numPr>
          <w:ilvl w:val="0"/>
          <w:numId w:val="87"/>
        </w:numPr>
        <w:rPr>
          <w:rFonts w:ascii="Georgia" w:cs="Georgia" w:eastAsia="Georgia" w:hAnsi="Georgia"/>
          <w:sz w:val="15"/>
          <w:szCs w:val="15"/>
          <w:color w:val="auto"/>
        </w:rPr>
      </w:pPr>
      <w:r>
        <w:rPr>
          <w:rFonts w:ascii="Georgia" w:cs="Georgia" w:eastAsia="Georgia" w:hAnsi="Georgia"/>
          <w:sz w:val="18"/>
          <w:szCs w:val="18"/>
          <w:color w:val="auto"/>
        </w:rPr>
        <w:t>The percentages shown are based on 18,216,858 ordinary shares issued and outstanding as of April 26, 2022.</w:t>
      </w:r>
    </w:p>
    <w:p>
      <w:pPr>
        <w:ind w:left="980" w:right="140" w:hanging="324"/>
        <w:spacing w:after="0" w:line="237" w:lineRule="auto"/>
        <w:tabs>
          <w:tab w:leader="none" w:pos="980" w:val="left"/>
        </w:tabs>
        <w:numPr>
          <w:ilvl w:val="0"/>
          <w:numId w:val="87"/>
        </w:numPr>
        <w:rPr>
          <w:rFonts w:ascii="Georgia" w:cs="Georgia" w:eastAsia="Georgia" w:hAnsi="Georgia"/>
          <w:sz w:val="15"/>
          <w:szCs w:val="15"/>
          <w:color w:val="auto"/>
        </w:rPr>
      </w:pPr>
      <w:r>
        <w:rPr>
          <w:rFonts w:ascii="Georgia" w:cs="Georgia" w:eastAsia="Georgia" w:hAnsi="Georgia"/>
          <w:sz w:val="18"/>
          <w:szCs w:val="18"/>
          <w:color w:val="auto"/>
        </w:rPr>
        <w:t>Spafid is a public limited liability company established under the laws of Italy, having its registered office at Via Filodrammatici no. 10, 20121 Milan, Italy, and having its principal place of business at Foro Buonaparte no. 10, 20121 Milan, Italy, registered under number 00717010151, that acts pursuant to Italian Law 23 November 1939 no. 1966 on “fiduciary Activity”. Spafid is indicated as Owner Entity because identified as formal owner of the shares. As Fiduciary Company, according to Italian Rules, Spafid operates on behalf of Beneficial Owner of Fiduciary Mandate. Shares of Spafid are wholly owned by Mediobanca – Banca di Credito Finanziario S.p.A., a leading Italian investment bank. In such a capacity of Fiduciary company, Spafid owns no. 3,404,688 ordinary shares of the Company on behalf of no. 43 beneficial owners (“fiducianti”).</w:t>
      </w:r>
    </w:p>
    <w:p>
      <w:pPr>
        <w:spacing w:after="0" w:line="206" w:lineRule="exact"/>
        <w:rPr>
          <w:sz w:val="20"/>
          <w:szCs w:val="20"/>
          <w:color w:val="auto"/>
        </w:rPr>
      </w:pPr>
    </w:p>
    <w:p>
      <w:pPr>
        <w:ind w:right="120" w:firstLine="648"/>
        <w:spacing w:after="0" w:line="237" w:lineRule="auto"/>
        <w:rPr>
          <w:sz w:val="20"/>
          <w:szCs w:val="20"/>
          <w:color w:val="auto"/>
        </w:rPr>
      </w:pPr>
      <w:r>
        <w:rPr>
          <w:rFonts w:ascii="Georgia" w:cs="Georgia" w:eastAsia="Georgia" w:hAnsi="Georgia"/>
          <w:sz w:val="18"/>
          <w:szCs w:val="18"/>
          <w:color w:val="auto"/>
        </w:rPr>
        <w:t>Although the shares of the Company owned by Spafid represent 18.69% of the Company’s share capital: (i) the average shareholding owned through Spafid in the Company’s share capital by each beneficial owner is equal to 0.53%; while (ii) the maximum shareholding owned through Spafid in the Company’s share capital by a single beneficial owner is equal to 2.30%. Spafid exercises - and will exercise - the relevant voting rights in the shareholders’ meeting of the Company according to voting instructions provided for by each beneficial owner.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23" w:name="page124"/>
    <w:bookmarkEnd w:id="123"/>
    <w:p>
      <w:pPr>
        <w:spacing w:after="0"/>
        <w:rPr>
          <w:sz w:val="20"/>
          <w:szCs w:val="20"/>
          <w:color w:val="auto"/>
        </w:rPr>
      </w:pPr>
      <w:r>
        <w:rPr>
          <w:rFonts w:ascii="Georgia" w:cs="Georgia" w:eastAsia="Georgia" w:hAnsi="Georgia"/>
          <w:sz w:val="18"/>
          <w:szCs w:val="18"/>
          <w:b w:val="1"/>
          <w:bCs w:val="1"/>
          <w:color w:val="auto"/>
        </w:rPr>
        <w:t>B. Related Party Transactions</w:t>
      </w:r>
    </w:p>
    <w:p>
      <w:pPr>
        <w:spacing w:after="0" w:line="202" w:lineRule="exact"/>
        <w:rPr>
          <w:sz w:val="20"/>
          <w:szCs w:val="20"/>
          <w:color w:val="auto"/>
        </w:rPr>
      </w:pPr>
    </w:p>
    <w:p>
      <w:pPr>
        <w:ind w:right="260" w:firstLine="648"/>
        <w:spacing w:after="0" w:line="237" w:lineRule="auto"/>
        <w:rPr>
          <w:sz w:val="20"/>
          <w:szCs w:val="20"/>
          <w:color w:val="auto"/>
        </w:rPr>
      </w:pPr>
      <w:r>
        <w:rPr>
          <w:rFonts w:ascii="Georgia" w:cs="Georgia" w:eastAsia="Georgia" w:hAnsi="Georgia"/>
          <w:sz w:val="18"/>
          <w:szCs w:val="18"/>
          <w:color w:val="auto"/>
        </w:rPr>
        <w:t>We have not during the most recently completed financial year entered into transactions or loans with any (a) enterprises that are directly or indirectly controlled by or under common control with us; (b) our associates; (c) individuals directly or indirectly owning voting right which give them significant influence over us or close members of their respective families, (d) our directors, senior management or close members of their respective families or (e) enterprises in which a substantial interest in the voting power is held or significantly influenced by any of the foregoing individuals (a “Related Party”), except as indicated below:</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Agreements with OSR</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06"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Employment, Consulting and Services Agreements</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Prior to our IPO, Dr. Russo was party to a Service Agreement dated July 2017 through an affiliated company, XDG BioMed LLC, which, as amended, provides for fixed annual fees of €300,000 gross and a discretionary annual variable gross remuneration up to a minimum amount of €50,000, tax included. We also entered into consulting agreements in October 2015 and April 2016 with Prof. Naldini and Dr. Gentner, which, as amended, provided for gross annual fees of €50,000 and €30,000, respectively. These agreements renew automatically each year.</w:t>
      </w:r>
    </w:p>
    <w:p>
      <w:pPr>
        <w:spacing w:after="0" w:line="205" w:lineRule="exact"/>
        <w:rPr>
          <w:sz w:val="20"/>
          <w:szCs w:val="20"/>
          <w:color w:val="auto"/>
        </w:rPr>
      </w:pPr>
    </w:p>
    <w:p>
      <w:pPr>
        <w:jc w:val="both"/>
        <w:ind w:right="180"/>
        <w:spacing w:after="0" w:line="237" w:lineRule="auto"/>
        <w:rPr>
          <w:sz w:val="20"/>
          <w:szCs w:val="20"/>
          <w:color w:val="auto"/>
        </w:rPr>
      </w:pPr>
      <w:r>
        <w:rPr>
          <w:rFonts w:ascii="Georgia" w:cs="Georgia" w:eastAsia="Georgia" w:hAnsi="Georgia"/>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was terminated by the parties for mutual consent upon signature of the below employment agreement.</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Post-IPO Employment Agreements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entered into new employment agreements with each of Mr. Paracchi, Dr. Russo and Mr. Slansky effective upon the consummation of our IPO or, in the case of Mr. Slansky, November 1, 2021. The forms of such employment agreements have been filed as exhibits to this report. Pursuant to such employment agreements, Mr. Paracchi, Dr. Russo and Mr. Slansky are entitled to gross annual base salaries of €420,000, $500,000 and $300,000, respectively, which is subject to annual review by and at the sole discretion of the Compensation, Nomination and Governance Committee of our board of directors. Mr. Paracchi is also eligible to receive an annual cash bonus of up to 20% of base salary, and Dr. Russo and Mr. Slansky are eligible to receive an annual cash bonus of up to 30% of base salary, provided that such individual achieves performance targets determined by the Compensation, Nomination and Governance Committee of the board of directors.</w:t>
      </w:r>
    </w:p>
    <w:p>
      <w:pPr>
        <w:spacing w:after="0" w:line="206"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The employment agreements of Dr. Russo and Mr. Slansky, are governed by US Law and include the following terms and conditions, among others:</w:t>
      </w:r>
    </w:p>
    <w:p>
      <w:pPr>
        <w:spacing w:after="0" w:line="204" w:lineRule="exact"/>
        <w:rPr>
          <w:sz w:val="20"/>
          <w:szCs w:val="20"/>
          <w:color w:val="auto"/>
        </w:rPr>
      </w:pPr>
    </w:p>
    <w:p>
      <w:pPr>
        <w:ind w:left="1300" w:right="180" w:hanging="644"/>
        <w:spacing w:after="0" w:line="237" w:lineRule="auto"/>
        <w:tabs>
          <w:tab w:leader="none" w:pos="1300" w:val="left"/>
        </w:tabs>
        <w:numPr>
          <w:ilvl w:val="0"/>
          <w:numId w:val="88"/>
        </w:numPr>
        <w:rPr>
          <w:rFonts w:ascii="Georgia" w:cs="Georgia" w:eastAsia="Georgia" w:hAnsi="Georgia"/>
          <w:sz w:val="18"/>
          <w:szCs w:val="18"/>
          <w:i w:val="1"/>
          <w:iCs w:val="1"/>
          <w:color w:val="auto"/>
        </w:rPr>
      </w:pPr>
      <w:r>
        <w:rPr>
          <w:rFonts w:ascii="Georgia" w:cs="Georgia" w:eastAsia="Georgia" w:hAnsi="Georgia"/>
          <w:sz w:val="18"/>
          <w:szCs w:val="18"/>
          <w:color w:val="auto"/>
        </w:rPr>
        <w:t>each employment agreement has a term commencing on the date of consummation of our IPO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ind w:left="1300" w:right="40" w:hanging="644"/>
        <w:spacing w:after="0" w:line="237" w:lineRule="auto"/>
        <w:tabs>
          <w:tab w:leader="none" w:pos="1300" w:val="left"/>
        </w:tabs>
        <w:numPr>
          <w:ilvl w:val="0"/>
          <w:numId w:val="89"/>
        </w:numPr>
        <w:rPr>
          <w:rFonts w:ascii="Georgia" w:cs="Georgia" w:eastAsia="Georgia" w:hAnsi="Georgia"/>
          <w:sz w:val="18"/>
          <w:szCs w:val="18"/>
          <w:i w:val="1"/>
          <w:iCs w:val="1"/>
          <w:color w:val="auto"/>
        </w:rPr>
      </w:pPr>
      <w:r>
        <w:rPr>
          <w:rFonts w:ascii="Georgia" w:cs="Georgia" w:eastAsia="Georgia" w:hAnsi="Georgia"/>
          <w:sz w:val="18"/>
          <w:szCs w:val="18"/>
          <w:color w:val="auto"/>
        </w:rPr>
        <w:t>in the event such individual is terminated three months prior to or one year after a Change of Control (as defined in the agreement) by the Company for any reason other than cause or by such individual for good reason, then the executive shall be entitled to receive a cash payment equal to a multiple of such individual’s then-current annual base salary determined by the time elapsed since the commencement of the agreement (in the case of Dr. Russo) or two times such salary (in the case of Mr. Slansky). Such payment shall be in lieu of the severance payment described above.</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color w:val="auto"/>
        </w:rPr>
        <w:t>The employment agreement of Mr. Paracchi is governed by Italian Law and includes the following terms and conditions, among others:</w:t>
      </w:r>
    </w:p>
    <w:p>
      <w:pPr>
        <w:spacing w:after="0" w:line="200" w:lineRule="exact"/>
        <w:rPr>
          <w:sz w:val="20"/>
          <w:szCs w:val="20"/>
          <w:color w:val="auto"/>
        </w:rPr>
      </w:pPr>
    </w:p>
    <w:p>
      <w:pPr>
        <w:ind w:left="1300" w:hanging="644"/>
        <w:spacing w:after="0"/>
        <w:tabs>
          <w:tab w:leader="none" w:pos="1300" w:val="left"/>
        </w:tabs>
        <w:numPr>
          <w:ilvl w:val="0"/>
          <w:numId w:val="90"/>
        </w:numPr>
        <w:rPr>
          <w:rFonts w:ascii="Georgia" w:cs="Georgia" w:eastAsia="Georgia" w:hAnsi="Georgia"/>
          <w:sz w:val="18"/>
          <w:szCs w:val="18"/>
          <w:i w:val="1"/>
          <w:iCs w:val="1"/>
          <w:color w:val="auto"/>
        </w:rPr>
      </w:pPr>
      <w:r>
        <w:rPr>
          <w:rFonts w:ascii="Georgia" w:cs="Georgia" w:eastAsia="Georgia" w:hAnsi="Georgia"/>
          <w:sz w:val="18"/>
          <w:szCs w:val="18"/>
          <w:color w:val="auto"/>
        </w:rPr>
        <w:t>the duties of general manager (</w:t>
      </w:r>
      <w:r>
        <w:rPr>
          <w:rFonts w:ascii="Georgia" w:cs="Georgia" w:eastAsia="Georgia" w:hAnsi="Georgia"/>
          <w:sz w:val="18"/>
          <w:szCs w:val="18"/>
          <w:i w:val="1"/>
          <w:iCs w:val="1"/>
          <w:color w:val="auto"/>
        </w:rPr>
        <w:t>direttore generale</w:t>
      </w:r>
      <w:r>
        <w:rPr>
          <w:rFonts w:ascii="Georgia" w:cs="Georgia" w:eastAsia="Georgia" w:hAnsi="Georgia"/>
          <w:sz w:val="18"/>
          <w:szCs w:val="18"/>
          <w:color w:val="auto"/>
        </w:rPr>
        <w:t>) with direct report to the Board of Directors of the Company;</w:t>
      </w:r>
    </w:p>
    <w:p>
      <w:pPr>
        <w:spacing w:after="0" w:line="201" w:lineRule="exact"/>
        <w:rPr>
          <w:rFonts w:ascii="Georgia" w:cs="Georgia" w:eastAsia="Georgia" w:hAnsi="Georgia"/>
          <w:sz w:val="18"/>
          <w:szCs w:val="18"/>
          <w:i w:val="1"/>
          <w:iCs w:val="1"/>
          <w:color w:val="auto"/>
        </w:rPr>
      </w:pPr>
    </w:p>
    <w:p>
      <w:pPr>
        <w:ind w:left="1300" w:right="100" w:hanging="644"/>
        <w:spacing w:after="0" w:line="237" w:lineRule="auto"/>
        <w:tabs>
          <w:tab w:leader="none" w:pos="1300" w:val="left"/>
        </w:tabs>
        <w:numPr>
          <w:ilvl w:val="0"/>
          <w:numId w:val="90"/>
        </w:numPr>
        <w:rPr>
          <w:rFonts w:ascii="Georgia" w:cs="Georgia" w:eastAsia="Georgia" w:hAnsi="Georgia"/>
          <w:sz w:val="18"/>
          <w:szCs w:val="18"/>
          <w:i w:val="1"/>
          <w:iCs w:val="1"/>
          <w:color w:val="auto"/>
        </w:rPr>
      </w:pPr>
      <w:r>
        <w:rPr>
          <w:rFonts w:ascii="Georgia" w:cs="Georgia" w:eastAsia="Georgia" w:hAnsi="Georgia"/>
          <w:sz w:val="18"/>
          <w:szCs w:val="18"/>
          <w:color w:val="auto"/>
        </w:rPr>
        <w:t>reimbursement of reasonable expenses incurred in the performance of work duties, health benefits and, subject to the approval of the board of directors, a grant of an equity award under an equity incentive plan to be adopted after the offering;</w:t>
      </w:r>
    </w:p>
    <w:p>
      <w:pPr>
        <w:spacing w:after="0" w:line="203" w:lineRule="exact"/>
        <w:rPr>
          <w:rFonts w:ascii="Georgia" w:cs="Georgia" w:eastAsia="Georgia" w:hAnsi="Georgia"/>
          <w:sz w:val="18"/>
          <w:szCs w:val="18"/>
          <w:i w:val="1"/>
          <w:iCs w:val="1"/>
          <w:color w:val="auto"/>
        </w:rPr>
      </w:pPr>
    </w:p>
    <w:p>
      <w:pPr>
        <w:ind w:left="1300" w:right="400" w:hanging="644"/>
        <w:spacing w:after="0" w:line="237" w:lineRule="auto"/>
        <w:tabs>
          <w:tab w:leader="none" w:pos="1300" w:val="left"/>
        </w:tabs>
        <w:numPr>
          <w:ilvl w:val="0"/>
          <w:numId w:val="90"/>
        </w:numPr>
        <w:rPr>
          <w:rFonts w:ascii="Georgia" w:cs="Georgia" w:eastAsia="Georgia" w:hAnsi="Georgia"/>
          <w:sz w:val="18"/>
          <w:szCs w:val="18"/>
          <w:i w:val="1"/>
          <w:iCs w:val="1"/>
          <w:color w:val="auto"/>
        </w:rPr>
      </w:pPr>
      <w:r>
        <w:rPr>
          <w:rFonts w:ascii="Georgia" w:cs="Georgia" w:eastAsia="Georgia" w:hAnsi="Georgia"/>
          <w:sz w:val="18"/>
          <w:szCs w:val="18"/>
          <w:color w:val="auto"/>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 and</w:t>
      </w:r>
    </w:p>
    <w:p>
      <w:pPr>
        <w:spacing w:after="0" w:line="205" w:lineRule="exact"/>
        <w:rPr>
          <w:rFonts w:ascii="Georgia" w:cs="Georgia" w:eastAsia="Georgia" w:hAnsi="Georgia"/>
          <w:sz w:val="18"/>
          <w:szCs w:val="18"/>
          <w:i w:val="1"/>
          <w:iCs w:val="1"/>
          <w:color w:val="auto"/>
        </w:rPr>
      </w:pPr>
    </w:p>
    <w:p>
      <w:pPr>
        <w:ind w:left="1300" w:right="40" w:hanging="644"/>
        <w:spacing w:after="0" w:line="237" w:lineRule="auto"/>
        <w:tabs>
          <w:tab w:leader="none" w:pos="1327" w:val="left"/>
        </w:tabs>
        <w:numPr>
          <w:ilvl w:val="0"/>
          <w:numId w:val="90"/>
        </w:numPr>
        <w:rPr>
          <w:rFonts w:ascii="Georgia" w:cs="Georgia" w:eastAsia="Georgia" w:hAnsi="Georgia"/>
          <w:sz w:val="18"/>
          <w:szCs w:val="18"/>
          <w:i w:val="1"/>
          <w:iCs w:val="1"/>
          <w:color w:val="auto"/>
        </w:rPr>
      </w:pPr>
      <w:r>
        <w:rPr>
          <w:rFonts w:ascii="Georgia" w:cs="Georgia" w:eastAsia="Georgia" w:hAnsi="Georgia"/>
          <w:sz w:val="18"/>
          <w:szCs w:val="18"/>
          <w:color w:val="auto"/>
        </w:rPr>
        <w:t>non-competition and non-solicitation obligations of the executive for a 12 months period after the termination of the employment in consideration for compensation equal to 12 months after termination at the executive’s then-current monthly base salary for each obligation;</w:t>
      </w:r>
    </w:p>
    <w:p>
      <w:pPr>
        <w:spacing w:after="0" w:line="204" w:lineRule="exact"/>
        <w:rPr>
          <w:sz w:val="20"/>
          <w:szCs w:val="20"/>
          <w:color w:val="auto"/>
        </w:rPr>
      </w:pPr>
    </w:p>
    <w:p>
      <w:pPr>
        <w:jc w:val="both"/>
        <w:ind w:left="1300" w:right="220" w:firstLine="27"/>
        <w:spacing w:after="0" w:line="237" w:lineRule="auto"/>
        <w:rPr>
          <w:sz w:val="20"/>
          <w:szCs w:val="20"/>
          <w:color w:val="auto"/>
        </w:rPr>
      </w:pPr>
      <w:r>
        <w:rPr>
          <w:rFonts w:ascii="Georgia" w:cs="Georgia" w:eastAsia="Georgia" w:hAnsi="Georgia"/>
          <w:sz w:val="18"/>
          <w:szCs w:val="18"/>
          <w:color w:val="auto"/>
        </w:rPr>
        <w:t>Such agreement has a term commencing on the date of consummation of out IPO and continuing until terminated, among other things, (a) upon death of the executive, (b) for just cause, (c) with objective or subjective reason, (d) by resignation of the executive, or (e) voluntarily by mutual agreement between the parties.</w:t>
      </w:r>
    </w:p>
    <w:p>
      <w:pPr>
        <w:spacing w:after="0" w:line="203" w:lineRule="exact"/>
        <w:rPr>
          <w:sz w:val="20"/>
          <w:szCs w:val="20"/>
          <w:color w:val="auto"/>
        </w:rPr>
      </w:pPr>
    </w:p>
    <w:p>
      <w:pPr>
        <w:ind w:left="1340"/>
        <w:spacing w:after="0"/>
        <w:rPr>
          <w:sz w:val="20"/>
          <w:szCs w:val="20"/>
          <w:color w:val="auto"/>
        </w:rPr>
      </w:pPr>
      <w:r>
        <w:rPr>
          <w:rFonts w:ascii="Georgia" w:cs="Georgia" w:eastAsia="Georgia" w:hAnsi="Georgia"/>
          <w:sz w:val="18"/>
          <w:szCs w:val="18"/>
          <w:i w:val="1"/>
          <w:iCs w:val="1"/>
          <w:color w:val="auto"/>
        </w:rPr>
        <w:t>Consultancy Agreements</w:t>
      </w:r>
    </w:p>
    <w:p>
      <w:pPr>
        <w:spacing w:after="0" w:line="202" w:lineRule="exact"/>
        <w:rPr>
          <w:sz w:val="20"/>
          <w:szCs w:val="20"/>
          <w:color w:val="auto"/>
        </w:rPr>
      </w:pPr>
    </w:p>
    <w:p>
      <w:pPr>
        <w:ind w:left="1300" w:right="20"/>
        <w:spacing w:after="0" w:line="237" w:lineRule="auto"/>
        <w:rPr>
          <w:sz w:val="20"/>
          <w:szCs w:val="20"/>
          <w:color w:val="auto"/>
        </w:rPr>
      </w:pPr>
      <w:r>
        <w:rPr>
          <w:rFonts w:ascii="Georgia" w:cs="Georgia" w:eastAsia="Georgia" w:hAnsi="Georgia"/>
          <w:sz w:val="18"/>
          <w:szCs w:val="18"/>
          <w:color w:val="auto"/>
        </w:rPr>
        <w:t>Each of Messrs. Squinto and Marucci have entered into consultancy agreements in connection with their appointment to the board of directors in order to support the development and growth of the Company. The agreements provide for gross compensations of $25,000 (Mr. Squinto) and $11,875 (Mr. Marucci) per quarter (pro 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p>
      <w:pPr>
        <w:spacing w:after="0" w:line="206" w:lineRule="exact"/>
        <w:rPr>
          <w:sz w:val="20"/>
          <w:szCs w:val="20"/>
          <w:color w:val="auto"/>
        </w:rPr>
      </w:pPr>
    </w:p>
    <w:p>
      <w:pPr>
        <w:ind w:left="1300"/>
        <w:spacing w:after="0" w:line="237" w:lineRule="auto"/>
        <w:rPr>
          <w:sz w:val="20"/>
          <w:szCs w:val="20"/>
          <w:color w:val="auto"/>
        </w:rPr>
      </w:pPr>
      <w:r>
        <w:rPr>
          <w:rFonts w:ascii="Georgia" w:cs="Georgia" w:eastAsia="Georgia" w:hAnsi="Georgia"/>
          <w:sz w:val="18"/>
          <w:szCs w:val="18"/>
          <w:color w:val="auto"/>
        </w:rPr>
        <w:t>In addition, Messrs. Alexander Ross,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i w:val="1"/>
          <w:iCs w:val="1"/>
          <w:color w:val="auto"/>
        </w:rPr>
        <w:t>Indemnification Agreements</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have entered into an indemnification agreement with our directors and executive officers which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spacing w:after="0" w:line="205"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 Interests of Experts and Counsel</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25" w:name="page126"/>
    <w:bookmarkEnd w:id="125"/>
    <w:p>
      <w:pPr>
        <w:spacing w:after="0"/>
        <w:rPr>
          <w:sz w:val="20"/>
          <w:szCs w:val="20"/>
          <w:color w:val="auto"/>
        </w:rPr>
      </w:pPr>
      <w:r>
        <w:rPr>
          <w:rFonts w:ascii="Georgia" w:cs="Georgia" w:eastAsia="Georgia" w:hAnsi="Georgia"/>
          <w:sz w:val="18"/>
          <w:szCs w:val="18"/>
          <w:b w:val="1"/>
          <w:bCs w:val="1"/>
          <w:color w:val="auto"/>
        </w:rPr>
        <w:t>ITEM 8. FINANCIAL INFORMATION</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A. Consolidated Statements and Other Financial Information.</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Company’s consolidated financial statements are stated in EUROs and are prepared in accordance with US GAAP.</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Audited Financial Statements</w:t>
      </w:r>
    </w:p>
    <w:p>
      <w:pPr>
        <w:spacing w:after="0" w:line="202" w:lineRule="exact"/>
        <w:rPr>
          <w:sz w:val="20"/>
          <w:szCs w:val="20"/>
          <w:color w:val="auto"/>
        </w:rPr>
      </w:pPr>
    </w:p>
    <w:p>
      <w:pPr>
        <w:ind w:right="200" w:firstLine="648"/>
        <w:spacing w:after="0" w:line="237" w:lineRule="auto"/>
        <w:rPr>
          <w:sz w:val="20"/>
          <w:szCs w:val="20"/>
          <w:color w:val="auto"/>
        </w:rPr>
      </w:pPr>
      <w:r>
        <w:rPr>
          <w:rFonts w:ascii="Georgia" w:cs="Georgia" w:eastAsia="Georgia" w:hAnsi="Georgia"/>
          <w:sz w:val="18"/>
          <w:szCs w:val="18"/>
          <w:color w:val="auto"/>
        </w:rPr>
        <w:t>Our consolidated financial statements for the 2021, 2020 and 2019 fiscal years as required under Item 17 are included immediately following the text of this Annual Report. The audit reports of the Company are included herein immediately preceding the consolidated financial statements.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Policy on Dividend Distributions</w:t>
      </w:r>
    </w:p>
    <w:p>
      <w:pPr>
        <w:spacing w:after="0" w:line="202" w:lineRule="exact"/>
        <w:rPr>
          <w:sz w:val="20"/>
          <w:szCs w:val="20"/>
          <w:color w:val="auto"/>
        </w:rPr>
      </w:pPr>
    </w:p>
    <w:p>
      <w:pPr>
        <w:ind w:right="180" w:firstLine="648"/>
        <w:spacing w:after="0" w:line="237" w:lineRule="auto"/>
        <w:rPr>
          <w:sz w:val="20"/>
          <w:szCs w:val="20"/>
          <w:color w:val="auto"/>
        </w:rPr>
      </w:pPr>
      <w:r>
        <w:rPr>
          <w:rFonts w:ascii="Georgia" w:cs="Georgia" w:eastAsia="Georgia" w:hAnsi="Georgia"/>
          <w:sz w:val="18"/>
          <w:szCs w:val="18"/>
          <w:color w:val="auto"/>
        </w:rPr>
        <w:t>The Company has not paid any dividends on its outstanding ordinary shares since its incorporation and does not anticipate that it will do so in the foreseeable future. The payment of dividends in the future, if any, is within the discretion of the Board of Directors and will depend upon our earnings, our capital requirements and financial condition and other relevant factors. We do not anticipate declaring or paying any dividends in the foreseeable future.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 Significant Changes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None.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9. THE OFFER AND LISTING</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A. Offer and Listing Details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 Plan of Distribution</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 Markets</w:t>
      </w:r>
    </w:p>
    <w:p>
      <w:pPr>
        <w:spacing w:after="0" w:line="202"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Our Ordinary Shares are listed on The Nasdaq Capital Market in the form of ADSs under the symbol “GNTA”. Neither the Company’s Ordinary Shares nor its ADSs are listed on a securities exchange outside the United States. BNY Mellon is the Company’s Depositary for purposes of issuing the American Depositary Shares evidencing ADSs. Trading in the ADSs on The Nasdaq Capital Market commenced on December 15, 2021.</w:t>
      </w:r>
    </w:p>
    <w:p>
      <w:pPr>
        <w:spacing w:after="0" w:line="205" w:lineRule="exact"/>
        <w:rPr>
          <w:sz w:val="20"/>
          <w:szCs w:val="20"/>
          <w:color w:val="auto"/>
        </w:rPr>
      </w:pPr>
    </w:p>
    <w:p>
      <w:pPr>
        <w:ind w:right="440" w:firstLine="648"/>
        <w:spacing w:after="0" w:line="237" w:lineRule="auto"/>
        <w:rPr>
          <w:sz w:val="20"/>
          <w:szCs w:val="20"/>
          <w:color w:val="auto"/>
        </w:rPr>
      </w:pPr>
      <w:r>
        <w:rPr>
          <w:rFonts w:ascii="Georgia" w:cs="Georgia" w:eastAsia="Georgia" w:hAnsi="Georgia"/>
          <w:sz w:val="18"/>
          <w:szCs w:val="18"/>
          <w:b w:val="1"/>
          <w:bCs w:val="1"/>
          <w:color w:val="auto"/>
        </w:rPr>
        <w:t xml:space="preserve">Status of Outstanding Ordinary Shares. </w:t>
      </w:r>
      <w:r>
        <w:rPr>
          <w:rFonts w:ascii="Georgia" w:cs="Georgia" w:eastAsia="Georgia" w:hAnsi="Georgia"/>
          <w:sz w:val="18"/>
          <w:szCs w:val="18"/>
          <w:color w:val="auto"/>
        </w:rPr>
        <w:t>As of December 31, 2021, we had a total of 18,216,858 ordinary shares issued and</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outstanding.</w:t>
      </w:r>
    </w:p>
    <w:p>
      <w:pPr>
        <w:spacing w:after="0" w:line="204"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b w:val="1"/>
          <w:bCs w:val="1"/>
          <w:color w:val="auto"/>
        </w:rPr>
        <w:t xml:space="preserve">Options and Warrants. </w:t>
      </w:r>
      <w:r>
        <w:rPr>
          <w:rFonts w:ascii="Georgia" w:cs="Georgia" w:eastAsia="Georgia" w:hAnsi="Georgia"/>
          <w:sz w:val="18"/>
          <w:szCs w:val="18"/>
          <w:color w:val="auto"/>
        </w:rPr>
        <w:t>As of April 26, 2022, we issued to the Underwriters warrants, or the Underwriters’ Warrants or Warrants,</w:t>
      </w:r>
      <w:r>
        <w:rPr>
          <w:rFonts w:ascii="Georgia" w:cs="Georgia" w:eastAsia="Georgia" w:hAnsi="Georgia"/>
          <w:sz w:val="18"/>
          <w:szCs w:val="18"/>
          <w:b w:val="1"/>
          <w:bCs w:val="1"/>
          <w:color w:val="auto"/>
        </w:rPr>
        <w:t xml:space="preserve"> </w:t>
      </w:r>
      <w:r>
        <w:rPr>
          <w:rFonts w:ascii="Georgia" w:cs="Georgia" w:eastAsia="Georgia" w:hAnsi="Georgia"/>
          <w:sz w:val="18"/>
          <w:szCs w:val="18"/>
          <w:color w:val="auto"/>
        </w:rPr>
        <w:t>to purchase up to 23,502 ADSs equal to 4% of the total number of ADSs sold in the IPO to investors other than (i) non-US retail, family office or institutional investors identified by the Company and mutually agreed with the representative of the Underwriters and (ii) existing investors in the Company. The Underwriters’ Warrants will be exercisable at a per share exercise price equal to 125% of the public offering price per ADS sold in the IPO. The Underwriters’ Warrants are exercisable at any time and from time to time, in whole or in part, during the four and one-half year period commencing on June 14, 2022 and expiring on December 14, 2026. The Underwriters’ Warrants provide for customary antidilution provisions and contingent registration rights in compliance with FINRA Rule 5110(g)(8)(D).</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 xml:space="preserve">Holders. </w:t>
      </w:r>
      <w:r>
        <w:rPr>
          <w:rFonts w:ascii="Georgia" w:cs="Georgia" w:eastAsia="Georgia" w:hAnsi="Georgia"/>
          <w:sz w:val="18"/>
          <w:szCs w:val="18"/>
          <w:color w:val="auto"/>
        </w:rPr>
        <w:t>Based upon available information, as of April 26, 2022, we had 68 holders of record of the ordinary shares, of which one</w:t>
      </w:r>
    </w:p>
    <w:p>
      <w:pPr>
        <w:ind w:firstLine="8"/>
        <w:spacing w:after="0" w:line="237" w:lineRule="auto"/>
        <w:tabs>
          <w:tab w:leader="none" w:pos="256" w:val="left"/>
        </w:tabs>
        <w:numPr>
          <w:ilvl w:val="0"/>
          <w:numId w:val="91"/>
        </w:numPr>
        <w:rPr>
          <w:rFonts w:ascii="Georgia" w:cs="Georgia" w:eastAsia="Georgia" w:hAnsi="Georgia"/>
          <w:sz w:val="18"/>
          <w:szCs w:val="18"/>
          <w:color w:val="auto"/>
        </w:rPr>
      </w:pPr>
      <w:r>
        <w:rPr>
          <w:rFonts w:ascii="Georgia" w:cs="Georgia" w:eastAsia="Georgia" w:hAnsi="Georgia"/>
          <w:sz w:val="18"/>
          <w:szCs w:val="18"/>
          <w:color w:val="auto"/>
        </w:rPr>
        <w:t>had a registered address in the U.S. and held a total of 598,417 ordinary shares. The US office of The Bank of New York Mellon, as depositary, is the registered holder for the holders of ADSs representing ordinary shares. According to the depositary’s registry, there was one registered holder of ADSs representing 2,703,253 ordinary shares as of April 11, 2022. Holders of record of having registered addresses in the U.S., together with the registered holders of ADSs representing ordinary shares in the depositary’s registry, held an aggregate of approximately 15% of the total number of ordinary shares outstanding on such date. The above numbers may not be representative of the actual number of U.S. beneficial holders, or the number of ordinary shares beneficially held by U.S. persons.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26" w:name="page127"/>
    <w:bookmarkEnd w:id="126"/>
    <w:p>
      <w:pPr>
        <w:spacing w:after="0"/>
        <w:rPr>
          <w:sz w:val="20"/>
          <w:szCs w:val="20"/>
          <w:color w:val="auto"/>
        </w:rPr>
      </w:pPr>
      <w:r>
        <w:rPr>
          <w:rFonts w:ascii="Georgia" w:cs="Georgia" w:eastAsia="Georgia" w:hAnsi="Georgia"/>
          <w:sz w:val="18"/>
          <w:szCs w:val="18"/>
          <w:b w:val="1"/>
          <w:bCs w:val="1"/>
          <w:color w:val="auto"/>
        </w:rPr>
        <w:t>D. Selling Shareholders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E. Dilution</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F. Expenses of the Issue</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10. ADDITIONAL INFORMATION</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A. Share Capital</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 Memorandum and Articles of association</w:t>
      </w:r>
    </w:p>
    <w:p>
      <w:pPr>
        <w:spacing w:after="0" w:line="202" w:lineRule="exact"/>
        <w:rPr>
          <w:sz w:val="20"/>
          <w:szCs w:val="20"/>
          <w:color w:val="auto"/>
        </w:rPr>
      </w:pPr>
    </w:p>
    <w:p>
      <w:pPr>
        <w:ind w:right="260" w:firstLine="648"/>
        <w:spacing w:after="0" w:line="237" w:lineRule="auto"/>
        <w:rPr>
          <w:sz w:val="20"/>
          <w:szCs w:val="20"/>
          <w:color w:val="auto"/>
        </w:rPr>
      </w:pPr>
      <w:r>
        <w:rPr>
          <w:rFonts w:ascii="Georgia" w:cs="Georgia" w:eastAsia="Georgia" w:hAnsi="Georgia"/>
          <w:sz w:val="18"/>
          <w:szCs w:val="18"/>
          <w:color w:val="auto"/>
        </w:rPr>
        <w:t>The description of certain terms and provisions of our Memorandum and Articles of Incorporation is incorporated by reference to our Registration Statement filed on Form F-1 (File No. 333-260923) filed with the SEC and as declared effective on December 14, 2021.</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 Material Contracts</w:t>
      </w:r>
    </w:p>
    <w:p>
      <w:pPr>
        <w:spacing w:after="0" w:line="202" w:lineRule="exact"/>
        <w:rPr>
          <w:sz w:val="20"/>
          <w:szCs w:val="20"/>
          <w:color w:val="auto"/>
        </w:rPr>
      </w:pPr>
    </w:p>
    <w:p>
      <w:pPr>
        <w:ind w:right="180" w:firstLine="648"/>
        <w:spacing w:after="0" w:line="237" w:lineRule="auto"/>
        <w:rPr>
          <w:sz w:val="20"/>
          <w:szCs w:val="20"/>
          <w:color w:val="auto"/>
        </w:rPr>
      </w:pPr>
      <w:r>
        <w:rPr>
          <w:rFonts w:ascii="Georgia" w:cs="Georgia" w:eastAsia="Georgia" w:hAnsi="Georgia"/>
          <w:sz w:val="18"/>
          <w:szCs w:val="18"/>
          <w:color w:val="auto"/>
        </w:rPr>
        <w:t>All material contracts governing the business of the Company are described elsewhere in this annual report on Form 20-F or in the information incorporated by reference herein.</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 Exchange controls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E. Taxation</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Italian Tax Consequences</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b w:val="1"/>
          <w:bCs w:val="1"/>
          <w:i w:val="1"/>
          <w:iCs w:val="1"/>
          <w:color w:val="auto"/>
        </w:rPr>
        <w:t>General</w:t>
      </w:r>
      <w:r>
        <w:rPr>
          <w:rFonts w:ascii="Georgia" w:cs="Georgia" w:eastAsia="Georgia" w:hAnsi="Georgia"/>
          <w:sz w:val="18"/>
          <w:szCs w:val="18"/>
          <w:color w:val="auto"/>
        </w:rPr>
        <w:t>. Under Italian law, financial instruments issued by an Italian company are subject to the same tax regime as are shares, provided</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that their 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b w:val="1"/>
          <w:bCs w:val="1"/>
          <w:i w:val="1"/>
          <w:iCs w:val="1"/>
          <w:color w:val="auto"/>
        </w:rPr>
        <w:t>Income Tax Withholding on Dividends</w:t>
      </w:r>
      <w:r>
        <w:rPr>
          <w:rFonts w:ascii="Georgia" w:cs="Georgia" w:eastAsia="Georgia" w:hAnsi="Georgia"/>
          <w:sz w:val="18"/>
          <w:szCs w:val="18"/>
          <w:color w:val="auto"/>
        </w:rPr>
        <w:t>. We do not anticipate making any distributions on our ordinary shares in the foreseeable</w:t>
      </w:r>
      <w:r>
        <w:rPr>
          <w:rFonts w:ascii="Georgia" w:cs="Georgia" w:eastAsia="Georgia" w:hAnsi="Georgia"/>
          <w:sz w:val="18"/>
          <w:szCs w:val="18"/>
          <w:b w:val="1"/>
          <w:bCs w:val="1"/>
          <w:i w:val="1"/>
          <w:iCs w:val="1"/>
          <w:color w:val="auto"/>
        </w:rPr>
        <w:t xml:space="preserve"> </w:t>
      </w:r>
      <w:r>
        <w:rPr>
          <w:rFonts w:ascii="Georgia" w:cs="Georgia" w:eastAsia="Georgia" w:hAnsi="Georgia"/>
          <w:sz w:val="18"/>
          <w:szCs w:val="18"/>
          <w:color w:val="auto"/>
        </w:rPr>
        <w:t>future. However, 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205"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27" w:name="page128"/>
    <w:bookmarkEnd w:id="127"/>
    <w:p>
      <w:pPr>
        <w:ind w:right="120"/>
        <w:spacing w:after="0" w:line="237" w:lineRule="auto"/>
        <w:rPr>
          <w:sz w:val="20"/>
          <w:szCs w:val="20"/>
          <w:color w:val="auto"/>
        </w:rPr>
      </w:pPr>
      <w:r>
        <w:rPr>
          <w:rFonts w:ascii="Georgia" w:cs="Georgia" w:eastAsia="Georgia" w:hAnsi="Georgia"/>
          <w:sz w:val="18"/>
          <w:szCs w:val="18"/>
          <w:color w:val="auto"/>
        </w:rPr>
        <w:t>Under Italian law, US owners can claim, in accordance with Presidential Decree No. 600 of October 16, 1973, Article 27(3), a refund of up to eleven-twenty-sixths (</w:t>
      </w:r>
      <w:r>
        <w:rPr>
          <w:rFonts w:ascii="Georgia" w:cs="Georgia" w:eastAsia="Georgia" w:hAnsi="Georgia"/>
          <w:sz w:val="18"/>
          <w:szCs w:val="18"/>
          <w:i w:val="1"/>
          <w:iCs w:val="1"/>
          <w:color w:val="auto"/>
        </w:rPr>
        <w:t>i.e.,</w:t>
      </w:r>
      <w:r>
        <w:rPr>
          <w:rFonts w:ascii="Georgia" w:cs="Georgia" w:eastAsia="Georgia" w:hAnsi="Georgia"/>
          <w:sz w:val="18"/>
          <w:szCs w:val="18"/>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20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05"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Income Tax on Capital Gains</w:t>
      </w:r>
      <w:r>
        <w:rPr>
          <w:rFonts w:ascii="Georgia" w:cs="Georgia" w:eastAsia="Georgia" w:hAnsi="Georgia"/>
          <w:sz w:val="18"/>
          <w:szCs w:val="18"/>
          <w:b w:val="1"/>
          <w:bCs w:val="1"/>
          <w:color w:val="auto"/>
        </w:rPr>
        <w:t>.</w:t>
      </w:r>
    </w:p>
    <w:p>
      <w:pPr>
        <w:spacing w:after="0" w:line="202" w:lineRule="exact"/>
        <w:rPr>
          <w:sz w:val="20"/>
          <w:szCs w:val="20"/>
          <w:color w:val="auto"/>
        </w:rPr>
      </w:pPr>
    </w:p>
    <w:p>
      <w:pPr>
        <w:ind w:right="440"/>
        <w:spacing w:after="0" w:line="237" w:lineRule="auto"/>
        <w:rPr>
          <w:sz w:val="20"/>
          <w:szCs w:val="20"/>
          <w:color w:val="auto"/>
        </w:rPr>
      </w:pPr>
      <w:r>
        <w:rPr>
          <w:rFonts w:ascii="Georgia" w:cs="Georgia" w:eastAsia="Georgia" w:hAnsi="Georgia"/>
          <w:sz w:val="18"/>
          <w:szCs w:val="18"/>
          <w:color w:val="auto"/>
        </w:rPr>
        <w:t>As a general rule, gains from shares in Italian companies, under custody in Italy, could give rise to a taxable income for the non-resident transferor.</w:t>
      </w:r>
    </w:p>
    <w:p>
      <w:pPr>
        <w:spacing w:after="0" w:line="204" w:lineRule="exact"/>
        <w:rPr>
          <w:sz w:val="20"/>
          <w:szCs w:val="20"/>
          <w:color w:val="auto"/>
        </w:rPr>
      </w:pPr>
    </w:p>
    <w:p>
      <w:pPr>
        <w:jc w:val="both"/>
        <w:ind w:right="60"/>
        <w:spacing w:after="0" w:line="237" w:lineRule="auto"/>
        <w:rPr>
          <w:sz w:val="20"/>
          <w:szCs w:val="20"/>
          <w:color w:val="auto"/>
        </w:rPr>
      </w:pPr>
      <w:r>
        <w:rPr>
          <w:rFonts w:ascii="Georgia" w:cs="Georgia" w:eastAsia="Georgia" w:hAnsi="Georgia"/>
          <w:sz w:val="18"/>
          <w:szCs w:val="18"/>
          <w:i w:val="1"/>
          <w:iCs w:val="1"/>
          <w:color w:val="auto"/>
        </w:rPr>
        <w:t xml:space="preserve">Capital Gains exempt from taxation in Italy </w:t>
      </w:r>
      <w:r>
        <w:rPr>
          <w:rFonts w:ascii="Georgia" w:cs="Georgia" w:eastAsia="Georgia" w:hAnsi="Georgia"/>
          <w:sz w:val="18"/>
          <w:szCs w:val="18"/>
          <w:color w:val="auto"/>
        </w:rPr>
        <w:t>- “Non-qualified shareholdings” are those which are below 2% of the voting rights and 5% of the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i w:val="1"/>
          <w:iCs w:val="1"/>
          <w:color w:val="auto"/>
        </w:rPr>
        <w:t xml:space="preserve">Capital Gains subject to tax in Italy </w:t>
      </w:r>
      <w:r>
        <w:rPr>
          <w:rFonts w:ascii="Georgia" w:cs="Georgia" w:eastAsia="Georgia" w:hAnsi="Georgia"/>
          <w:sz w:val="18"/>
          <w:szCs w:val="18"/>
          <w:color w:val="auto"/>
        </w:rPr>
        <w:t>- “Qualified shareholdings” in a listed company are those representing more than the 2% of the voting</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rights or more than the 5% of the capital of an exchange-listed company. Capital gains from the disposal of a qualified shareholding in a listed company are subject to a withholding tax of 26% under the domestic rule.</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7"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06"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28" w:name="page129"/>
    <w:bookmarkEnd w:id="128"/>
    <w:p>
      <w:pPr>
        <w:ind w:right="20"/>
        <w:spacing w:after="0" w:line="237" w:lineRule="auto"/>
        <w:rPr>
          <w:sz w:val="20"/>
          <w:szCs w:val="20"/>
          <w:color w:val="auto"/>
        </w:rPr>
      </w:pPr>
      <w:r>
        <w:rPr>
          <w:rFonts w:ascii="Georgia" w:cs="Georgia" w:eastAsia="Georgia" w:hAnsi="Georgia"/>
          <w:sz w:val="18"/>
          <w:szCs w:val="18"/>
          <w:i w:val="1"/>
          <w:iCs w:val="1"/>
          <w:color w:val="auto"/>
        </w:rPr>
        <w:t>Estate and Gift Tax</w:t>
      </w:r>
      <w:r>
        <w:rPr>
          <w:rFonts w:ascii="Georgia" w:cs="Georgia" w:eastAsia="Georgia" w:hAnsi="Georgia"/>
          <w:sz w:val="18"/>
          <w:szCs w:val="18"/>
          <w:color w:val="auto"/>
        </w:rPr>
        <w:t>. Inheritance and gift taxes, which were abolished in 2001, have been re-introduced in the Italian system by Law Decree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No. 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 (a) 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207" w:lineRule="exact"/>
        <w:rPr>
          <w:sz w:val="20"/>
          <w:szCs w:val="20"/>
          <w:color w:val="auto"/>
        </w:rPr>
      </w:pPr>
    </w:p>
    <w:p>
      <w:pPr>
        <w:jc w:val="both"/>
        <w:ind w:right="80"/>
        <w:spacing w:after="0" w:line="237" w:lineRule="auto"/>
        <w:rPr>
          <w:sz w:val="20"/>
          <w:szCs w:val="20"/>
          <w:color w:val="auto"/>
        </w:rPr>
      </w:pPr>
      <w:r>
        <w:rPr>
          <w:rFonts w:ascii="Georgia" w:cs="Georgia" w:eastAsia="Georgia" w:hAnsi="Georgia"/>
          <w:sz w:val="18"/>
          <w:szCs w:val="18"/>
          <w:i w:val="1"/>
          <w:iCs w:val="1"/>
          <w:color w:val="auto"/>
        </w:rPr>
        <w:t>Transfer tax</w:t>
      </w:r>
      <w:r>
        <w:rPr>
          <w:rFonts w:ascii="Georgia" w:cs="Georgia" w:eastAsia="Georgia" w:hAnsi="Georgia"/>
          <w:sz w:val="18"/>
          <w:szCs w:val="18"/>
          <w:color w:val="auto"/>
        </w:rPr>
        <w:t>. In connection with the Italian stamp duty tax on the transfer of shares, according to article 37 of Law No. 248 of December 31,</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2007, 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i w:val="1"/>
          <w:iCs w:val="1"/>
          <w:color w:val="auto"/>
        </w:rPr>
        <w:t>Communications Stamp Duty</w:t>
      </w:r>
      <w:r>
        <w:rPr>
          <w:rFonts w:ascii="Georgia" w:cs="Georgia" w:eastAsia="Georgia" w:hAnsi="Georgia"/>
          <w:sz w:val="18"/>
          <w:szCs w:val="18"/>
          <w:color w:val="auto"/>
        </w:rPr>
        <w:t>. A stamp duty has been introduced under article 19 of Law Decree No. 201 of December 6, 2011, converted into</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Georgia" w:cs="Georgia" w:eastAsia="Georgia" w:hAnsi="Georgia"/>
          <w:sz w:val="18"/>
          <w:szCs w:val="18"/>
          <w:i w:val="1"/>
          <w:iCs w:val="1"/>
          <w:color w:val="auto"/>
        </w:rPr>
        <w:t>pro-rata temporis</w:t>
      </w:r>
      <w:r>
        <w:rPr>
          <w:rFonts w:ascii="Georgia" w:cs="Georgia" w:eastAsia="Georgia" w:hAnsi="Georgia"/>
          <w:sz w:val="18"/>
          <w:szCs w:val="18"/>
          <w:color w:val="auto"/>
        </w:rPr>
        <w:t xml:space="preserve"> basis (from January 1 up to December 31). The minimum amount is fixed of €34.20 up to a maximum amount of €14,000. The communication is deemed to be sent to clients at least once a year, even where there is no obligation to issue any such communication.</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Financial Transaction Tax</w:t>
      </w:r>
      <w:r>
        <w:rPr>
          <w:rFonts w:ascii="Georgia" w:cs="Georgia" w:eastAsia="Georgia" w:hAnsi="Georgia"/>
          <w:sz w:val="18"/>
          <w:szCs w:val="18"/>
          <w:color w:val="auto"/>
        </w:rPr>
        <w:t>. Law 228 of December 24, 2012, Article 1(491 – 500) introduced the Italian Financial Transaction Tax applicable</w:t>
      </w:r>
    </w:p>
    <w:p>
      <w:pPr>
        <w:ind w:right="20" w:firstLine="8"/>
        <w:spacing w:after="0" w:line="237" w:lineRule="auto"/>
        <w:tabs>
          <w:tab w:leader="none" w:pos="231" w:val="left"/>
        </w:tabs>
        <w:numPr>
          <w:ilvl w:val="0"/>
          <w:numId w:val="92"/>
        </w:numPr>
        <w:rPr>
          <w:rFonts w:ascii="Georgia" w:cs="Georgia" w:eastAsia="Georgia" w:hAnsi="Georgia"/>
          <w:sz w:val="18"/>
          <w:szCs w:val="18"/>
          <w:color w:val="auto"/>
        </w:rPr>
      </w:pPr>
      <w:r>
        <w:rPr>
          <w:rFonts w:ascii="Georgia" w:cs="Georgia" w:eastAsia="Georgia" w:hAnsi="Georgia"/>
          <w:sz w:val="18"/>
          <w:szCs w:val="18"/>
          <w:color w:val="auto"/>
        </w:rPr>
        <w:t>to 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05"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204"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The Italian Financial Transaction Tax is due by the person in whose favor the transfer of ownership of the Qualifying Equities occurs.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tax rate applicable is 0.20% while the reduced rate for transactions on “regulated markets and on multilateral trading facilities” is 0.10%.</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tax shall be paid by the 16th day of the month following the one in which the relevant triggering event occurs.</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U.S. Federal Income Taxation</w:t>
      </w:r>
    </w:p>
    <w:p>
      <w:pPr>
        <w:spacing w:after="0" w:line="20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29" w:name="page130"/>
    <w:bookmarkEnd w:id="129"/>
    <w:p>
      <w:pPr>
        <w:ind w:right="60"/>
        <w:spacing w:after="0" w:line="237" w:lineRule="auto"/>
        <w:rPr>
          <w:sz w:val="20"/>
          <w:szCs w:val="20"/>
          <w:color w:val="auto"/>
        </w:rPr>
      </w:pPr>
      <w:r>
        <w:rPr>
          <w:rFonts w:ascii="Georgia" w:cs="Georgia" w:eastAsia="Georgia" w:hAnsi="Georgia"/>
          <w:sz w:val="18"/>
          <w:szCs w:val="18"/>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208"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This summary is for general information purposes only and does not purport to be a comprehensive description of all of the U.S. federal income tax considerations that may be relevant to a decision to invest in or dispose of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207" w:lineRule="exact"/>
        <w:rPr>
          <w:sz w:val="20"/>
          <w:szCs w:val="20"/>
          <w:color w:val="auto"/>
        </w:rPr>
      </w:pPr>
    </w:p>
    <w:p>
      <w:pPr>
        <w:ind w:right="40"/>
        <w:spacing w:after="0" w:line="251" w:lineRule="auto"/>
        <w:rPr>
          <w:sz w:val="20"/>
          <w:szCs w:val="20"/>
          <w:color w:val="auto"/>
        </w:rPr>
      </w:pPr>
      <w:r>
        <w:rPr>
          <w:rFonts w:ascii="Georgia" w:cs="Georgia" w:eastAsia="Georgia" w:hAnsi="Georgia"/>
          <w:sz w:val="17"/>
          <w:szCs w:val="17"/>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w:t>
      </w:r>
    </w:p>
    <w:p>
      <w:pPr>
        <w:spacing w:after="0" w:line="3" w:lineRule="exact"/>
        <w:rPr>
          <w:sz w:val="20"/>
          <w:szCs w:val="20"/>
          <w:color w:val="auto"/>
        </w:rPr>
      </w:pPr>
    </w:p>
    <w:p>
      <w:pPr>
        <w:ind w:right="120" w:firstLine="8"/>
        <w:spacing w:after="0" w:line="237" w:lineRule="auto"/>
        <w:tabs>
          <w:tab w:leader="none" w:pos="280" w:val="left"/>
        </w:tabs>
        <w:numPr>
          <w:ilvl w:val="0"/>
          <w:numId w:val="93"/>
        </w:numPr>
        <w:rPr>
          <w:rFonts w:ascii="Georgia" w:cs="Georgia" w:eastAsia="Georgia" w:hAnsi="Georgia"/>
          <w:sz w:val="18"/>
          <w:szCs w:val="18"/>
          <w:color w:val="auto"/>
        </w:rPr>
      </w:pPr>
      <w:r>
        <w:rPr>
          <w:rFonts w:ascii="Georgia" w:cs="Georgia" w:eastAsia="Georgia" w:hAnsi="Georgia"/>
          <w:sz w:val="18"/>
          <w:szCs w:val="18"/>
          <w:color w:val="auto"/>
        </w:rPr>
        <w:t>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5" w:lineRule="exact"/>
        <w:rPr>
          <w:sz w:val="20"/>
          <w:szCs w:val="20"/>
          <w:color w:val="auto"/>
        </w:rPr>
      </w:pPr>
    </w:p>
    <w:p>
      <w:pPr>
        <w:jc w:val="both"/>
        <w:ind w:right="460"/>
        <w:spacing w:after="0" w:line="237" w:lineRule="auto"/>
        <w:rPr>
          <w:sz w:val="20"/>
          <w:szCs w:val="20"/>
          <w:color w:val="auto"/>
        </w:rPr>
      </w:pPr>
      <w:r>
        <w:rPr>
          <w:rFonts w:ascii="Georgia" w:cs="Georgia" w:eastAsia="Georgia" w:hAnsi="Georgia"/>
          <w:sz w:val="18"/>
          <w:szCs w:val="18"/>
          <w:color w:val="auto"/>
        </w:rPr>
        <w:t>Each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Taxation of Dividends Paid on Ordinary Shares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7"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30" w:name="page131"/>
    <w:bookmarkEnd w:id="130"/>
    <w:p>
      <w:pPr>
        <w:ind w:right="40"/>
        <w:spacing w:after="0" w:line="237" w:lineRule="auto"/>
        <w:rPr>
          <w:sz w:val="20"/>
          <w:szCs w:val="20"/>
          <w:color w:val="auto"/>
        </w:rPr>
      </w:pPr>
      <w:r>
        <w:rPr>
          <w:rFonts w:ascii="Georgia" w:cs="Georgia" w:eastAsia="Georgia" w:hAnsi="Georgia"/>
          <w:sz w:val="18"/>
          <w:szCs w:val="18"/>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207"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Taxation of the Disposition of Ordinary Shares</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Passive Foreign Investment Companies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Special U.S. federal income tax laws apply to U.S. taxpayers who own shares of a corporation that is a PFIC. We will be treated as a PFIC for</w:t>
      </w:r>
    </w:p>
    <w:p>
      <w:pPr>
        <w:spacing w:after="0" w:line="238" w:lineRule="auto"/>
        <w:rPr>
          <w:sz w:val="20"/>
          <w:szCs w:val="20"/>
          <w:color w:val="auto"/>
        </w:rPr>
      </w:pPr>
      <w:r>
        <w:rPr>
          <w:rFonts w:ascii="Georgia" w:cs="Georgia" w:eastAsia="Georgia" w:hAnsi="Georgia"/>
          <w:sz w:val="18"/>
          <w:szCs w:val="18"/>
          <w:color w:val="auto"/>
        </w:rPr>
        <w:t>U.S. federal income tax purposes for any taxable year that either:</w:t>
      </w:r>
    </w:p>
    <w:p>
      <w:pPr>
        <w:spacing w:after="0" w:line="202" w:lineRule="exact"/>
        <w:rPr>
          <w:sz w:val="20"/>
          <w:szCs w:val="20"/>
          <w:color w:val="auto"/>
        </w:rPr>
      </w:pPr>
    </w:p>
    <w:p>
      <w:pPr>
        <w:ind w:left="660" w:right="140" w:hanging="328"/>
        <w:spacing w:after="0" w:line="237" w:lineRule="auto"/>
        <w:tabs>
          <w:tab w:leader="none" w:pos="660" w:val="left"/>
        </w:tabs>
        <w:numPr>
          <w:ilvl w:val="0"/>
          <w:numId w:val="94"/>
        </w:numPr>
        <w:rPr>
          <w:rFonts w:ascii="Georgia" w:cs="Georgia" w:eastAsia="Georgia" w:hAnsi="Georgia"/>
          <w:sz w:val="18"/>
          <w:szCs w:val="18"/>
          <w:color w:val="auto"/>
        </w:rPr>
      </w:pPr>
      <w:r>
        <w:rPr>
          <w:rFonts w:ascii="Georgia" w:cs="Georgia" w:eastAsia="Georgia" w:hAnsi="Georgia"/>
          <w:sz w:val="18"/>
          <w:szCs w:val="18"/>
          <w:color w:val="auto"/>
        </w:rPr>
        <w:t>75% or more of our gross income (including our pro rata share of gross income for any company, in which we are considered to own 25% or more of the shares by value), in a taxable year is passive; or</w:t>
      </w:r>
    </w:p>
    <w:p>
      <w:pPr>
        <w:spacing w:after="0" w:line="203"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94"/>
        </w:numPr>
        <w:rPr>
          <w:rFonts w:ascii="Georgia" w:cs="Georgia" w:eastAsia="Georgia" w:hAnsi="Georgia"/>
          <w:sz w:val="18"/>
          <w:szCs w:val="18"/>
          <w:color w:val="auto"/>
        </w:rPr>
      </w:pPr>
      <w:r>
        <w:rPr>
          <w:rFonts w:ascii="Georgia" w:cs="Georgia" w:eastAsia="Georgia" w:hAnsi="Georgia"/>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04"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31" w:name="page132"/>
    <w:bookmarkEnd w:id="131"/>
    <w:p>
      <w:pPr>
        <w:spacing w:after="0" w:line="237" w:lineRule="auto"/>
        <w:rPr>
          <w:sz w:val="20"/>
          <w:szCs w:val="20"/>
          <w:color w:val="auto"/>
        </w:rPr>
      </w:pPr>
      <w:r>
        <w:rPr>
          <w:rFonts w:ascii="Georgia" w:cs="Georgia" w:eastAsia="Georgia" w:hAnsi="Georgia"/>
          <w:sz w:val="18"/>
          <w:szCs w:val="18"/>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6"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6"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Tax on Net Investment Income</w:t>
      </w:r>
    </w:p>
    <w:p>
      <w:pPr>
        <w:spacing w:after="0" w:line="202"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Information Reporting and Withholding</w:t>
      </w:r>
    </w:p>
    <w:p>
      <w:pPr>
        <w:spacing w:after="0" w:line="202" w:lineRule="exact"/>
        <w:rPr>
          <w:sz w:val="20"/>
          <w:szCs w:val="20"/>
          <w:color w:val="auto"/>
        </w:rPr>
      </w:pPr>
    </w:p>
    <w:p>
      <w:pPr>
        <w:jc w:val="both"/>
        <w:ind w:right="320"/>
        <w:spacing w:after="0" w:line="237" w:lineRule="auto"/>
        <w:rPr>
          <w:sz w:val="20"/>
          <w:szCs w:val="20"/>
          <w:color w:val="auto"/>
        </w:rPr>
      </w:pPr>
      <w:r>
        <w:rPr>
          <w:rFonts w:ascii="Georgia" w:cs="Georgia" w:eastAsia="Georgia" w:hAnsi="Georgia"/>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05"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F. Dividends and paying agents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G. Statement by experts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32" w:name="page133"/>
    <w:bookmarkEnd w:id="132"/>
    <w:p>
      <w:pPr>
        <w:spacing w:after="0"/>
        <w:rPr>
          <w:sz w:val="20"/>
          <w:szCs w:val="20"/>
          <w:color w:val="auto"/>
        </w:rPr>
      </w:pPr>
      <w:r>
        <w:rPr>
          <w:rFonts w:ascii="Georgia" w:cs="Georgia" w:eastAsia="Georgia" w:hAnsi="Georgia"/>
          <w:sz w:val="18"/>
          <w:szCs w:val="18"/>
          <w:b w:val="1"/>
          <w:bCs w:val="1"/>
          <w:color w:val="auto"/>
        </w:rPr>
        <w:t>H. Documents on display</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Documents concerning us that are referred to in this document may be inspected at our office at Via Olgettina No. 58, 20132 Milan,</w:t>
      </w:r>
    </w:p>
    <w:p>
      <w:pPr>
        <w:spacing w:after="0" w:line="238" w:lineRule="auto"/>
        <w:rPr>
          <w:sz w:val="20"/>
          <w:szCs w:val="20"/>
          <w:color w:val="auto"/>
        </w:rPr>
      </w:pPr>
      <w:r>
        <w:rPr>
          <w:rFonts w:ascii="Georgia" w:cs="Georgia" w:eastAsia="Georgia" w:hAnsi="Georgia"/>
          <w:sz w:val="18"/>
          <w:szCs w:val="18"/>
          <w:color w:val="auto"/>
        </w:rPr>
        <w:t>Italy.</w:t>
      </w:r>
    </w:p>
    <w:p>
      <w:pPr>
        <w:spacing w:after="0" w:line="202" w:lineRule="exact"/>
        <w:rPr>
          <w:sz w:val="20"/>
          <w:szCs w:val="20"/>
          <w:color w:val="auto"/>
        </w:rPr>
      </w:pPr>
    </w:p>
    <w:p>
      <w:pPr>
        <w:ind w:right="60" w:firstLine="648"/>
        <w:spacing w:after="0" w:line="237" w:lineRule="auto"/>
        <w:rPr>
          <w:sz w:val="20"/>
          <w:szCs w:val="20"/>
          <w:color w:val="auto"/>
        </w:rPr>
      </w:pPr>
      <w:r>
        <w:rPr>
          <w:rFonts w:ascii="Georgia" w:cs="Georgia" w:eastAsia="Georgia" w:hAnsi="Georgia"/>
          <w:sz w:val="18"/>
          <w:szCs w:val="18"/>
          <w:color w:val="auto"/>
        </w:rPr>
        <w:t>In addition, we will file annual reports and other information with the Securities and Exchange Commission. We will file annual reports on Form 20-F and submit other information under cover of Form 6-K. As a foreign private issuer, we are exempt from the proxy requirements of Section 14 of the Exchange Act and our officers, directors and principal shareholders will be exempt from the insider short-swing disclosure and profit recovery rules of Section 16 of the Exchange Act. The Commission maintains a web site that contains reports and other information regarding registrants (including us) that file electronically with the Commission which can be assessed at http://www.sec.gov.</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ENFORCEABILITY OF CIVIL LIABILITIES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 Subsidiary Information</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required.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11. QUANTITATIVE AND QUALITATIVE DISCLOSURE ABOUT MARKET RISK</w:t>
      </w:r>
    </w:p>
    <w:p>
      <w:pPr>
        <w:spacing w:after="0" w:line="202" w:lineRule="exact"/>
        <w:rPr>
          <w:sz w:val="20"/>
          <w:szCs w:val="20"/>
          <w:color w:val="auto"/>
        </w:rPr>
      </w:pPr>
    </w:p>
    <w:p>
      <w:pPr>
        <w:spacing w:after="0" w:line="254" w:lineRule="auto"/>
        <w:rPr>
          <w:sz w:val="20"/>
          <w:szCs w:val="20"/>
          <w:color w:val="auto"/>
        </w:rPr>
      </w:pPr>
      <w:r>
        <w:rPr>
          <w:rFonts w:ascii="Georgia" w:cs="Georgia" w:eastAsia="Georgia" w:hAnsi="Georgia"/>
          <w:sz w:val="17"/>
          <w:szCs w:val="17"/>
          <w:color w:val="auto"/>
        </w:rPr>
        <w:t>Genenta’s activities expose it to a variety of financial risks: market risk (including foreign currency risk and interest rate risk), credit risk and liquidity risk. The overall risk management strategy focuses on the unpredictability of the finance markets and seeks to minimize the potential adverse effects on the financial performance. Genenta uses different methods to measure different types of risk to which it is exposed. These methods include sensitivity analysis in the case of interest rate, foreign exchange and other price risks, ageing analysis for credit risk and beta analysis in respect of investment portfolios to determine market risk. Risk management is carried out under the direction of the Board. Please see note 1 to our audited consolidated financial statements for further information with respect to certain of these risks.</w:t>
      </w:r>
    </w:p>
    <w:p>
      <w:pPr>
        <w:spacing w:after="0" w:line="191" w:lineRule="exact"/>
        <w:rPr>
          <w:sz w:val="20"/>
          <w:szCs w:val="20"/>
          <w:color w:val="auto"/>
        </w:rPr>
      </w:pPr>
    </w:p>
    <w:p>
      <w:pPr>
        <w:ind w:right="3940"/>
        <w:spacing w:after="0" w:line="473" w:lineRule="auto"/>
        <w:rPr>
          <w:sz w:val="20"/>
          <w:szCs w:val="20"/>
          <w:color w:val="auto"/>
        </w:rPr>
      </w:pPr>
      <w:r>
        <w:rPr>
          <w:rFonts w:ascii="Georgia" w:cs="Georgia" w:eastAsia="Georgia" w:hAnsi="Georgia"/>
          <w:sz w:val="18"/>
          <w:szCs w:val="18"/>
          <w:b w:val="1"/>
          <w:bCs w:val="1"/>
          <w:color w:val="auto"/>
        </w:rPr>
        <w:t>ITEM 12. DESCRIPTION OF SECURITIES OTHER THAN EQUITY SECURITIES D. American Depositary Shares</w:t>
      </w:r>
    </w:p>
    <w:p>
      <w:pPr>
        <w:spacing w:after="0" w:line="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Bank of New York Mellon, as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ectPr>
          <w:pgSz w:w="11900" w:h="16838" w:orient="portrait"/>
          <w:cols w:equalWidth="0" w:num="1">
            <w:col w:w="11180"/>
          </w:cols>
          <w:pgMar w:left="320" w:top="688" w:right="399" w:bottom="1440" w:gutter="0" w:footer="0" w:header="0"/>
        </w:sectPr>
      </w:pPr>
    </w:p>
    <w:p>
      <w:pPr>
        <w:spacing w:after="0" w:line="206" w:lineRule="exact"/>
        <w:rPr>
          <w:sz w:val="20"/>
          <w:szCs w:val="20"/>
          <w:color w:val="auto"/>
        </w:rPr>
      </w:pPr>
    </w:p>
    <w:p>
      <w:pPr>
        <w:ind w:right="280"/>
        <w:spacing w:after="0" w:line="237" w:lineRule="auto"/>
        <w:rPr>
          <w:sz w:val="20"/>
          <w:szCs w:val="20"/>
          <w:color w:val="auto"/>
        </w:rPr>
      </w:pPr>
      <w:r>
        <w:rPr>
          <w:rFonts w:ascii="Georgia" w:cs="Georgia" w:eastAsia="Georgia" w:hAnsi="Georgia"/>
          <w:sz w:val="18"/>
          <w:szCs w:val="18"/>
          <w:b w:val="1"/>
          <w:bCs w:val="1"/>
          <w:i w:val="1"/>
          <w:iCs w:val="1"/>
          <w:color w:val="auto"/>
        </w:rPr>
        <w:t>Persons depositing or withdrawing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399478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9478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Georgia" w:cs="Georgia" w:eastAsia="Georgia" w:hAnsi="Georgia"/>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$.05 (or less) per ADS</w:t>
      </w:r>
    </w:p>
    <w:p>
      <w:pPr>
        <w:ind w:right="20"/>
        <w:spacing w:after="0" w:line="237" w:lineRule="auto"/>
        <w:rPr>
          <w:sz w:val="20"/>
          <w:szCs w:val="20"/>
          <w:color w:val="auto"/>
        </w:rPr>
      </w:pPr>
      <w:r>
        <w:rPr>
          <w:rFonts w:ascii="Georgia" w:cs="Georgia" w:eastAsia="Georgia" w:hAnsi="Georgia"/>
          <w:sz w:val="18"/>
          <w:szCs w:val="18"/>
          <w:color w:val="auto"/>
        </w:rPr>
        <w:t>A fee equivalent to the fee that would be payable if securities distributed to you had been shares and the shares had been deposited for issuance of ADSs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$.05 (or less) per ADS per calendar year</w:t>
      </w:r>
    </w:p>
    <w:p>
      <w:pPr>
        <w:spacing w:after="0" w:line="238" w:lineRule="auto"/>
        <w:rPr>
          <w:sz w:val="20"/>
          <w:szCs w:val="20"/>
          <w:color w:val="auto"/>
        </w:rPr>
      </w:pPr>
      <w:r>
        <w:rPr>
          <w:rFonts w:ascii="Georgia" w:cs="Georgia" w:eastAsia="Georgia" w:hAnsi="Georgia"/>
          <w:sz w:val="18"/>
          <w:szCs w:val="18"/>
          <w:color w:val="auto"/>
        </w:rPr>
        <w:t>Registration or transfer fees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Expenses of the depositary</w:t>
      </w:r>
    </w:p>
    <w:p>
      <w:pPr>
        <w:spacing w:after="0" w:line="200" w:lineRule="exact"/>
        <w:rPr>
          <w:sz w:val="20"/>
          <w:szCs w:val="20"/>
          <w:color w:val="auto"/>
        </w:rPr>
      </w:pP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Taxes and other governmental charges the depositary or the custodian has to pay on any ADSs or shares underlying ADSs, such as stock transfer taxes, stamp duty or withholding taxes</w:t>
      </w:r>
    </w:p>
    <w:p>
      <w:pPr>
        <w:spacing w:after="0" w:line="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Any charges incurred by the depositary or its agents for servicing the deposited securities</w:t>
      </w:r>
    </w:p>
    <w:p>
      <w:pPr>
        <w:spacing w:after="0" w:line="18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99148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6"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2" w:lineRule="exact"/>
        <w:rPr>
          <w:sz w:val="20"/>
          <w:szCs w:val="20"/>
          <w:color w:val="auto"/>
        </w:rPr>
      </w:pPr>
    </w:p>
    <w:p>
      <w:pPr>
        <w:ind w:right="60"/>
        <w:spacing w:after="0"/>
        <w:rPr>
          <w:sz w:val="20"/>
          <w:szCs w:val="20"/>
          <w:color w:val="auto"/>
        </w:rPr>
      </w:pPr>
      <w:r>
        <w:rPr>
          <w:rFonts w:ascii="Georgia" w:cs="Georgia" w:eastAsia="Georgia" w:hAnsi="Georgia"/>
          <w:sz w:val="18"/>
          <w:szCs w:val="18"/>
          <w:color w:val="auto"/>
        </w:rPr>
        <w:t>Any cash distribution to ADS holders Distribution of securities distributed to holders of deposited securities (including rights) that are distributed by the depositary to ADS holders Depositary services</w:t>
      </w:r>
    </w:p>
    <w:p>
      <w:pPr>
        <w:spacing w:after="0" w:line="19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Transfer and registration of shares on our share register to or from the name of the depositary or its agent when you deposit or withdraw shares</w:t>
      </w:r>
    </w:p>
    <w:p>
      <w:pPr>
        <w:spacing w:after="0" w:line="2" w:lineRule="exact"/>
        <w:rPr>
          <w:sz w:val="20"/>
          <w:szCs w:val="20"/>
          <w:color w:val="auto"/>
        </w:rPr>
      </w:pPr>
    </w:p>
    <w:p>
      <w:pPr>
        <w:ind w:right="340"/>
        <w:spacing w:after="0" w:line="237" w:lineRule="auto"/>
        <w:rPr>
          <w:sz w:val="20"/>
          <w:szCs w:val="20"/>
          <w:color w:val="auto"/>
        </w:rPr>
      </w:pPr>
      <w:r>
        <w:rPr>
          <w:rFonts w:ascii="Georgia" w:cs="Georgia" w:eastAsia="Georgia" w:hAnsi="Georgia"/>
          <w:sz w:val="18"/>
          <w:szCs w:val="18"/>
          <w:color w:val="auto"/>
        </w:rPr>
        <w:t>Cable (including SWIFT) and facsimile transmissions (when expressly provided in the deposit agreement)Converting foreign currency to U.S. dollars As necessary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color w:val="auto"/>
        </w:rPr>
        <w:t>As necessary</w:t>
      </w:r>
    </w:p>
    <w:p>
      <w:pPr>
        <w:sectPr>
          <w:pgSz w:w="11900" w:h="16838" w:orient="portrait"/>
          <w:cols w:equalWidth="0" w:num="2">
            <w:col w:w="6260" w:space="260"/>
            <w:col w:w="4660"/>
          </w:cols>
          <w:pgMar w:left="320" w:top="688" w:right="399" w:bottom="1440" w:gutter="0" w:footer="0" w:header="0"/>
          <w:type w:val="continuous"/>
        </w:sectPr>
      </w:pPr>
    </w:p>
    <w:bookmarkStart w:id="133" w:name="page134"/>
    <w:bookmarkEnd w:id="133"/>
    <w:p>
      <w:pPr>
        <w:spacing w:after="0" w:line="237" w:lineRule="auto"/>
        <w:rPr>
          <w:sz w:val="20"/>
          <w:szCs w:val="20"/>
          <w:color w:val="auto"/>
        </w:rPr>
      </w:pPr>
      <w:r>
        <w:rPr>
          <w:rFonts w:ascii="Georgia" w:cs="Georgia" w:eastAsia="Georgia" w:hAnsi="Georgia"/>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10" w:lineRule="exact"/>
        <w:rPr>
          <w:sz w:val="20"/>
          <w:szCs w:val="20"/>
          <w:color w:val="auto"/>
        </w:rPr>
      </w:pPr>
    </w:p>
    <w:p>
      <w:pPr>
        <w:ind w:left="5260"/>
        <w:spacing w:after="0"/>
        <w:rPr>
          <w:sz w:val="20"/>
          <w:szCs w:val="20"/>
          <w:color w:val="auto"/>
        </w:rPr>
      </w:pPr>
      <w:r>
        <w:rPr>
          <w:rFonts w:ascii="Georgia" w:cs="Georgia" w:eastAsia="Georgia" w:hAnsi="Georgia"/>
          <w:sz w:val="18"/>
          <w:szCs w:val="18"/>
          <w:b w:val="1"/>
          <w:bCs w:val="1"/>
          <w:color w:val="auto"/>
        </w:rPr>
        <w:t>PART II</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13. DEFAULTS, DIVIDEND ARREARAGES AND DELINQUENCIES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2" w:lineRule="exact"/>
        <w:rPr>
          <w:sz w:val="20"/>
          <w:szCs w:val="20"/>
          <w:color w:val="auto"/>
        </w:rPr>
      </w:pPr>
    </w:p>
    <w:p>
      <w:pPr>
        <w:ind w:left="660" w:right="1280" w:hanging="647"/>
        <w:spacing w:after="0" w:line="473" w:lineRule="auto"/>
        <w:rPr>
          <w:sz w:val="20"/>
          <w:szCs w:val="20"/>
          <w:color w:val="auto"/>
        </w:rPr>
      </w:pPr>
      <w:r>
        <w:rPr>
          <w:rFonts w:ascii="Georgia" w:cs="Georgia" w:eastAsia="Georgia" w:hAnsi="Georgia"/>
          <w:sz w:val="18"/>
          <w:szCs w:val="18"/>
          <w:b w:val="1"/>
          <w:bCs w:val="1"/>
          <w:color w:val="auto"/>
        </w:rPr>
        <w:t>ITEM 14. MATERIAL MODIFICATIONS TO THE RIGHTS OF SECURITY HOLDERS AND USE OF PROCEEDS A.-D. Material Modifications to the Rights of Security Holders.</w:t>
      </w:r>
    </w:p>
    <w:p>
      <w:pPr>
        <w:spacing w:after="0" w:line="2"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None.</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b w:val="1"/>
          <w:bCs w:val="1"/>
          <w:color w:val="auto"/>
        </w:rPr>
        <w:t>E. Use of Proceeds.</w:t>
      </w:r>
    </w:p>
    <w:p>
      <w:pPr>
        <w:spacing w:after="0" w:line="202"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On December 17, 2021, we completed an offering of an aggregate of 3,120,114 ordinary shares and ADSs at a public offering price of US$11.50 per security. On December 23, 2021, the underwriters in the offering exercised their over-allotment option in part for an additional 96,744 ADSs at the offering price, resulting in an aggregate of 3,216,858 ordinary shares (including ordinary shares in the form of American Depositary Shares) issued in the offering. We received net proceeds from our IPO of approximately US$33 million, after deducting underwriting discounts and related offering expenses. The principal purposes of our IPO were to create a public market for our ADSs for the benefit of all shareholders, retain talented employees by providing them equity incentives, fund proposed capital expenditures and raise capital for development of our product candidates and general corporate purposes. As of the date of this report, we have allocated a portion of the net proceeds of the offering for investment purposes and the remaining proceeds for clinical development of our lead product Temferon™.</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15. CONTROLS AND PROCEDURES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Disclosure Controls and Procedures</w:t>
      </w:r>
    </w:p>
    <w:p>
      <w:pPr>
        <w:spacing w:after="0" w:line="202" w:lineRule="exact"/>
        <w:rPr>
          <w:sz w:val="20"/>
          <w:szCs w:val="20"/>
          <w:color w:val="auto"/>
        </w:rPr>
      </w:pPr>
    </w:p>
    <w:p>
      <w:pPr>
        <w:ind w:right="140" w:firstLine="648"/>
        <w:spacing w:after="0" w:line="237" w:lineRule="auto"/>
        <w:rPr>
          <w:sz w:val="20"/>
          <w:szCs w:val="20"/>
          <w:color w:val="auto"/>
        </w:rPr>
      </w:pPr>
      <w:r>
        <w:rPr>
          <w:rFonts w:ascii="Georgia" w:cs="Georgia" w:eastAsia="Georgia" w:hAnsi="Georgia"/>
          <w:sz w:val="18"/>
          <w:szCs w:val="18"/>
          <w:color w:val="auto"/>
        </w:rPr>
        <w:t>Disclosure controls and procedures are designed to ensure that information required to be disclosed by us in reports filed or submitted under the Securities Exchange Act of 1934 (“Exchange Act”) is recorded, processed, summarized and reported within the time periods specified in the SEC’s rules and forms. Disclosure controls include, without limitation, controls and procedures designed to ensure that information required to be disclosed under the Exchange Act is accumulated and communicated to management, including principal executive and financial officers,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07" w:lineRule="exact"/>
        <w:rPr>
          <w:sz w:val="20"/>
          <w:szCs w:val="20"/>
          <w:color w:val="auto"/>
        </w:rPr>
      </w:pPr>
    </w:p>
    <w:p>
      <w:pPr>
        <w:ind w:right="120" w:firstLine="648"/>
        <w:spacing w:after="0" w:line="237" w:lineRule="auto"/>
        <w:rPr>
          <w:sz w:val="20"/>
          <w:szCs w:val="20"/>
          <w:color w:val="auto"/>
        </w:rPr>
      </w:pPr>
      <w:r>
        <w:rPr>
          <w:rFonts w:ascii="Georgia" w:cs="Georgia" w:eastAsia="Georgia" w:hAnsi="Georgia"/>
          <w:sz w:val="18"/>
          <w:szCs w:val="18"/>
          <w:color w:val="auto"/>
        </w:rPr>
        <w:t>Our management carried out an evaluation, under the supervision of our chief executive officer and chief financial officer, of the effectiveness of our disclosure controls and procedures as such term is defined under Rule 13a-15(e) promulgated under the Exchange Act as of December 31, 2021. Based on that evaluation, our management, including our chief executive officer and chief financial officer, has concluded that the company’s disclosure controls and procedures were not effective as of December 31, 2021 due to the existence of material weaknesses in internal control over financial reporting described below in “Management’s Annual Report on Internal Control over Financial Reporting,” which management intends to remediate.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34" w:name="page135"/>
    <w:bookmarkEnd w:id="134"/>
    <w:p>
      <w:pPr>
        <w:ind w:right="40" w:firstLine="648"/>
        <w:spacing w:after="0" w:line="257" w:lineRule="auto"/>
        <w:rPr>
          <w:sz w:val="20"/>
          <w:szCs w:val="20"/>
          <w:color w:val="auto"/>
        </w:rPr>
      </w:pPr>
      <w:r>
        <w:rPr>
          <w:rFonts w:ascii="Georgia" w:cs="Georgia" w:eastAsia="Georgia" w:hAnsi="Georgia"/>
          <w:sz w:val="17"/>
          <w:szCs w:val="17"/>
          <w:color w:val="auto"/>
        </w:rPr>
        <w:t>Notwithstanding the material weaknesses, management concluded that the consolidated financial statements included in this annual report on Form 20-F present fairly, in all material respects, our financial position, results of operations and cash flows as of and for the periods presented in accordance with US GAAP. Management’s assessment is based upon a number of factors, including, but not limited to:</w:t>
      </w:r>
    </w:p>
    <w:p>
      <w:pPr>
        <w:spacing w:after="0" w:line="189" w:lineRule="exact"/>
        <w:rPr>
          <w:sz w:val="20"/>
          <w:szCs w:val="20"/>
          <w:color w:val="auto"/>
        </w:rPr>
      </w:pPr>
    </w:p>
    <w:p>
      <w:pPr>
        <w:ind w:right="40" w:firstLine="656"/>
        <w:spacing w:after="0" w:line="237" w:lineRule="auto"/>
        <w:tabs>
          <w:tab w:leader="none" w:pos="800" w:val="left"/>
        </w:tabs>
        <w:numPr>
          <w:ilvl w:val="0"/>
          <w:numId w:val="95"/>
        </w:numPr>
        <w:rPr>
          <w:rFonts w:ascii="Georgia" w:cs="Georgia" w:eastAsia="Georgia" w:hAnsi="Georgia"/>
          <w:sz w:val="18"/>
          <w:szCs w:val="18"/>
          <w:color w:val="auto"/>
        </w:rPr>
      </w:pPr>
      <w:r>
        <w:rPr>
          <w:rFonts w:ascii="Georgia" w:cs="Georgia" w:eastAsia="Georgia" w:hAnsi="Georgia"/>
          <w:sz w:val="18"/>
          <w:szCs w:val="18"/>
          <w:color w:val="auto"/>
        </w:rPr>
        <w:t>The successful implementation of certain remediation actions, documentation and process controls with regard to previous control environment deficiencies; and</w:t>
      </w:r>
    </w:p>
    <w:p>
      <w:pPr>
        <w:spacing w:after="0" w:line="201" w:lineRule="exact"/>
        <w:rPr>
          <w:rFonts w:ascii="Georgia" w:cs="Georgia" w:eastAsia="Georgia" w:hAnsi="Georgia"/>
          <w:sz w:val="18"/>
          <w:szCs w:val="18"/>
          <w:color w:val="auto"/>
        </w:rPr>
      </w:pPr>
    </w:p>
    <w:p>
      <w:pPr>
        <w:ind w:left="800" w:hanging="144"/>
        <w:spacing w:after="0"/>
        <w:tabs>
          <w:tab w:leader="none" w:pos="800" w:val="left"/>
        </w:tabs>
        <w:numPr>
          <w:ilvl w:val="0"/>
          <w:numId w:val="95"/>
        </w:numPr>
        <w:rPr>
          <w:rFonts w:ascii="Georgia" w:cs="Georgia" w:eastAsia="Georgia" w:hAnsi="Georgia"/>
          <w:sz w:val="18"/>
          <w:szCs w:val="18"/>
          <w:color w:val="auto"/>
        </w:rPr>
      </w:pPr>
      <w:r>
        <w:rPr>
          <w:rFonts w:ascii="Georgia" w:cs="Georgia" w:eastAsia="Georgia" w:hAnsi="Georgia"/>
          <w:sz w:val="18"/>
          <w:szCs w:val="18"/>
          <w:color w:val="auto"/>
        </w:rPr>
        <w:t>The additional oversight and review by management and the board of statutory auditors.</w:t>
      </w:r>
    </w:p>
    <w:p>
      <w:pPr>
        <w:ind w:right="500" w:firstLine="648"/>
        <w:spacing w:after="0" w:line="237" w:lineRule="auto"/>
        <w:rPr>
          <w:sz w:val="20"/>
          <w:szCs w:val="20"/>
          <w:color w:val="auto"/>
        </w:rPr>
      </w:pPr>
      <w:r>
        <w:rPr>
          <w:rFonts w:ascii="Georgia" w:cs="Georgia" w:eastAsia="Georgia" w:hAnsi="Georgia"/>
          <w:sz w:val="18"/>
          <w:szCs w:val="18"/>
          <w:color w:val="auto"/>
        </w:rPr>
        <w:t>Management is developing a more detailed action plan that includes hiring additional staff and documenting adequate internal control processes, as expressed below. Actions began in 2021 and will continue in 2022 and beyond.</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Management’s Annual Report on Internal Control over Financial Reporting</w:t>
      </w:r>
    </w:p>
    <w:p>
      <w:pPr>
        <w:spacing w:after="0" w:line="202" w:lineRule="exact"/>
        <w:rPr>
          <w:sz w:val="20"/>
          <w:szCs w:val="20"/>
          <w:color w:val="auto"/>
        </w:rPr>
      </w:pPr>
    </w:p>
    <w:p>
      <w:pPr>
        <w:ind w:right="60" w:firstLine="648"/>
        <w:spacing w:after="0" w:line="237" w:lineRule="auto"/>
        <w:rPr>
          <w:sz w:val="20"/>
          <w:szCs w:val="20"/>
          <w:color w:val="auto"/>
        </w:rPr>
      </w:pPr>
      <w:r>
        <w:rPr>
          <w:rFonts w:ascii="Georgia" w:cs="Georgia" w:eastAsia="Georgia" w:hAnsi="Georgia"/>
          <w:sz w:val="18"/>
          <w:szCs w:val="18"/>
          <w:color w:val="auto"/>
        </w:rPr>
        <w:t>The Company’s internal control over financial reporting is a process designed under the supervision of the chief cxecutive officer and chief financial officer to provide reasonable assurance as to the reliability of the Company’s financial reporting and the preparation of its consolidated financial statements for external purposes in accordance with generally accepted accounting principles. Our management is responsible for establishing and maintaining adequate internal control over financial reporting, as such term is defined in Rule 13a-15(f) under the Securities Exchange Act of 1934, as amended.</w:t>
      </w:r>
    </w:p>
    <w:p>
      <w:pPr>
        <w:spacing w:after="0" w:line="205" w:lineRule="exact"/>
        <w:rPr>
          <w:sz w:val="20"/>
          <w:szCs w:val="20"/>
          <w:color w:val="auto"/>
        </w:rPr>
      </w:pPr>
    </w:p>
    <w:p>
      <w:pPr>
        <w:ind w:right="60" w:firstLine="648"/>
        <w:spacing w:after="0" w:line="237" w:lineRule="auto"/>
        <w:rPr>
          <w:sz w:val="20"/>
          <w:szCs w:val="20"/>
          <w:color w:val="auto"/>
        </w:rPr>
      </w:pPr>
      <w:r>
        <w:rPr>
          <w:rFonts w:ascii="Georgia" w:cs="Georgia" w:eastAsia="Georgia" w:hAnsi="Georgia"/>
          <w:sz w:val="18"/>
          <w:szCs w:val="18"/>
          <w:color w:val="auto"/>
        </w:rPr>
        <w:t>Internal control over financial reporting is a process designed to provide reasonable assurance regarding the reliability of financial reporting and the preparation of consolidated financial statements in accordance with U.S.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207" w:lineRule="exact"/>
        <w:rPr>
          <w:sz w:val="20"/>
          <w:szCs w:val="20"/>
          <w:color w:val="auto"/>
        </w:rPr>
      </w:pPr>
    </w:p>
    <w:p>
      <w:pPr>
        <w:ind w:right="100" w:firstLine="648"/>
        <w:spacing w:after="0" w:line="237" w:lineRule="auto"/>
        <w:rPr>
          <w:sz w:val="20"/>
          <w:szCs w:val="20"/>
          <w:color w:val="auto"/>
        </w:rPr>
      </w:pPr>
      <w:r>
        <w:rPr>
          <w:rFonts w:ascii="Georgia" w:cs="Georgia" w:eastAsia="Georgia" w:hAnsi="Georgia"/>
          <w:sz w:val="18"/>
          <w:szCs w:val="18"/>
          <w:color w:val="auto"/>
        </w:rPr>
        <w:t>Because of its inherent limitations, a system of internal control over financial reporting can provide only reasonable assurance with respect to consolidated financial statements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Management evaluated the effectiveness of our internal control over financial reporting as of December 31, 2021. In making this evaluation, management used the framework established in Internal Control — Integrated Framework (2013) issued by the Committee of Sponsoring Organizations of the Treadway Commission (“COSO”). The COSO framework summarizes each of the components of a company’s internal control system, including the control environment, risk assessment, control activities, information and communication, and monitoring activities.</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Material Weaknesses</w:t>
      </w:r>
    </w:p>
    <w:p>
      <w:pPr>
        <w:spacing w:after="0" w:line="202" w:lineRule="exact"/>
        <w:rPr>
          <w:sz w:val="20"/>
          <w:szCs w:val="20"/>
          <w:color w:val="auto"/>
        </w:rPr>
      </w:pPr>
    </w:p>
    <w:p>
      <w:pPr>
        <w:ind w:right="260" w:firstLine="648"/>
        <w:spacing w:after="0" w:line="237" w:lineRule="auto"/>
        <w:rPr>
          <w:sz w:val="20"/>
          <w:szCs w:val="20"/>
          <w:color w:val="auto"/>
        </w:rPr>
      </w:pPr>
      <w:r>
        <w:rPr>
          <w:rFonts w:ascii="Georgia" w:cs="Georgia" w:eastAsia="Georgia" w:hAnsi="Georgia"/>
          <w:sz w:val="18"/>
          <w:szCs w:val="18"/>
          <w:color w:val="auto"/>
        </w:rPr>
        <w:t>A material weakness is a deficiency, or combination of deficiencies, in internal control over financial reporting, such that there is a reasonable possibility that a material misstatement of financial statements will not be prevented or detected on timely basis.</w:t>
      </w:r>
    </w:p>
    <w:p>
      <w:pPr>
        <w:spacing w:after="0" w:line="204" w:lineRule="exact"/>
        <w:rPr>
          <w:sz w:val="20"/>
          <w:szCs w:val="20"/>
          <w:color w:val="auto"/>
        </w:rPr>
      </w:pPr>
    </w:p>
    <w:p>
      <w:pPr>
        <w:ind w:right="80" w:firstLine="648"/>
        <w:spacing w:after="0" w:line="237" w:lineRule="auto"/>
        <w:rPr>
          <w:sz w:val="20"/>
          <w:szCs w:val="20"/>
          <w:color w:val="auto"/>
        </w:rPr>
      </w:pPr>
      <w:r>
        <w:rPr>
          <w:rFonts w:ascii="Georgia" w:cs="Georgia" w:eastAsia="Georgia" w:hAnsi="Georgia"/>
          <w:sz w:val="18"/>
          <w:szCs w:val="18"/>
          <w:color w:val="auto"/>
        </w:rPr>
        <w:t>Based on its assessment, management has determined that the company’s internal control over financial reporting was ineffective as of December 31, 2021, due to the existence of the material weaknesses described herein. To date, the Company has had limited financial and accounting personnel, which has resulted in a limited segregation of duties to fully execute the Company’s accounting processes and address the Company’s internal control over financial reporting. In connection with the Company’s audits of its consolidated financial statements as of and for the years ended December 31, 2021 and 2020, management has identified certain material weaknesses in internal control over financial reporting, including but not limited to our lack of adequate staff to:</w:t>
      </w:r>
    </w:p>
    <w:p>
      <w:pPr>
        <w:spacing w:after="0" w:line="204" w:lineRule="exact"/>
        <w:rPr>
          <w:sz w:val="20"/>
          <w:szCs w:val="20"/>
          <w:color w:val="auto"/>
        </w:rPr>
      </w:pPr>
    </w:p>
    <w:p>
      <w:pPr>
        <w:ind w:left="880" w:hanging="224"/>
        <w:spacing w:after="0"/>
        <w:tabs>
          <w:tab w:leader="none" w:pos="880" w:val="left"/>
        </w:tabs>
        <w:numPr>
          <w:ilvl w:val="0"/>
          <w:numId w:val="96"/>
        </w:numPr>
        <w:rPr>
          <w:rFonts w:ascii="Georgia" w:cs="Georgia" w:eastAsia="Georgia" w:hAnsi="Georgia"/>
          <w:sz w:val="18"/>
          <w:szCs w:val="18"/>
          <w:color w:val="auto"/>
        </w:rPr>
      </w:pPr>
      <w:r>
        <w:rPr>
          <w:rFonts w:ascii="Georgia" w:cs="Georgia" w:eastAsia="Georgia" w:hAnsi="Georgia"/>
          <w:sz w:val="18"/>
          <w:szCs w:val="18"/>
          <w:color w:val="auto"/>
        </w:rPr>
        <w:t>process financial information in a timely manner;</w:t>
      </w:r>
    </w:p>
    <w:p>
      <w:pPr>
        <w:spacing w:after="0" w:line="201" w:lineRule="exact"/>
        <w:rPr>
          <w:rFonts w:ascii="Georgia" w:cs="Georgia" w:eastAsia="Georgia" w:hAnsi="Georgia"/>
          <w:sz w:val="18"/>
          <w:szCs w:val="18"/>
          <w:color w:val="auto"/>
        </w:rPr>
      </w:pPr>
    </w:p>
    <w:p>
      <w:pPr>
        <w:ind w:left="940" w:hanging="284"/>
        <w:spacing w:after="0"/>
        <w:tabs>
          <w:tab w:leader="none" w:pos="940" w:val="left"/>
        </w:tabs>
        <w:numPr>
          <w:ilvl w:val="0"/>
          <w:numId w:val="96"/>
        </w:numPr>
        <w:rPr>
          <w:rFonts w:ascii="Georgia" w:cs="Georgia" w:eastAsia="Georgia" w:hAnsi="Georgia"/>
          <w:sz w:val="17"/>
          <w:szCs w:val="17"/>
          <w:color w:val="auto"/>
        </w:rPr>
      </w:pPr>
      <w:r>
        <w:rPr>
          <w:rFonts w:ascii="Georgia" w:cs="Georgia" w:eastAsia="Georgia" w:hAnsi="Georgia"/>
          <w:sz w:val="17"/>
          <w:szCs w:val="17"/>
          <w:color w:val="auto"/>
        </w:rPr>
        <w:t>analyze and account for complex, non-routine transactions - including those subject to the Company’s critical accounting policies;</w:t>
      </w:r>
    </w:p>
    <w:p>
      <w:pPr>
        <w:spacing w:after="0" w:line="8" w:lineRule="exact"/>
        <w:rPr>
          <w:sz w:val="20"/>
          <w:szCs w:val="20"/>
          <w:color w:val="auto"/>
        </w:rPr>
      </w:pPr>
    </w:p>
    <w:p>
      <w:pPr>
        <w:spacing w:after="0"/>
        <w:rPr>
          <w:sz w:val="20"/>
          <w:szCs w:val="20"/>
          <w:color w:val="auto"/>
        </w:rPr>
      </w:pPr>
      <w:r>
        <w:rPr>
          <w:rFonts w:ascii="Georgia" w:cs="Georgia" w:eastAsia="Georgia" w:hAnsi="Georgia"/>
          <w:sz w:val="18"/>
          <w:szCs w:val="18"/>
          <w:color w:val="auto"/>
        </w:rPr>
        <w:t>and,</w:t>
      </w:r>
    </w:p>
    <w:p>
      <w:pPr>
        <w:spacing w:after="0" w:line="202" w:lineRule="exact"/>
        <w:rPr>
          <w:sz w:val="20"/>
          <w:szCs w:val="20"/>
          <w:color w:val="auto"/>
        </w:rPr>
      </w:pPr>
    </w:p>
    <w:p>
      <w:pPr>
        <w:ind w:right="60" w:firstLine="656"/>
        <w:spacing w:after="0" w:line="237" w:lineRule="auto"/>
        <w:tabs>
          <w:tab w:leader="none" w:pos="984" w:val="left"/>
        </w:tabs>
        <w:numPr>
          <w:ilvl w:val="0"/>
          <w:numId w:val="97"/>
        </w:numPr>
        <w:rPr>
          <w:rFonts w:ascii="Georgia" w:cs="Georgia" w:eastAsia="Georgia" w:hAnsi="Georgia"/>
          <w:sz w:val="18"/>
          <w:szCs w:val="18"/>
          <w:color w:val="auto"/>
        </w:rPr>
      </w:pPr>
      <w:r>
        <w:rPr>
          <w:rFonts w:ascii="Georgia" w:cs="Georgia" w:eastAsia="Georgia" w:hAnsi="Georgia"/>
          <w:sz w:val="18"/>
          <w:szCs w:val="18"/>
          <w:color w:val="auto"/>
        </w:rPr>
        <w:t>maintain adequate segregation of duties; and, the lack of documentation related to the Company’s internal control over financial reporting including its policy over related party relationships and transactions.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35" w:name="page136"/>
    <w:bookmarkEnd w:id="135"/>
    <w:p>
      <w:pPr>
        <w:ind w:left="660"/>
        <w:spacing w:after="0"/>
        <w:rPr>
          <w:sz w:val="20"/>
          <w:szCs w:val="20"/>
          <w:color w:val="auto"/>
        </w:rPr>
      </w:pPr>
      <w:r>
        <w:rPr>
          <w:rFonts w:ascii="Georgia" w:cs="Georgia" w:eastAsia="Georgia" w:hAnsi="Georgia"/>
          <w:sz w:val="18"/>
          <w:szCs w:val="18"/>
          <w:i w:val="1"/>
          <w:iCs w:val="1"/>
          <w:color w:val="auto"/>
        </w:rPr>
        <w:t>Remediation</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The Company is committed to ensuring a strong internal control environment and to ensuring that a proper, consistent tone is communicated throughout the organization. To that end, our management, with the oversight from our board of statutory auditors, is evaluating and will be executing a remediation plan, in order to fully remediate the underlying causes of the material weakness. The Company plans to take the following steps to address the internal control deficiencies that contributed to the material weaknesses, including, but not limited to, the following:</w:t>
      </w:r>
    </w:p>
    <w:p>
      <w:pPr>
        <w:spacing w:after="0" w:line="205" w:lineRule="exact"/>
        <w:rPr>
          <w:sz w:val="20"/>
          <w:szCs w:val="20"/>
          <w:color w:val="auto"/>
        </w:rPr>
      </w:pPr>
    </w:p>
    <w:p>
      <w:pPr>
        <w:ind w:right="680" w:firstLine="656"/>
        <w:spacing w:after="0" w:line="237" w:lineRule="auto"/>
        <w:tabs>
          <w:tab w:leader="none" w:pos="800" w:val="left"/>
        </w:tabs>
        <w:numPr>
          <w:ilvl w:val="0"/>
          <w:numId w:val="98"/>
        </w:numPr>
        <w:rPr>
          <w:rFonts w:ascii="Georgia" w:cs="Georgia" w:eastAsia="Georgia" w:hAnsi="Georgia"/>
          <w:sz w:val="18"/>
          <w:szCs w:val="18"/>
          <w:color w:val="auto"/>
        </w:rPr>
      </w:pPr>
      <w:r>
        <w:rPr>
          <w:rFonts w:ascii="Georgia" w:cs="Georgia" w:eastAsia="Georgia" w:hAnsi="Georgia"/>
          <w:sz w:val="18"/>
          <w:szCs w:val="18"/>
          <w:color w:val="auto"/>
        </w:rPr>
        <w:t>hiring of additional finance and accounting personnel with prior experience working for finance departments and technical accounting experience, supplemented by third-party resources;</w:t>
      </w:r>
    </w:p>
    <w:p>
      <w:pPr>
        <w:spacing w:after="0" w:line="202" w:lineRule="exact"/>
        <w:rPr>
          <w:rFonts w:ascii="Georgia" w:cs="Georgia" w:eastAsia="Georgia" w:hAnsi="Georgia"/>
          <w:sz w:val="18"/>
          <w:szCs w:val="18"/>
          <w:color w:val="auto"/>
        </w:rPr>
      </w:pPr>
    </w:p>
    <w:p>
      <w:pPr>
        <w:ind w:left="800" w:hanging="144"/>
        <w:spacing w:after="0"/>
        <w:tabs>
          <w:tab w:leader="none" w:pos="800" w:val="left"/>
        </w:tabs>
        <w:numPr>
          <w:ilvl w:val="0"/>
          <w:numId w:val="98"/>
        </w:numPr>
        <w:rPr>
          <w:rFonts w:ascii="Georgia" w:cs="Georgia" w:eastAsia="Georgia" w:hAnsi="Georgia"/>
          <w:sz w:val="18"/>
          <w:szCs w:val="18"/>
          <w:color w:val="auto"/>
        </w:rPr>
      </w:pPr>
      <w:r>
        <w:rPr>
          <w:rFonts w:ascii="Georgia" w:cs="Georgia" w:eastAsia="Georgia" w:hAnsi="Georgia"/>
          <w:sz w:val="18"/>
          <w:szCs w:val="18"/>
          <w:color w:val="auto"/>
        </w:rPr>
        <w:t>documenting and formally assessing our accounting and financial reporting policies and procedures; and</w:t>
      </w:r>
    </w:p>
    <w:p>
      <w:pPr>
        <w:spacing w:after="0" w:line="201" w:lineRule="exact"/>
        <w:rPr>
          <w:rFonts w:ascii="Georgia" w:cs="Georgia" w:eastAsia="Georgia" w:hAnsi="Georgia"/>
          <w:sz w:val="18"/>
          <w:szCs w:val="18"/>
          <w:color w:val="auto"/>
        </w:rPr>
      </w:pPr>
    </w:p>
    <w:p>
      <w:pPr>
        <w:ind w:right="280" w:firstLine="656"/>
        <w:spacing w:after="0" w:line="237" w:lineRule="auto"/>
        <w:tabs>
          <w:tab w:leader="none" w:pos="800" w:val="left"/>
        </w:tabs>
        <w:numPr>
          <w:ilvl w:val="0"/>
          <w:numId w:val="98"/>
        </w:numPr>
        <w:rPr>
          <w:rFonts w:ascii="Georgia" w:cs="Georgia" w:eastAsia="Georgia" w:hAnsi="Georgia"/>
          <w:sz w:val="18"/>
          <w:szCs w:val="18"/>
          <w:color w:val="auto"/>
        </w:rPr>
      </w:pPr>
      <w:r>
        <w:rPr>
          <w:rFonts w:ascii="Georgia" w:cs="Georgia" w:eastAsia="Georgia" w:hAnsi="Georgia"/>
          <w:sz w:val="18"/>
          <w:szCs w:val="18"/>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204" w:lineRule="exact"/>
        <w:rPr>
          <w:sz w:val="20"/>
          <w:szCs w:val="20"/>
          <w:color w:val="auto"/>
        </w:rPr>
      </w:pPr>
    </w:p>
    <w:p>
      <w:pPr>
        <w:ind w:right="60" w:firstLine="648"/>
        <w:spacing w:after="0" w:line="237" w:lineRule="auto"/>
        <w:rPr>
          <w:sz w:val="20"/>
          <w:szCs w:val="20"/>
          <w:color w:val="auto"/>
        </w:rPr>
      </w:pPr>
      <w:r>
        <w:rPr>
          <w:rFonts w:ascii="Georgia" w:cs="Georgia" w:eastAsia="Georgia" w:hAnsi="Georgia"/>
          <w:sz w:val="18"/>
          <w:szCs w:val="18"/>
          <w:color w:val="auto"/>
        </w:rPr>
        <w:t>While management believes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Although management cannot be certain that the measures taken to date, and that are continuing to be implemented, will be sufficient to remediate the material weaknesses in a timely manner, the Company’s management and board of statutory auditors is committed to remediate the material weaknesses as soon as practical.</w:t>
      </w:r>
    </w:p>
    <w:p>
      <w:pPr>
        <w:spacing w:after="0" w:line="205" w:lineRule="exact"/>
        <w:rPr>
          <w:sz w:val="20"/>
          <w:szCs w:val="20"/>
          <w:color w:val="auto"/>
        </w:rPr>
      </w:pPr>
    </w:p>
    <w:p>
      <w:pPr>
        <w:ind w:right="200" w:firstLine="648"/>
        <w:spacing w:after="0" w:line="237" w:lineRule="auto"/>
        <w:rPr>
          <w:sz w:val="20"/>
          <w:szCs w:val="20"/>
          <w:color w:val="auto"/>
        </w:rPr>
      </w:pPr>
      <w:r>
        <w:rPr>
          <w:rFonts w:ascii="Georgia" w:cs="Georgia" w:eastAsia="Georgia" w:hAnsi="Georgia"/>
          <w:sz w:val="18"/>
          <w:szCs w:val="18"/>
          <w:color w:val="auto"/>
        </w:rPr>
        <w:t>During the year ended December 31, 2021, the Company successfully completed the following remedial actions intended to address some of the underlying causes that gave rise to the Company’s material weaknesses:</w:t>
      </w:r>
    </w:p>
    <w:p>
      <w:pPr>
        <w:spacing w:after="0" w:line="204" w:lineRule="exact"/>
        <w:rPr>
          <w:sz w:val="20"/>
          <w:szCs w:val="20"/>
          <w:color w:val="auto"/>
        </w:rPr>
      </w:pPr>
    </w:p>
    <w:p>
      <w:pPr>
        <w:ind w:right="400" w:firstLine="656"/>
        <w:spacing w:after="0" w:line="237" w:lineRule="auto"/>
        <w:tabs>
          <w:tab w:leader="none" w:pos="800" w:val="left"/>
        </w:tabs>
        <w:numPr>
          <w:ilvl w:val="0"/>
          <w:numId w:val="99"/>
        </w:numPr>
        <w:rPr>
          <w:rFonts w:ascii="Georgia" w:cs="Georgia" w:eastAsia="Georgia" w:hAnsi="Georgia"/>
          <w:sz w:val="18"/>
          <w:szCs w:val="18"/>
          <w:color w:val="auto"/>
        </w:rPr>
      </w:pPr>
      <w:r>
        <w:rPr>
          <w:rFonts w:ascii="Georgia" w:cs="Georgia" w:eastAsia="Georgia" w:hAnsi="Georgia"/>
          <w:sz w:val="18"/>
          <w:szCs w:val="18"/>
          <w:color w:val="auto"/>
        </w:rPr>
        <w:t>Governance processes for its board committees, particularly the board of statutory auditors, which acts as the Company’s audit committee of the board of directors;</w:t>
      </w:r>
    </w:p>
    <w:p>
      <w:pPr>
        <w:spacing w:after="0" w:line="202" w:lineRule="exact"/>
        <w:rPr>
          <w:rFonts w:ascii="Georgia" w:cs="Georgia" w:eastAsia="Georgia" w:hAnsi="Georgia"/>
          <w:sz w:val="18"/>
          <w:szCs w:val="18"/>
          <w:color w:val="auto"/>
        </w:rPr>
      </w:pPr>
    </w:p>
    <w:p>
      <w:pPr>
        <w:ind w:left="800" w:hanging="144"/>
        <w:spacing w:after="0"/>
        <w:tabs>
          <w:tab w:leader="none" w:pos="800" w:val="left"/>
        </w:tabs>
        <w:numPr>
          <w:ilvl w:val="0"/>
          <w:numId w:val="99"/>
        </w:numPr>
        <w:rPr>
          <w:rFonts w:ascii="Georgia" w:cs="Georgia" w:eastAsia="Georgia" w:hAnsi="Georgia"/>
          <w:sz w:val="18"/>
          <w:szCs w:val="18"/>
          <w:color w:val="auto"/>
        </w:rPr>
      </w:pPr>
      <w:r>
        <w:rPr>
          <w:rFonts w:ascii="Georgia" w:cs="Georgia" w:eastAsia="Georgia" w:hAnsi="Georgia"/>
          <w:sz w:val="18"/>
          <w:szCs w:val="18"/>
          <w:color w:val="auto"/>
        </w:rPr>
        <w:t>Implementation of additional review procedures on the Company’s financial conversion from Italian GAAP to US GAAP;</w:t>
      </w:r>
    </w:p>
    <w:p>
      <w:pPr>
        <w:spacing w:after="0" w:line="200" w:lineRule="exact"/>
        <w:rPr>
          <w:rFonts w:ascii="Georgia" w:cs="Georgia" w:eastAsia="Georgia" w:hAnsi="Georgia"/>
          <w:sz w:val="18"/>
          <w:szCs w:val="18"/>
          <w:color w:val="auto"/>
        </w:rPr>
      </w:pPr>
    </w:p>
    <w:p>
      <w:pPr>
        <w:ind w:left="800" w:hanging="144"/>
        <w:spacing w:after="0"/>
        <w:tabs>
          <w:tab w:leader="none" w:pos="800" w:val="left"/>
        </w:tabs>
        <w:numPr>
          <w:ilvl w:val="0"/>
          <w:numId w:val="99"/>
        </w:numPr>
        <w:rPr>
          <w:rFonts w:ascii="Georgia" w:cs="Georgia" w:eastAsia="Georgia" w:hAnsi="Georgia"/>
          <w:sz w:val="18"/>
          <w:szCs w:val="18"/>
          <w:color w:val="auto"/>
        </w:rPr>
      </w:pPr>
      <w:r>
        <w:rPr>
          <w:rFonts w:ascii="Georgia" w:cs="Georgia" w:eastAsia="Georgia" w:hAnsi="Georgia"/>
          <w:sz w:val="18"/>
          <w:szCs w:val="18"/>
          <w:color w:val="auto"/>
        </w:rPr>
        <w:t>Additional internal controls have been designed and implemented in terms of the Company’s procure-to-pay process; and,</w:t>
      </w:r>
    </w:p>
    <w:p>
      <w:pPr>
        <w:spacing w:after="0" w:line="200" w:lineRule="exact"/>
        <w:rPr>
          <w:rFonts w:ascii="Georgia" w:cs="Georgia" w:eastAsia="Georgia" w:hAnsi="Georgia"/>
          <w:sz w:val="18"/>
          <w:szCs w:val="18"/>
          <w:color w:val="auto"/>
        </w:rPr>
      </w:pPr>
    </w:p>
    <w:p>
      <w:pPr>
        <w:ind w:left="800" w:hanging="144"/>
        <w:spacing w:after="0"/>
        <w:tabs>
          <w:tab w:leader="none" w:pos="800" w:val="left"/>
        </w:tabs>
        <w:numPr>
          <w:ilvl w:val="0"/>
          <w:numId w:val="99"/>
        </w:numPr>
        <w:rPr>
          <w:rFonts w:ascii="Georgia" w:cs="Georgia" w:eastAsia="Georgia" w:hAnsi="Georgia"/>
          <w:sz w:val="18"/>
          <w:szCs w:val="18"/>
          <w:color w:val="auto"/>
        </w:rPr>
      </w:pPr>
      <w:r>
        <w:rPr>
          <w:rFonts w:ascii="Georgia" w:cs="Georgia" w:eastAsia="Georgia" w:hAnsi="Georgia"/>
          <w:sz w:val="18"/>
          <w:szCs w:val="18"/>
          <w:color w:val="auto"/>
        </w:rPr>
        <w:t>Additional review controls over material agreements and contracts, specifically (but not exclusively) related to cut-off periods.</w:t>
      </w:r>
    </w:p>
    <w:p>
      <w:pPr>
        <w:spacing w:after="0" w:line="202"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Based on the foregoing, management believes its actions will be effective in remediating the Company’s material weaknesses, and management is devoting significant time and attention to these efforts. As management continues to evaluate and work to improve the Company’s internal controls over financial reporting, management may take additional measures to address these control deficiencies or may modify certain of the remediation measures described above. The material weaknesses will not be considered remediated until the Company has completed designing and implementing the longer-term remediation efforts, the applicable remedial controls operate for a sufficient period of time and management has concluded, through testing, that these controls are operating effectively.</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Attestation Report of Independent Registered Public Accounting Firm</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required.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Changes in Internal Controls over Financial Reporting</w:t>
      </w:r>
    </w:p>
    <w:p>
      <w:pPr>
        <w:spacing w:after="0" w:line="202" w:lineRule="exact"/>
        <w:rPr>
          <w:sz w:val="20"/>
          <w:szCs w:val="20"/>
          <w:color w:val="auto"/>
        </w:rPr>
      </w:pPr>
    </w:p>
    <w:p>
      <w:pPr>
        <w:jc w:val="both"/>
        <w:ind w:right="20" w:firstLine="648"/>
        <w:spacing w:after="0" w:line="237" w:lineRule="auto"/>
        <w:rPr>
          <w:sz w:val="20"/>
          <w:szCs w:val="20"/>
          <w:color w:val="auto"/>
        </w:rPr>
      </w:pPr>
      <w:r>
        <w:rPr>
          <w:rFonts w:ascii="Georgia" w:cs="Georgia" w:eastAsia="Georgia" w:hAnsi="Georgia"/>
          <w:sz w:val="18"/>
          <w:szCs w:val="18"/>
          <w:color w:val="auto"/>
        </w:rPr>
        <w:t>There were no changes in our internal control over financial reporting (as defined in Rule 13a-15(f) of the Exchange Act, as amended) that occurred during the year ended December 31, 2021 that have materially affected, or are reasonably likely to materially affect, our internal controls over financial reporting.</w:t>
      </w:r>
    </w:p>
    <w:p>
      <w:pPr>
        <w:spacing w:after="0" w:line="204"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It should be noted that while our management believes that our disclosure controls and procedures provide a reasonable level of assurance, our management does not expect that our disclosure controls and procedures or internal financial controls will prevent all errors or fraud. A control system, no matter how well conceived or operated, can provide only reasonable, not absolute, assurance that the objectives of the control system are met.</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16. [RESERVED]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16A. AUDIT COMMITTEE FINANCIAL EXPERT.</w:t>
      </w:r>
    </w:p>
    <w:p>
      <w:pPr>
        <w:spacing w:after="0" w:line="202" w:lineRule="exact"/>
        <w:rPr>
          <w:sz w:val="20"/>
          <w:szCs w:val="20"/>
          <w:color w:val="auto"/>
        </w:rPr>
      </w:pPr>
    </w:p>
    <w:p>
      <w:pPr>
        <w:ind w:right="40" w:firstLine="648"/>
        <w:spacing w:after="0" w:line="237" w:lineRule="auto"/>
        <w:rPr>
          <w:sz w:val="20"/>
          <w:szCs w:val="20"/>
          <w:color w:val="auto"/>
        </w:rPr>
      </w:pPr>
      <w:r>
        <w:rPr>
          <w:rFonts w:ascii="Georgia" w:cs="Georgia" w:eastAsia="Georgia" w:hAnsi="Georgia"/>
          <w:sz w:val="18"/>
          <w:szCs w:val="18"/>
          <w:color w:val="auto"/>
        </w:rPr>
        <w:t>Our Board of Directors has determined that, because of the existence and nature of its board of statutory auditors, it qualifies for an exemption provided by Rule 10A-3(c)(3) of the Exchange Act from many of the Rule 10A-3 audit committee requirements. The board of statutory auditors has determined that each of its members is an “audit committee financial expert” as defined in Item 16A of Form 20-F. For the names of the members of the board of statutory auditors, see “Item 6. Directors, Senior Management and Employees—Statutory Auditors”.</w:t>
      </w:r>
    </w:p>
    <w:p>
      <w:pPr>
        <w:spacing w:after="0" w:line="205" w:lineRule="exact"/>
        <w:rPr>
          <w:sz w:val="20"/>
          <w:szCs w:val="20"/>
          <w:color w:val="auto"/>
        </w:rPr>
      </w:pPr>
    </w:p>
    <w:p>
      <w:pPr>
        <w:ind w:right="260" w:firstLine="648"/>
        <w:spacing w:after="0" w:line="237" w:lineRule="auto"/>
        <w:rPr>
          <w:sz w:val="20"/>
          <w:szCs w:val="20"/>
          <w:color w:val="auto"/>
        </w:rPr>
      </w:pPr>
      <w:r>
        <w:rPr>
          <w:rFonts w:ascii="Georgia" w:cs="Georgia" w:eastAsia="Georgia" w:hAnsi="Georgia"/>
          <w:sz w:val="18"/>
          <w:szCs w:val="18"/>
          <w:color w:val="auto"/>
        </w:rPr>
        <w:t>Each of the audit committee financial experts is independent under the Nasdaq Independence Standards that would apply to audit committee members in the absence of our reliance on the exemption in Rule 10A-3(c)(3).</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spacing w:after="0"/>
        <w:rPr>
          <w:sz w:val="20"/>
          <w:szCs w:val="20"/>
          <w:color w:val="auto"/>
        </w:rPr>
      </w:pPr>
      <w:r>
        <w:rPr>
          <w:rFonts w:ascii="Georgia" w:cs="Georgia" w:eastAsia="Georgia" w:hAnsi="Georgia"/>
          <w:sz w:val="18"/>
          <w:szCs w:val="18"/>
          <w:b w:val="1"/>
          <w:bCs w:val="1"/>
          <w:color w:val="auto"/>
        </w:rPr>
        <w:t>ITEM 16B. CODE OF ETHICS.</w:t>
      </w:r>
    </w:p>
    <w:p>
      <w:pPr>
        <w:spacing w:after="0" w:line="202" w:lineRule="exact"/>
        <w:rPr>
          <w:sz w:val="20"/>
          <w:szCs w:val="20"/>
          <w:color w:val="auto"/>
        </w:rPr>
      </w:pPr>
    </w:p>
    <w:p>
      <w:pPr>
        <w:jc w:val="both"/>
        <w:ind w:firstLine="648"/>
        <w:spacing w:after="0" w:line="237" w:lineRule="auto"/>
        <w:rPr>
          <w:sz w:val="20"/>
          <w:szCs w:val="20"/>
          <w:color w:val="auto"/>
        </w:rPr>
      </w:pPr>
      <w:r>
        <w:rPr>
          <w:rFonts w:ascii="Georgia" w:cs="Georgia" w:eastAsia="Georgia" w:hAnsi="Georgia"/>
          <w:sz w:val="18"/>
          <w:szCs w:val="18"/>
          <w:color w:val="auto"/>
        </w:rPr>
        <w:t>The Company has adopted a Code of Conduct that applies to its Chief Executive Officer and all of its directors, officers and employees, or persons performing similar functions. A copy of our Code of Conduct is available at its website. Any future changes to the Code of Conduct will be posted on the Company’s website or filed as an exhibit to a report filed with the SEC within five business days of the change being effective.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16C. PRINCIPAL ACCOUNTANT FEES AND SERVICES.</w:t>
      </w:r>
    </w:p>
    <w:p>
      <w:pPr>
        <w:spacing w:after="0" w:line="202" w:lineRule="exact"/>
        <w:rPr>
          <w:sz w:val="20"/>
          <w:szCs w:val="20"/>
          <w:color w:val="auto"/>
        </w:rPr>
      </w:pPr>
    </w:p>
    <w:p>
      <w:pPr>
        <w:ind w:right="320" w:firstLine="648"/>
        <w:spacing w:after="0" w:line="237" w:lineRule="auto"/>
        <w:rPr>
          <w:sz w:val="20"/>
          <w:szCs w:val="20"/>
          <w:color w:val="auto"/>
        </w:rPr>
      </w:pPr>
      <w:r>
        <w:rPr>
          <w:rFonts w:ascii="Georgia" w:cs="Georgia" w:eastAsia="Georgia" w:hAnsi="Georgia"/>
          <w:sz w:val="18"/>
          <w:szCs w:val="18"/>
          <w:color w:val="auto"/>
        </w:rPr>
        <w:t>The following table represents aggregate fees billed to the Company for fiscal years ended December 31, 2021 and 2020 by Mayer, Hoffman McCann P.C., the Company’s principal accounting firm.</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Borders>
              <w:bottom w:val="single" w:sz="8" w:color="auto"/>
            </w:tcBorders>
          </w:tcPr>
          <w:p>
            <w:pPr>
              <w:spacing w:after="0"/>
              <w:rPr>
                <w:sz w:val="20"/>
                <w:szCs w:val="20"/>
                <w:color w:val="auto"/>
              </w:rPr>
            </w:pPr>
            <w:r>
              <w:rPr>
                <w:rFonts w:ascii="Georgia" w:cs="Georgia" w:eastAsia="Georgia" w:hAnsi="Georgia"/>
                <w:sz w:val="18"/>
                <w:szCs w:val="18"/>
                <w:b w:val="1"/>
                <w:bCs w:val="1"/>
                <w:color w:val="auto"/>
              </w:rPr>
              <w:t>Accountant Fees and Services (in Euros)</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0"/>
              <w:spacing w:after="0"/>
              <w:rPr>
                <w:sz w:val="20"/>
                <w:szCs w:val="20"/>
                <w:color w:val="auto"/>
              </w:rPr>
            </w:pPr>
            <w:r>
              <w:rPr>
                <w:rFonts w:ascii="Georgia" w:cs="Georgia" w:eastAsia="Georgia" w:hAnsi="Georgia"/>
                <w:sz w:val="18"/>
                <w:szCs w:val="18"/>
                <w:b w:val="1"/>
                <w:bCs w:val="1"/>
                <w:color w:val="auto"/>
              </w:rPr>
              <w:t>2021</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Georgia" w:cs="Georgia" w:eastAsia="Georgia" w:hAnsi="Georgia"/>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5"/>
        </w:trPr>
        <w:tc>
          <w:tcPr>
            <w:tcW w:w="74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Audit Fees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Georgia" w:cs="Georgia" w:eastAsia="Georgia" w:hAnsi="Georgia"/>
                <w:sz w:val="18"/>
                <w:szCs w:val="18"/>
                <w:color w:val="auto"/>
              </w:rPr>
              <w:t>384,265</w:t>
            </w:r>
          </w:p>
        </w:tc>
        <w:tc>
          <w:tcPr>
            <w:tcW w:w="32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2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109,972</w:t>
            </w:r>
          </w:p>
        </w:tc>
        <w:tc>
          <w:tcPr>
            <w:tcW w:w="100" w:type="dxa"/>
            <w:vAlign w:val="bottom"/>
            <w:shd w:val="clear" w:color="auto" w:fill="CCEEFF"/>
          </w:tcPr>
          <w:p>
            <w:pPr>
              <w:spacing w:after="0"/>
              <w:rPr>
                <w:sz w:val="18"/>
                <w:szCs w:val="18"/>
                <w:color w:val="auto"/>
              </w:rPr>
            </w:pPr>
          </w:p>
        </w:tc>
      </w:tr>
      <w:tr>
        <w:trPr>
          <w:trHeight w:val="28"/>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Georgia" w:cs="Georgia" w:eastAsia="Georgia" w:hAnsi="Georgia"/>
                <w:sz w:val="18"/>
                <w:szCs w:val="18"/>
                <w:color w:val="auto"/>
              </w:rPr>
              <w:t>€</w:t>
            </w:r>
          </w:p>
        </w:tc>
        <w:tc>
          <w:tcPr>
            <w:tcW w:w="156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384,265</w:t>
            </w:r>
          </w:p>
        </w:tc>
        <w:tc>
          <w:tcPr>
            <w:tcW w:w="320" w:type="dxa"/>
            <w:vAlign w:val="bottom"/>
          </w:tcPr>
          <w:p>
            <w:pPr>
              <w:spacing w:after="0"/>
              <w:rPr>
                <w:sz w:val="20"/>
                <w:szCs w:val="20"/>
                <w:color w:val="auto"/>
              </w:rPr>
            </w:pPr>
            <w:r>
              <w:rPr>
                <w:rFonts w:ascii="Georgia" w:cs="Georgia" w:eastAsia="Georgia" w:hAnsi="Georgia"/>
                <w:sz w:val="18"/>
                <w:szCs w:val="18"/>
                <w:color w:val="auto"/>
              </w:rPr>
              <w:t>€</w:t>
            </w:r>
          </w:p>
        </w:tc>
        <w:tc>
          <w:tcPr>
            <w:tcW w:w="1260" w:type="dxa"/>
            <w:vAlign w:val="bottom"/>
          </w:tcPr>
          <w:p>
            <w:pPr>
              <w:jc w:val="right"/>
              <w:spacing w:after="0"/>
              <w:rPr>
                <w:sz w:val="20"/>
                <w:szCs w:val="20"/>
                <w:color w:val="auto"/>
              </w:rPr>
            </w:pPr>
            <w:r>
              <w:rPr>
                <w:rFonts w:ascii="Georgia" w:cs="Georgia" w:eastAsia="Georgia" w:hAnsi="Georgia"/>
                <w:sz w:val="18"/>
                <w:szCs w:val="18"/>
                <w:color w:val="auto"/>
              </w:rPr>
              <w:t>109,972</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Audit Fees</w:t>
      </w:r>
    </w:p>
    <w:p>
      <w:pPr>
        <w:spacing w:after="0" w:line="202" w:lineRule="exact"/>
        <w:rPr>
          <w:sz w:val="20"/>
          <w:szCs w:val="20"/>
          <w:color w:val="auto"/>
        </w:rPr>
      </w:pPr>
    </w:p>
    <w:p>
      <w:pPr>
        <w:jc w:val="both"/>
        <w:ind w:firstLine="648"/>
        <w:spacing w:after="0" w:line="237" w:lineRule="auto"/>
        <w:rPr>
          <w:sz w:val="20"/>
          <w:szCs w:val="20"/>
          <w:color w:val="auto"/>
        </w:rPr>
      </w:pPr>
      <w:r>
        <w:rPr>
          <w:rFonts w:ascii="Georgia" w:cs="Georgia" w:eastAsia="Georgia" w:hAnsi="Georgia"/>
          <w:sz w:val="18"/>
          <w:szCs w:val="18"/>
          <w:color w:val="auto"/>
        </w:rPr>
        <w:t>The audit fees for the years ended December 31, 2021, 2020, and 2019, respectively, were paid for professional services rendered for the audits of our consolidated financial statements, half year reviews, consents, and assistance with review of documents filed with the SEC. Substantially all MHM’s personnel, who work under the control of MHM shareholders, are employees of wholly owned subsidiaries of CBIZ, Inc., which provides personnel and various services to MHM in an alternative practice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Fees</w:t>
      </w:r>
    </w:p>
    <w:p>
      <w:pPr>
        <w:spacing w:after="0" w:line="229"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37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Pre-Approval Policies and Procedures</w:t>
      </w:r>
    </w:p>
    <w:p>
      <w:pPr>
        <w:spacing w:after="0" w:line="188" w:lineRule="exact"/>
        <w:rPr>
          <w:sz w:val="20"/>
          <w:szCs w:val="20"/>
          <w:color w:val="auto"/>
        </w:rPr>
      </w:pPr>
    </w:p>
    <w:p>
      <w:pPr>
        <w:jc w:val="both"/>
        <w:ind w:firstLine="648"/>
        <w:spacing w:after="0" w:line="237" w:lineRule="auto"/>
        <w:rPr>
          <w:sz w:val="20"/>
          <w:szCs w:val="20"/>
          <w:color w:val="auto"/>
        </w:rPr>
      </w:pPr>
      <w:r>
        <w:rPr>
          <w:rFonts w:ascii="Georgia" w:cs="Georgia" w:eastAsia="Georgia" w:hAnsi="Georgia"/>
          <w:sz w:val="18"/>
          <w:szCs w:val="18"/>
          <w:color w:val="auto"/>
        </w:rPr>
        <w:t>Prior to engaging Mayer Hoffman McCann P.C. to perform audit services, our Board obtains an estimate for the service to be performed. All of the services described above were approved by the members of the Board of Statutory Auditors in accordance with its procedures.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16D. EXEMPTIONS FROM THE LISTING STANDARDS FOR AUDIT COMMITTEES.</w:t>
      </w:r>
    </w:p>
    <w:p>
      <w:pPr>
        <w:spacing w:after="0" w:line="202" w:lineRule="exact"/>
        <w:rPr>
          <w:sz w:val="20"/>
          <w:szCs w:val="20"/>
          <w:color w:val="auto"/>
        </w:rPr>
      </w:pPr>
    </w:p>
    <w:p>
      <w:pPr>
        <w:jc w:val="both"/>
        <w:ind w:firstLine="648"/>
        <w:spacing w:after="0" w:line="237" w:lineRule="auto"/>
        <w:rPr>
          <w:sz w:val="20"/>
          <w:szCs w:val="20"/>
          <w:color w:val="auto"/>
        </w:rPr>
      </w:pPr>
      <w:r>
        <w:rPr>
          <w:rFonts w:ascii="Georgia" w:cs="Georgia" w:eastAsia="Georgia" w:hAnsi="Georgia"/>
          <w:sz w:val="18"/>
          <w:szCs w:val="18"/>
          <w:color w:val="auto"/>
        </w:rPr>
        <w:t>Genenta is relying on the exemption from listing standards for audit committees provided by Exchange Act Rule 10A-3(c)(3). The basis for this reliance is that Genenta’s board of statutory auditors meets the following requirements set forth in Exchange Act Rule 10A-3(c)</w:t>
      </w:r>
    </w:p>
    <w:p>
      <w:pPr>
        <w:spacing w:after="0"/>
        <w:rPr>
          <w:sz w:val="20"/>
          <w:szCs w:val="20"/>
          <w:color w:val="auto"/>
        </w:rPr>
      </w:pPr>
      <w:r>
        <w:rPr>
          <w:rFonts w:ascii="Georgia" w:cs="Georgia" w:eastAsia="Georgia" w:hAnsi="Georgia"/>
          <w:sz w:val="18"/>
          <w:szCs w:val="18"/>
          <w:color w:val="auto"/>
        </w:rPr>
        <w:t>(3):</w:t>
      </w:r>
    </w:p>
    <w:p>
      <w:pPr>
        <w:spacing w:after="0" w:line="200" w:lineRule="exact"/>
        <w:rPr>
          <w:sz w:val="20"/>
          <w:szCs w:val="20"/>
          <w:color w:val="auto"/>
        </w:rPr>
      </w:pPr>
    </w:p>
    <w:p>
      <w:pPr>
        <w:ind w:left="980" w:hanging="324"/>
        <w:spacing w:after="0"/>
        <w:tabs>
          <w:tab w:leader="none" w:pos="980" w:val="left"/>
        </w:tabs>
        <w:numPr>
          <w:ilvl w:val="0"/>
          <w:numId w:val="100"/>
        </w:numPr>
        <w:rPr>
          <w:rFonts w:ascii="Georgia" w:cs="Georgia" w:eastAsia="Georgia" w:hAnsi="Georgia"/>
          <w:sz w:val="18"/>
          <w:szCs w:val="18"/>
          <w:color w:val="auto"/>
        </w:rPr>
      </w:pPr>
      <w:r>
        <w:rPr>
          <w:rFonts w:ascii="Georgia" w:cs="Georgia" w:eastAsia="Georgia" w:hAnsi="Georgia"/>
          <w:sz w:val="18"/>
          <w:szCs w:val="18"/>
          <w:color w:val="auto"/>
        </w:rPr>
        <w:t>the board of statutory auditors is established and selected pursuant to Italian law expressly permitting such a board;</w:t>
      </w:r>
    </w:p>
    <w:p>
      <w:pPr>
        <w:spacing w:after="0" w:line="200" w:lineRule="exact"/>
        <w:rPr>
          <w:rFonts w:ascii="Georgia" w:cs="Georgia" w:eastAsia="Georgia" w:hAnsi="Georgia"/>
          <w:sz w:val="18"/>
          <w:szCs w:val="18"/>
          <w:color w:val="auto"/>
        </w:rPr>
      </w:pPr>
    </w:p>
    <w:p>
      <w:pPr>
        <w:ind w:left="980" w:hanging="324"/>
        <w:spacing w:after="0"/>
        <w:tabs>
          <w:tab w:leader="none" w:pos="980" w:val="left"/>
        </w:tabs>
        <w:numPr>
          <w:ilvl w:val="0"/>
          <w:numId w:val="100"/>
        </w:numPr>
        <w:rPr>
          <w:rFonts w:ascii="Georgia" w:cs="Georgia" w:eastAsia="Georgia" w:hAnsi="Georgia"/>
          <w:sz w:val="18"/>
          <w:szCs w:val="18"/>
          <w:color w:val="auto"/>
        </w:rPr>
      </w:pPr>
      <w:r>
        <w:rPr>
          <w:rFonts w:ascii="Georgia" w:cs="Georgia" w:eastAsia="Georgia" w:hAnsi="Georgia"/>
          <w:sz w:val="18"/>
          <w:szCs w:val="18"/>
          <w:color w:val="auto"/>
        </w:rPr>
        <w:t>the board of statutory auditors is required under Italian law to be separate from Genenta’s board of directors;</w:t>
      </w:r>
    </w:p>
    <w:p>
      <w:pPr>
        <w:spacing w:after="0" w:line="201" w:lineRule="exact"/>
        <w:rPr>
          <w:rFonts w:ascii="Georgia" w:cs="Georgia" w:eastAsia="Georgia" w:hAnsi="Georgia"/>
          <w:sz w:val="18"/>
          <w:szCs w:val="18"/>
          <w:color w:val="auto"/>
        </w:rPr>
      </w:pPr>
    </w:p>
    <w:p>
      <w:pPr>
        <w:ind w:left="980" w:right="160" w:hanging="324"/>
        <w:spacing w:after="0" w:line="237" w:lineRule="auto"/>
        <w:tabs>
          <w:tab w:leader="none" w:pos="980" w:val="left"/>
        </w:tabs>
        <w:numPr>
          <w:ilvl w:val="0"/>
          <w:numId w:val="100"/>
        </w:numPr>
        <w:rPr>
          <w:rFonts w:ascii="Georgia" w:cs="Georgia" w:eastAsia="Georgia" w:hAnsi="Georgia"/>
          <w:sz w:val="18"/>
          <w:szCs w:val="18"/>
          <w:color w:val="auto"/>
        </w:rPr>
      </w:pPr>
      <w:r>
        <w:rPr>
          <w:rFonts w:ascii="Georgia" w:cs="Georgia" w:eastAsia="Georgia" w:hAnsi="Georgia"/>
          <w:sz w:val="18"/>
          <w:szCs w:val="18"/>
          <w:color w:val="auto"/>
        </w:rPr>
        <w:t>the board of statutory auditors is not elected by management of Genenta and no executive officer of Genenta is a member of the board of statutory auditors;</w:t>
      </w:r>
    </w:p>
    <w:p>
      <w:pPr>
        <w:spacing w:after="0" w:line="202" w:lineRule="exact"/>
        <w:rPr>
          <w:rFonts w:ascii="Georgia" w:cs="Georgia" w:eastAsia="Georgia" w:hAnsi="Georgia"/>
          <w:sz w:val="18"/>
          <w:szCs w:val="18"/>
          <w:color w:val="auto"/>
        </w:rPr>
      </w:pPr>
    </w:p>
    <w:p>
      <w:pPr>
        <w:ind w:left="980" w:hanging="324"/>
        <w:spacing w:after="0"/>
        <w:tabs>
          <w:tab w:leader="none" w:pos="980" w:val="left"/>
        </w:tabs>
        <w:numPr>
          <w:ilvl w:val="0"/>
          <w:numId w:val="100"/>
        </w:numPr>
        <w:rPr>
          <w:rFonts w:ascii="Georgia" w:cs="Georgia" w:eastAsia="Georgia" w:hAnsi="Georgia"/>
          <w:sz w:val="18"/>
          <w:szCs w:val="18"/>
          <w:color w:val="auto"/>
        </w:rPr>
      </w:pPr>
      <w:r>
        <w:rPr>
          <w:rFonts w:ascii="Georgia" w:cs="Georgia" w:eastAsia="Georgia" w:hAnsi="Georgia"/>
          <w:sz w:val="18"/>
          <w:szCs w:val="18"/>
          <w:color w:val="auto"/>
        </w:rPr>
        <w:t>Italian law provides for standards for the independence of the board of statutory auditors from Genenta and its management;</w:t>
      </w:r>
    </w:p>
    <w:p>
      <w:pPr>
        <w:spacing w:after="0" w:line="201" w:lineRule="exact"/>
        <w:rPr>
          <w:rFonts w:ascii="Georgia" w:cs="Georgia" w:eastAsia="Georgia" w:hAnsi="Georgia"/>
          <w:sz w:val="18"/>
          <w:szCs w:val="18"/>
          <w:color w:val="auto"/>
        </w:rPr>
      </w:pPr>
    </w:p>
    <w:p>
      <w:pPr>
        <w:ind w:left="980" w:right="20" w:hanging="324"/>
        <w:spacing w:after="0" w:line="237" w:lineRule="auto"/>
        <w:tabs>
          <w:tab w:leader="none" w:pos="980" w:val="left"/>
        </w:tabs>
        <w:numPr>
          <w:ilvl w:val="0"/>
          <w:numId w:val="100"/>
        </w:numPr>
        <w:rPr>
          <w:rFonts w:ascii="Georgia" w:cs="Georgia" w:eastAsia="Georgia" w:hAnsi="Georgia"/>
          <w:sz w:val="18"/>
          <w:szCs w:val="18"/>
          <w:color w:val="auto"/>
        </w:rPr>
      </w:pPr>
      <w:r>
        <w:rPr>
          <w:rFonts w:ascii="Georgia" w:cs="Georgia" w:eastAsia="Georgia" w:hAnsi="Georgia"/>
          <w:sz w:val="18"/>
          <w:szCs w:val="18"/>
          <w:color w:val="auto"/>
        </w:rPr>
        <w:t>the board of statutory auditors, in accordance with applicable Italian law and Genenta’s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Genenta, and</w:t>
      </w:r>
    </w:p>
    <w:p>
      <w:pPr>
        <w:spacing w:after="0" w:line="205" w:lineRule="exact"/>
        <w:rPr>
          <w:rFonts w:ascii="Georgia" w:cs="Georgia" w:eastAsia="Georgia" w:hAnsi="Georgia"/>
          <w:sz w:val="18"/>
          <w:szCs w:val="18"/>
          <w:color w:val="auto"/>
        </w:rPr>
      </w:pPr>
    </w:p>
    <w:p>
      <w:pPr>
        <w:ind w:left="980" w:right="300" w:hanging="324"/>
        <w:spacing w:after="0" w:line="237" w:lineRule="auto"/>
        <w:tabs>
          <w:tab w:leader="none" w:pos="980" w:val="left"/>
        </w:tabs>
        <w:numPr>
          <w:ilvl w:val="0"/>
          <w:numId w:val="100"/>
        </w:numPr>
        <w:rPr>
          <w:rFonts w:ascii="Georgia" w:cs="Georgia" w:eastAsia="Georgia" w:hAnsi="Georgia"/>
          <w:sz w:val="18"/>
          <w:szCs w:val="18"/>
          <w:color w:val="auto"/>
        </w:rPr>
      </w:pPr>
      <w:r>
        <w:rPr>
          <w:rFonts w:ascii="Georgia" w:cs="Georgia" w:eastAsia="Georgia" w:hAnsi="Georgia"/>
          <w:sz w:val="18"/>
          <w:szCs w:val="18"/>
          <w:color w:val="auto"/>
        </w:rPr>
        <w:t>to the extent permitted by Italian law, the audit committee requirements of paragraphs (b)(3), (b)(4) and (b)(5) of Rule 10A-3 apply to the board of statutory auditors.</w:t>
      </w:r>
    </w:p>
    <w:p>
      <w:pPr>
        <w:spacing w:after="0" w:line="204"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The Company’s reliance on Rule 10A-3(c)(3) does not, in its opinion, materially adversely affect the ability of its board of statutory auditors to act independently and to satisfy the other requirements of Rule 10A-3.</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16E. PURCHASES OF EQUITY SECURITIES BY THE ISSUER AND AFFILIATED PURCHASERS.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16F. CHANGE IN REGISTRANT’S CERTIFYING ACCOUNTANT.</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34" w:gutter="0" w:footer="0" w:header="0"/>
        </w:sectPr>
      </w:pPr>
    </w:p>
    <w:bookmarkStart w:id="137" w:name="page138"/>
    <w:bookmarkEnd w:id="137"/>
    <w:p>
      <w:pPr>
        <w:spacing w:after="0"/>
        <w:rPr>
          <w:sz w:val="20"/>
          <w:szCs w:val="20"/>
          <w:color w:val="auto"/>
        </w:rPr>
      </w:pPr>
      <w:r>
        <w:rPr>
          <w:rFonts w:ascii="Georgia" w:cs="Georgia" w:eastAsia="Georgia" w:hAnsi="Georgia"/>
          <w:sz w:val="18"/>
          <w:szCs w:val="18"/>
          <w:b w:val="1"/>
          <w:bCs w:val="1"/>
          <w:color w:val="auto"/>
        </w:rPr>
        <w:t>ITEM 16G. CORPORATE GOVERNANCE.</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See Item 6. Directors, Senior Management and Employees – C. Board Practices – Differences between Italian Laws and Nasdaq Requirements.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16H. MINE SAFETY DISCLOSURE.</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16I. DISCLOSURE REGARDING FOREIGN JURISDICTIONS THAT PREVENT INSPECTIONS.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Not applicable.</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PART III</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17. CONSOLIDATED FINANCIAL STATEMENTS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Our audited Consolidated Financial Statements are included as the “F” pages attached to this report.</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All consolidated financial statements in this Annual Report, unless otherwise stated, are presented in accordance with US GAAP.</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18. CONSOLIDATED FINANCIAL STATEMENTS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Company has elected to provide consolidated financial statements pursuant to ITEM 17.</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19.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20" w:type="dxa"/>
            <w:vAlign w:val="bottom"/>
            <w:gridSpan w:val="2"/>
          </w:tcPr>
          <w:p>
            <w:pPr>
              <w:spacing w:after="0"/>
              <w:rPr>
                <w:sz w:val="20"/>
                <w:szCs w:val="20"/>
                <w:color w:val="auto"/>
              </w:rPr>
            </w:pPr>
            <w:r>
              <w:rPr>
                <w:rFonts w:ascii="Georgia" w:cs="Georgia" w:eastAsia="Georgia" w:hAnsi="Georgia"/>
                <w:sz w:val="18"/>
                <w:szCs w:val="18"/>
                <w:b w:val="1"/>
                <w:bCs w:val="1"/>
                <w:color w:val="auto"/>
              </w:rPr>
              <w:t>Exhibit No.</w:t>
            </w:r>
          </w:p>
        </w:tc>
        <w:tc>
          <w:tcPr>
            <w:tcW w:w="9820" w:type="dxa"/>
            <w:vAlign w:val="bottom"/>
            <w:gridSpan w:val="26"/>
          </w:tcPr>
          <w:p>
            <w:pPr>
              <w:spacing w:after="0"/>
              <w:rPr>
                <w:sz w:val="20"/>
                <w:szCs w:val="20"/>
                <w:color w:val="auto"/>
              </w:rPr>
            </w:pPr>
            <w:r>
              <w:rPr>
                <w:rFonts w:ascii="Georgia" w:cs="Georgia" w:eastAsia="Georgia" w:hAnsi="Georgia"/>
                <w:sz w:val="18"/>
                <w:szCs w:val="18"/>
                <w:b w:val="1"/>
                <w:bCs w:val="1"/>
                <w:color w:val="auto"/>
              </w:rPr>
              <w:t>Description</w:t>
            </w:r>
          </w:p>
        </w:tc>
      </w:tr>
      <w:tr>
        <w:trPr>
          <w:trHeight w:val="378"/>
        </w:trPr>
        <w:tc>
          <w:tcPr>
            <w:tcW w:w="1300" w:type="dxa"/>
            <w:vAlign w:val="bottom"/>
            <w:tcBorders>
              <w:top w:val="single" w:sz="8" w:color="auto"/>
            </w:tcBorders>
          </w:tcPr>
          <w:p>
            <w:pPr>
              <w:spacing w:after="0"/>
              <w:rPr>
                <w:sz w:val="20"/>
                <w:szCs w:val="20"/>
                <w:color w:val="auto"/>
              </w:rPr>
            </w:pPr>
            <w:r>
              <w:rPr>
                <w:rFonts w:ascii="Georgia" w:cs="Georgia" w:eastAsia="Georgia" w:hAnsi="Georgia"/>
                <w:sz w:val="18"/>
                <w:szCs w:val="18"/>
                <w:color w:val="auto"/>
              </w:rPr>
              <w:t>2.4</w:t>
            </w:r>
          </w:p>
        </w:tc>
        <w:tc>
          <w:tcPr>
            <w:tcW w:w="120" w:type="dxa"/>
            <w:vAlign w:val="bottom"/>
          </w:tcPr>
          <w:p>
            <w:pPr>
              <w:spacing w:after="0"/>
              <w:rPr>
                <w:sz w:val="24"/>
                <w:szCs w:val="24"/>
                <w:color w:val="auto"/>
              </w:rPr>
            </w:pPr>
          </w:p>
        </w:tc>
        <w:tc>
          <w:tcPr>
            <w:tcW w:w="1960" w:type="dxa"/>
            <w:vAlign w:val="bottom"/>
            <w:tcBorders>
              <w:top w:val="single" w:sz="8" w:color="auto"/>
              <w:bottom w:val="single" w:sz="8" w:color="0000EE"/>
            </w:tcBorders>
            <w:gridSpan w:val="2"/>
          </w:tcPr>
          <w:p>
            <w:pPr>
              <w:spacing w:after="0"/>
              <w:rPr>
                <w:sz w:val="20"/>
                <w:szCs w:val="20"/>
                <w:color w:val="auto"/>
              </w:rPr>
            </w:pPr>
            <w:r>
              <w:rPr>
                <w:rFonts w:ascii="Georgia" w:cs="Georgia" w:eastAsia="Georgia" w:hAnsi="Georgia"/>
                <w:sz w:val="18"/>
                <w:szCs w:val="18"/>
                <w:color w:val="0000EE"/>
                <w:w w:val="99"/>
              </w:rPr>
              <w:t>Description of Securities</w:t>
            </w:r>
          </w:p>
        </w:tc>
        <w:tc>
          <w:tcPr>
            <w:tcW w:w="7860" w:type="dxa"/>
            <w:vAlign w:val="bottom"/>
            <w:tcBorders>
              <w:top w:val="single" w:sz="8" w:color="auto"/>
            </w:tcBorders>
            <w:gridSpan w:val="24"/>
          </w:tcPr>
          <w:p>
            <w:pPr>
              <w:spacing w:after="0"/>
              <w:rPr>
                <w:sz w:val="24"/>
                <w:szCs w:val="24"/>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3.1*</w:t>
            </w:r>
          </w:p>
        </w:tc>
        <w:tc>
          <w:tcPr>
            <w:tcW w:w="120" w:type="dxa"/>
            <w:vAlign w:val="bottom"/>
          </w:tcPr>
          <w:p>
            <w:pPr>
              <w:spacing w:after="0"/>
              <w:rPr>
                <w:sz w:val="15"/>
                <w:szCs w:val="15"/>
                <w:color w:val="auto"/>
              </w:rPr>
            </w:pPr>
          </w:p>
        </w:tc>
        <w:tc>
          <w:tcPr>
            <w:tcW w:w="3840" w:type="dxa"/>
            <w:vAlign w:val="bottom"/>
            <w:tcBorders>
              <w:bottom w:val="single" w:sz="8" w:color="0000EE"/>
            </w:tcBorders>
            <w:gridSpan w:val="9"/>
          </w:tcPr>
          <w:p>
            <w:pPr>
              <w:spacing w:after="0" w:line="183" w:lineRule="exact"/>
              <w:rPr>
                <w:rFonts w:ascii="Georgia" w:cs="Georgia" w:eastAsia="Georgia" w:hAnsi="Georgia"/>
                <w:sz w:val="18"/>
                <w:szCs w:val="18"/>
                <w:color w:val="0000EE"/>
                <w:w w:val="99"/>
              </w:rPr>
            </w:pPr>
            <w:hyperlink r:id="rId173">
              <w:r>
                <w:rPr>
                  <w:rFonts w:ascii="Georgia" w:cs="Georgia" w:eastAsia="Georgia" w:hAnsi="Georgia"/>
                  <w:sz w:val="18"/>
                  <w:szCs w:val="18"/>
                  <w:color w:val="0000EE"/>
                  <w:w w:val="99"/>
                </w:rPr>
                <w:t>Deed of Incorporation of Genenta Science S.p.A.</w:t>
              </w:r>
            </w:hyperlink>
          </w:p>
        </w:tc>
        <w:tc>
          <w:tcPr>
            <w:tcW w:w="5980" w:type="dxa"/>
            <w:vAlign w:val="bottom"/>
            <w:gridSpan w:val="17"/>
          </w:tcPr>
          <w:p>
            <w:pPr>
              <w:spacing w:after="0"/>
              <w:rPr>
                <w:sz w:val="15"/>
                <w:szCs w:val="15"/>
                <w:color w:val="auto"/>
              </w:rPr>
            </w:pPr>
          </w:p>
        </w:tc>
      </w:tr>
      <w:tr>
        <w:trPr>
          <w:trHeight w:val="182"/>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3.2*</w:t>
            </w:r>
          </w:p>
        </w:tc>
        <w:tc>
          <w:tcPr>
            <w:tcW w:w="120" w:type="dxa"/>
            <w:vAlign w:val="bottom"/>
          </w:tcPr>
          <w:p>
            <w:pPr>
              <w:spacing w:after="0"/>
              <w:rPr>
                <w:sz w:val="15"/>
                <w:szCs w:val="15"/>
                <w:color w:val="auto"/>
              </w:rPr>
            </w:pPr>
          </w:p>
        </w:tc>
        <w:tc>
          <w:tcPr>
            <w:tcW w:w="2640" w:type="dxa"/>
            <w:vAlign w:val="bottom"/>
            <w:tcBorders>
              <w:bottom w:val="single" w:sz="8" w:color="0000EE"/>
            </w:tcBorders>
            <w:gridSpan w:val="4"/>
          </w:tcPr>
          <w:p>
            <w:pPr>
              <w:spacing w:after="0" w:line="183" w:lineRule="exact"/>
              <w:rPr>
                <w:rFonts w:ascii="Georgia" w:cs="Georgia" w:eastAsia="Georgia" w:hAnsi="Georgia"/>
                <w:sz w:val="18"/>
                <w:szCs w:val="18"/>
                <w:color w:val="0000EE"/>
                <w:w w:val="99"/>
              </w:rPr>
            </w:pPr>
            <w:hyperlink r:id="rId174">
              <w:r>
                <w:rPr>
                  <w:rFonts w:ascii="Georgia" w:cs="Georgia" w:eastAsia="Georgia" w:hAnsi="Georgia"/>
                  <w:sz w:val="18"/>
                  <w:szCs w:val="18"/>
                  <w:color w:val="0000EE"/>
                  <w:w w:val="99"/>
                </w:rPr>
                <w:t>Bylaws of Genenta Science S.p.A.</w:t>
              </w:r>
            </w:hyperlink>
          </w:p>
        </w:tc>
        <w:tc>
          <w:tcPr>
            <w:tcW w:w="7180" w:type="dxa"/>
            <w:vAlign w:val="bottom"/>
            <w:gridSpan w:val="22"/>
          </w:tcPr>
          <w:p>
            <w:pPr>
              <w:spacing w:after="0"/>
              <w:rPr>
                <w:sz w:val="15"/>
                <w:szCs w:val="15"/>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4.1*</w:t>
            </w:r>
          </w:p>
        </w:tc>
        <w:tc>
          <w:tcPr>
            <w:tcW w:w="120" w:type="dxa"/>
            <w:vAlign w:val="bottom"/>
          </w:tcPr>
          <w:p>
            <w:pPr>
              <w:spacing w:after="0"/>
              <w:rPr>
                <w:sz w:val="15"/>
                <w:szCs w:val="15"/>
                <w:color w:val="auto"/>
              </w:rPr>
            </w:pPr>
          </w:p>
        </w:tc>
        <w:tc>
          <w:tcPr>
            <w:tcW w:w="9340" w:type="dxa"/>
            <w:vAlign w:val="bottom"/>
            <w:tcBorders>
              <w:bottom w:val="single" w:sz="8" w:color="0000EE"/>
            </w:tcBorders>
            <w:gridSpan w:val="23"/>
          </w:tcPr>
          <w:p>
            <w:pPr>
              <w:spacing w:after="0" w:line="183" w:lineRule="exact"/>
              <w:rPr>
                <w:rFonts w:ascii="Georgia" w:cs="Georgia" w:eastAsia="Georgia" w:hAnsi="Georgia"/>
                <w:sz w:val="18"/>
                <w:szCs w:val="18"/>
                <w:color w:val="0000EE"/>
                <w:w w:val="99"/>
              </w:rPr>
            </w:pPr>
            <w:hyperlink r:id="rId175">
              <w:r>
                <w:rPr>
                  <w:rFonts w:ascii="Georgia" w:cs="Georgia" w:eastAsia="Georgia" w:hAnsi="Georgia"/>
                  <w:sz w:val="18"/>
                  <w:szCs w:val="18"/>
                  <w:color w:val="0000EE"/>
                  <w:w w:val="99"/>
                </w:rPr>
                <w:t>Deposit Agreement dated December 17, 2021 between the Company and The Bank of New York Mellon, as depositary.</w:t>
              </w:r>
            </w:hyperlink>
          </w:p>
        </w:tc>
        <w:tc>
          <w:tcPr>
            <w:tcW w:w="480" w:type="dxa"/>
            <w:vAlign w:val="bottom"/>
            <w:gridSpan w:val="3"/>
          </w:tcPr>
          <w:p>
            <w:pPr>
              <w:spacing w:after="0"/>
              <w:rPr>
                <w:sz w:val="15"/>
                <w:szCs w:val="15"/>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4.2*</w:t>
            </w:r>
          </w:p>
        </w:tc>
        <w:tc>
          <w:tcPr>
            <w:tcW w:w="120" w:type="dxa"/>
            <w:vAlign w:val="bottom"/>
          </w:tcPr>
          <w:p>
            <w:pPr>
              <w:spacing w:after="0"/>
              <w:rPr>
                <w:sz w:val="15"/>
                <w:szCs w:val="15"/>
                <w:color w:val="auto"/>
              </w:rPr>
            </w:pPr>
          </w:p>
        </w:tc>
        <w:tc>
          <w:tcPr>
            <w:tcW w:w="9820" w:type="dxa"/>
            <w:vAlign w:val="bottom"/>
            <w:gridSpan w:val="26"/>
          </w:tcPr>
          <w:p>
            <w:pPr>
              <w:spacing w:after="0" w:line="183" w:lineRule="exact"/>
              <w:rPr>
                <w:rFonts w:ascii="Georgia" w:cs="Georgia" w:eastAsia="Georgia" w:hAnsi="Georgia"/>
                <w:sz w:val="18"/>
                <w:szCs w:val="18"/>
                <w:color w:val="0000EE"/>
              </w:rPr>
            </w:pPr>
            <w:hyperlink r:id="rId175">
              <w:r>
                <w:rPr>
                  <w:rFonts w:ascii="Georgia" w:cs="Georgia" w:eastAsia="Georgia" w:hAnsi="Georgia"/>
                  <w:sz w:val="18"/>
                  <w:szCs w:val="18"/>
                  <w:color w:val="0000EE"/>
                </w:rPr>
                <w:t>Form of American Depositary Receipt (included in exhibit 4.1)</w:t>
              </w:r>
            </w:hyperlink>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4.3</w:t>
            </w:r>
          </w:p>
        </w:tc>
        <w:tc>
          <w:tcPr>
            <w:tcW w:w="120" w:type="dxa"/>
            <w:vAlign w:val="bottom"/>
          </w:tcPr>
          <w:p>
            <w:pPr>
              <w:spacing w:after="0"/>
              <w:rPr>
                <w:sz w:val="15"/>
                <w:szCs w:val="15"/>
                <w:color w:val="auto"/>
              </w:rPr>
            </w:pPr>
          </w:p>
        </w:tc>
        <w:tc>
          <w:tcPr>
            <w:tcW w:w="4940" w:type="dxa"/>
            <w:vAlign w:val="bottom"/>
            <w:tcBorders>
              <w:top w:val="single" w:sz="8" w:color="0000EE"/>
            </w:tcBorders>
            <w:gridSpan w:val="11"/>
          </w:tcPr>
          <w:p>
            <w:pPr>
              <w:spacing w:after="0" w:line="183" w:lineRule="exact"/>
              <w:rPr>
                <w:sz w:val="20"/>
                <w:szCs w:val="20"/>
                <w:color w:val="auto"/>
              </w:rPr>
            </w:pPr>
            <w:r>
              <w:rPr>
                <w:rFonts w:ascii="Georgia" w:cs="Georgia" w:eastAsia="Georgia" w:hAnsi="Georgia"/>
                <w:sz w:val="18"/>
                <w:szCs w:val="18"/>
                <w:color w:val="0000EE"/>
              </w:rPr>
              <w:t>Underwriter Warrants dated December 17, 2021</w:t>
            </w:r>
          </w:p>
        </w:tc>
        <w:tc>
          <w:tcPr>
            <w:tcW w:w="4880" w:type="dxa"/>
            <w:vAlign w:val="bottom"/>
            <w:gridSpan w:val="15"/>
          </w:tcPr>
          <w:p>
            <w:pPr>
              <w:spacing w:after="0"/>
              <w:rPr>
                <w:sz w:val="15"/>
                <w:szCs w:val="15"/>
                <w:color w:val="auto"/>
              </w:rPr>
            </w:pPr>
          </w:p>
        </w:tc>
      </w:tr>
      <w:tr>
        <w:trPr>
          <w:trHeight w:val="20"/>
        </w:trPr>
        <w:tc>
          <w:tcPr>
            <w:tcW w:w="1420" w:type="dxa"/>
            <w:vAlign w:val="bottom"/>
            <w:gridSpan w:val="2"/>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20" w:type="dxa"/>
            <w:vAlign w:val="bottom"/>
            <w:gridSpan w:val="2"/>
          </w:tcPr>
          <w:p>
            <w:pPr>
              <w:spacing w:after="0" w:line="183" w:lineRule="exact"/>
              <w:rPr>
                <w:sz w:val="20"/>
                <w:szCs w:val="20"/>
                <w:color w:val="auto"/>
              </w:rPr>
            </w:pPr>
            <w:r>
              <w:rPr>
                <w:rFonts w:ascii="Georgia" w:cs="Georgia" w:eastAsia="Georgia" w:hAnsi="Georgia"/>
                <w:sz w:val="18"/>
                <w:szCs w:val="18"/>
                <w:color w:val="auto"/>
              </w:rPr>
              <w:t>10.1*†</w:t>
            </w:r>
          </w:p>
        </w:tc>
        <w:tc>
          <w:tcPr>
            <w:tcW w:w="9820" w:type="dxa"/>
            <w:vAlign w:val="bottom"/>
            <w:gridSpan w:val="26"/>
          </w:tcPr>
          <w:p>
            <w:pPr>
              <w:spacing w:after="0" w:line="183" w:lineRule="exact"/>
              <w:rPr>
                <w:rFonts w:ascii="Georgia" w:cs="Georgia" w:eastAsia="Georgia" w:hAnsi="Georgia"/>
                <w:sz w:val="18"/>
                <w:szCs w:val="18"/>
                <w:color w:val="0000EE"/>
              </w:rPr>
            </w:pPr>
            <w:hyperlink r:id="rId176">
              <w:r>
                <w:rPr>
                  <w:rFonts w:ascii="Georgia" w:cs="Georgia" w:eastAsia="Georgia" w:hAnsi="Georgia"/>
                  <w:sz w:val="18"/>
                  <w:szCs w:val="18"/>
                  <w:color w:val="0000EE"/>
                </w:rPr>
                <w:t>License Agreement between Ospedale San Raffaele S.r.l. (OSR). and Genenta Science S.p.A. dated December 15, 2014 (OSR</w:t>
              </w:r>
            </w:hyperlink>
          </w:p>
        </w:tc>
      </w:tr>
      <w:tr>
        <w:trPr>
          <w:trHeight w:val="183"/>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0000EE"/>
              <w:bottom w:val="single" w:sz="8" w:color="0000EE"/>
            </w:tcBorders>
          </w:tcPr>
          <w:p>
            <w:pPr>
              <w:spacing w:after="0" w:line="183" w:lineRule="exact"/>
              <w:rPr>
                <w:rFonts w:ascii="Georgia" w:cs="Georgia" w:eastAsia="Georgia" w:hAnsi="Georgia"/>
                <w:sz w:val="18"/>
                <w:szCs w:val="18"/>
                <w:color w:val="0000EE"/>
                <w:w w:val="99"/>
              </w:rPr>
            </w:pPr>
            <w:hyperlink r:id="rId176">
              <w:r>
                <w:rPr>
                  <w:rFonts w:ascii="Georgia" w:cs="Georgia" w:eastAsia="Georgia" w:hAnsi="Georgia"/>
                  <w:sz w:val="18"/>
                  <w:szCs w:val="18"/>
                  <w:color w:val="0000EE"/>
                  <w:w w:val="99"/>
                </w:rPr>
                <w:t>License Agreement)</w:t>
              </w:r>
            </w:hyperlink>
          </w:p>
        </w:tc>
        <w:tc>
          <w:tcPr>
            <w:tcW w:w="8160" w:type="dxa"/>
            <w:vAlign w:val="bottom"/>
            <w:tcBorders>
              <w:top w:val="single" w:sz="8" w:color="0000EE"/>
            </w:tcBorders>
            <w:gridSpan w:val="24"/>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420" w:type="dxa"/>
            <w:vAlign w:val="bottom"/>
            <w:gridSpan w:val="2"/>
          </w:tcPr>
          <w:p>
            <w:pPr>
              <w:spacing w:after="0" w:line="183" w:lineRule="exact"/>
              <w:rPr>
                <w:sz w:val="20"/>
                <w:szCs w:val="20"/>
                <w:color w:val="auto"/>
              </w:rPr>
            </w:pPr>
            <w:r>
              <w:rPr>
                <w:rFonts w:ascii="Georgia" w:cs="Georgia" w:eastAsia="Georgia" w:hAnsi="Georgia"/>
                <w:sz w:val="18"/>
                <w:szCs w:val="18"/>
                <w:color w:val="auto"/>
              </w:rPr>
              <w:t>10.2*†</w:t>
            </w:r>
          </w:p>
        </w:tc>
        <w:tc>
          <w:tcPr>
            <w:tcW w:w="9820" w:type="dxa"/>
            <w:vAlign w:val="bottom"/>
            <w:gridSpan w:val="26"/>
          </w:tcPr>
          <w:p>
            <w:pPr>
              <w:spacing w:after="0" w:line="183" w:lineRule="exact"/>
              <w:rPr>
                <w:rFonts w:ascii="Georgia" w:cs="Georgia" w:eastAsia="Georgia" w:hAnsi="Georgia"/>
                <w:sz w:val="18"/>
                <w:szCs w:val="18"/>
                <w:color w:val="0000EE"/>
              </w:rPr>
            </w:pPr>
            <w:hyperlink r:id="rId177">
              <w:r>
                <w:rPr>
                  <w:rFonts w:ascii="Georgia" w:cs="Georgia" w:eastAsia="Georgia" w:hAnsi="Georgia"/>
                  <w:sz w:val="18"/>
                  <w:szCs w:val="18"/>
                  <w:color w:val="0000EE"/>
                </w:rPr>
                <w:t>First Amendment to the OSR License Agreement dated March 16, 2017</w:t>
              </w:r>
            </w:hyperlink>
          </w:p>
        </w:tc>
      </w:tr>
      <w:tr>
        <w:trPr>
          <w:trHeight w:val="20"/>
        </w:trPr>
        <w:tc>
          <w:tcPr>
            <w:tcW w:w="1420" w:type="dxa"/>
            <w:vAlign w:val="bottom"/>
            <w:gridSpan w:val="2"/>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420" w:type="dxa"/>
            <w:vAlign w:val="bottom"/>
            <w:gridSpan w:val="2"/>
          </w:tcPr>
          <w:p>
            <w:pPr>
              <w:spacing w:after="0" w:line="183" w:lineRule="exact"/>
              <w:rPr>
                <w:sz w:val="20"/>
                <w:szCs w:val="20"/>
                <w:color w:val="auto"/>
              </w:rPr>
            </w:pPr>
            <w:r>
              <w:rPr>
                <w:rFonts w:ascii="Georgia" w:cs="Georgia" w:eastAsia="Georgia" w:hAnsi="Georgia"/>
                <w:sz w:val="18"/>
                <w:szCs w:val="18"/>
                <w:color w:val="auto"/>
              </w:rPr>
              <w:t>10.3*†</w:t>
            </w:r>
          </w:p>
        </w:tc>
        <w:tc>
          <w:tcPr>
            <w:tcW w:w="9820" w:type="dxa"/>
            <w:vAlign w:val="bottom"/>
            <w:gridSpan w:val="26"/>
          </w:tcPr>
          <w:p>
            <w:pPr>
              <w:spacing w:after="0" w:line="183" w:lineRule="exact"/>
              <w:rPr>
                <w:rFonts w:ascii="Georgia" w:cs="Georgia" w:eastAsia="Georgia" w:hAnsi="Georgia"/>
                <w:sz w:val="18"/>
                <w:szCs w:val="18"/>
                <w:color w:val="0000EE"/>
              </w:rPr>
            </w:pPr>
            <w:hyperlink r:id="rId178">
              <w:r>
                <w:rPr>
                  <w:rFonts w:ascii="Georgia" w:cs="Georgia" w:eastAsia="Georgia" w:hAnsi="Georgia"/>
                  <w:sz w:val="18"/>
                  <w:szCs w:val="18"/>
                  <w:color w:val="0000EE"/>
                </w:rPr>
                <w:t>Second Amendment to the OSR License Agreement dated February 1, 2019</w:t>
              </w:r>
            </w:hyperlink>
          </w:p>
        </w:tc>
      </w:tr>
      <w:tr>
        <w:trPr>
          <w:trHeight w:val="20"/>
        </w:trPr>
        <w:tc>
          <w:tcPr>
            <w:tcW w:w="1420" w:type="dxa"/>
            <w:vAlign w:val="bottom"/>
            <w:gridSpan w:val="2"/>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420" w:type="dxa"/>
            <w:vAlign w:val="bottom"/>
            <w:gridSpan w:val="2"/>
          </w:tcPr>
          <w:p>
            <w:pPr>
              <w:spacing w:after="0" w:line="183" w:lineRule="exact"/>
              <w:rPr>
                <w:sz w:val="20"/>
                <w:szCs w:val="20"/>
                <w:color w:val="auto"/>
              </w:rPr>
            </w:pPr>
            <w:r>
              <w:rPr>
                <w:rFonts w:ascii="Georgia" w:cs="Georgia" w:eastAsia="Georgia" w:hAnsi="Georgia"/>
                <w:sz w:val="18"/>
                <w:szCs w:val="18"/>
                <w:color w:val="auto"/>
              </w:rPr>
              <w:t>10.4*†</w:t>
            </w:r>
          </w:p>
        </w:tc>
        <w:tc>
          <w:tcPr>
            <w:tcW w:w="6060" w:type="dxa"/>
            <w:vAlign w:val="bottom"/>
            <w:tcBorders>
              <w:bottom w:val="single" w:sz="8" w:color="0000EE"/>
            </w:tcBorders>
            <w:gridSpan w:val="16"/>
          </w:tcPr>
          <w:p>
            <w:pPr>
              <w:spacing w:after="0" w:line="183" w:lineRule="exact"/>
              <w:rPr>
                <w:rFonts w:ascii="Georgia" w:cs="Georgia" w:eastAsia="Georgia" w:hAnsi="Georgia"/>
                <w:sz w:val="18"/>
                <w:szCs w:val="18"/>
                <w:color w:val="0000EE"/>
                <w:w w:val="99"/>
              </w:rPr>
            </w:pPr>
            <w:hyperlink r:id="rId179">
              <w:r>
                <w:rPr>
                  <w:rFonts w:ascii="Georgia" w:cs="Georgia" w:eastAsia="Georgia" w:hAnsi="Georgia"/>
                  <w:sz w:val="18"/>
                  <w:szCs w:val="18"/>
                  <w:color w:val="0000EE"/>
                  <w:w w:val="99"/>
                </w:rPr>
                <w:t>Third Amendment to the OSR License Agreement dated December 23, 2020</w:t>
              </w:r>
            </w:hyperlink>
          </w:p>
        </w:tc>
        <w:tc>
          <w:tcPr>
            <w:tcW w:w="3760" w:type="dxa"/>
            <w:vAlign w:val="bottom"/>
            <w:gridSpan w:val="10"/>
          </w:tcPr>
          <w:p>
            <w:pPr>
              <w:spacing w:after="0"/>
              <w:rPr>
                <w:sz w:val="15"/>
                <w:szCs w:val="15"/>
                <w:color w:val="auto"/>
              </w:rPr>
            </w:pPr>
          </w:p>
        </w:tc>
      </w:tr>
      <w:tr>
        <w:trPr>
          <w:trHeight w:val="183"/>
        </w:trPr>
        <w:tc>
          <w:tcPr>
            <w:tcW w:w="1420" w:type="dxa"/>
            <w:vAlign w:val="bottom"/>
            <w:gridSpan w:val="2"/>
          </w:tcPr>
          <w:p>
            <w:pPr>
              <w:spacing w:after="0" w:line="183" w:lineRule="exact"/>
              <w:rPr>
                <w:sz w:val="20"/>
                <w:szCs w:val="20"/>
                <w:color w:val="auto"/>
              </w:rPr>
            </w:pPr>
            <w:r>
              <w:rPr>
                <w:rFonts w:ascii="Georgia" w:cs="Georgia" w:eastAsia="Georgia" w:hAnsi="Georgia"/>
                <w:sz w:val="18"/>
                <w:szCs w:val="18"/>
                <w:color w:val="auto"/>
              </w:rPr>
              <w:t>10.5*†</w:t>
            </w:r>
          </w:p>
        </w:tc>
        <w:tc>
          <w:tcPr>
            <w:tcW w:w="6180" w:type="dxa"/>
            <w:vAlign w:val="bottom"/>
            <w:tcBorders>
              <w:bottom w:val="single" w:sz="8" w:color="0000EE"/>
            </w:tcBorders>
            <w:gridSpan w:val="17"/>
          </w:tcPr>
          <w:p>
            <w:pPr>
              <w:spacing w:after="0" w:line="183" w:lineRule="exact"/>
              <w:rPr>
                <w:rFonts w:ascii="Georgia" w:cs="Georgia" w:eastAsia="Georgia" w:hAnsi="Georgia"/>
                <w:sz w:val="18"/>
                <w:szCs w:val="18"/>
                <w:color w:val="0000EE"/>
                <w:w w:val="99"/>
              </w:rPr>
            </w:pPr>
            <w:hyperlink r:id="rId180">
              <w:r>
                <w:rPr>
                  <w:rFonts w:ascii="Georgia" w:cs="Georgia" w:eastAsia="Georgia" w:hAnsi="Georgia"/>
                  <w:sz w:val="18"/>
                  <w:szCs w:val="18"/>
                  <w:color w:val="0000EE"/>
                  <w:w w:val="99"/>
                </w:rPr>
                <w:t>Fourth Amendment to the OSR License Agreement dated September 28, 2021</w:t>
              </w:r>
            </w:hyperlink>
          </w:p>
        </w:tc>
        <w:tc>
          <w:tcPr>
            <w:tcW w:w="3640" w:type="dxa"/>
            <w:vAlign w:val="bottom"/>
            <w:gridSpan w:val="9"/>
          </w:tcPr>
          <w:p>
            <w:pPr>
              <w:spacing w:after="0"/>
              <w:rPr>
                <w:sz w:val="15"/>
                <w:szCs w:val="15"/>
                <w:color w:val="auto"/>
              </w:rPr>
            </w:pPr>
          </w:p>
        </w:tc>
      </w:tr>
      <w:tr>
        <w:trPr>
          <w:trHeight w:val="183"/>
        </w:trPr>
        <w:tc>
          <w:tcPr>
            <w:tcW w:w="1420" w:type="dxa"/>
            <w:vAlign w:val="bottom"/>
            <w:gridSpan w:val="2"/>
          </w:tcPr>
          <w:p>
            <w:pPr>
              <w:spacing w:after="0" w:line="183" w:lineRule="exact"/>
              <w:rPr>
                <w:sz w:val="20"/>
                <w:szCs w:val="20"/>
                <w:color w:val="auto"/>
              </w:rPr>
            </w:pPr>
            <w:r>
              <w:rPr>
                <w:rFonts w:ascii="Georgia" w:cs="Georgia" w:eastAsia="Georgia" w:hAnsi="Georgia"/>
                <w:sz w:val="18"/>
                <w:szCs w:val="18"/>
                <w:color w:val="auto"/>
              </w:rPr>
              <w:t>10.6*†</w:t>
            </w:r>
          </w:p>
        </w:tc>
        <w:tc>
          <w:tcPr>
            <w:tcW w:w="9820" w:type="dxa"/>
            <w:vAlign w:val="bottom"/>
            <w:gridSpan w:val="26"/>
          </w:tcPr>
          <w:p>
            <w:pPr>
              <w:spacing w:after="0" w:line="183" w:lineRule="exact"/>
              <w:rPr>
                <w:rFonts w:ascii="Georgia" w:cs="Georgia" w:eastAsia="Georgia" w:hAnsi="Georgia"/>
                <w:sz w:val="18"/>
                <w:szCs w:val="18"/>
                <w:color w:val="0000EE"/>
              </w:rPr>
            </w:pPr>
            <w:hyperlink r:id="rId181">
              <w:r>
                <w:rPr>
                  <w:rFonts w:ascii="Georgia" w:cs="Georgia" w:eastAsia="Georgia" w:hAnsi="Georgia"/>
                  <w:sz w:val="18"/>
                  <w:szCs w:val="18"/>
                  <w:color w:val="0000EE"/>
                </w:rPr>
                <w:t>Sponsored Research Agreement with OSR dated February 12, 2021</w:t>
              </w:r>
            </w:hyperlink>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10.7*</w:t>
            </w:r>
          </w:p>
        </w:tc>
        <w:tc>
          <w:tcPr>
            <w:tcW w:w="120" w:type="dxa"/>
            <w:vAlign w:val="bottom"/>
          </w:tcPr>
          <w:p>
            <w:pPr>
              <w:spacing w:after="0"/>
              <w:rPr>
                <w:sz w:val="15"/>
                <w:szCs w:val="15"/>
                <w:color w:val="auto"/>
              </w:rPr>
            </w:pPr>
          </w:p>
        </w:tc>
        <w:tc>
          <w:tcPr>
            <w:tcW w:w="6480" w:type="dxa"/>
            <w:vAlign w:val="bottom"/>
            <w:tcBorders>
              <w:bottom w:val="single" w:sz="8" w:color="0000EE"/>
            </w:tcBorders>
            <w:gridSpan w:val="18"/>
          </w:tcPr>
          <w:p>
            <w:pPr>
              <w:spacing w:after="0" w:line="183" w:lineRule="exact"/>
              <w:rPr>
                <w:rFonts w:ascii="Georgia" w:cs="Georgia" w:eastAsia="Georgia" w:hAnsi="Georgia"/>
                <w:sz w:val="18"/>
                <w:szCs w:val="18"/>
                <w:color w:val="0000EE"/>
                <w:w w:val="99"/>
              </w:rPr>
            </w:pPr>
            <w:hyperlink r:id="rId182">
              <w:r>
                <w:rPr>
                  <w:rFonts w:ascii="Georgia" w:cs="Georgia" w:eastAsia="Georgia" w:hAnsi="Georgia"/>
                  <w:sz w:val="18"/>
                  <w:szCs w:val="18"/>
                  <w:color w:val="0000EE"/>
                  <w:w w:val="99"/>
                </w:rPr>
                <w:t>Know-How License Agreement with Fondazione Telethon dated February 2, 2016</w:t>
              </w:r>
            </w:hyperlink>
          </w:p>
        </w:tc>
        <w:tc>
          <w:tcPr>
            <w:tcW w:w="3340" w:type="dxa"/>
            <w:vAlign w:val="bottom"/>
            <w:gridSpan w:val="8"/>
          </w:tcPr>
          <w:p>
            <w:pPr>
              <w:spacing w:after="0"/>
              <w:rPr>
                <w:sz w:val="15"/>
                <w:szCs w:val="15"/>
                <w:color w:val="auto"/>
              </w:rPr>
            </w:pPr>
          </w:p>
        </w:tc>
      </w:tr>
      <w:tr>
        <w:trPr>
          <w:trHeight w:val="183"/>
        </w:trPr>
        <w:tc>
          <w:tcPr>
            <w:tcW w:w="1420" w:type="dxa"/>
            <w:vAlign w:val="bottom"/>
            <w:gridSpan w:val="2"/>
          </w:tcPr>
          <w:p>
            <w:pPr>
              <w:spacing w:after="0" w:line="183" w:lineRule="exact"/>
              <w:rPr>
                <w:sz w:val="20"/>
                <w:szCs w:val="20"/>
                <w:color w:val="auto"/>
              </w:rPr>
            </w:pPr>
            <w:r>
              <w:rPr>
                <w:rFonts w:ascii="Georgia" w:cs="Georgia" w:eastAsia="Georgia" w:hAnsi="Georgia"/>
                <w:sz w:val="18"/>
                <w:szCs w:val="18"/>
                <w:color w:val="auto"/>
              </w:rPr>
              <w:t>10.8*†</w:t>
            </w:r>
          </w:p>
        </w:tc>
        <w:tc>
          <w:tcPr>
            <w:tcW w:w="9820" w:type="dxa"/>
            <w:vAlign w:val="bottom"/>
            <w:gridSpan w:val="26"/>
          </w:tcPr>
          <w:p>
            <w:pPr>
              <w:spacing w:after="0" w:line="183" w:lineRule="exact"/>
              <w:rPr>
                <w:rFonts w:ascii="Georgia" w:cs="Georgia" w:eastAsia="Georgia" w:hAnsi="Georgia"/>
                <w:sz w:val="18"/>
                <w:szCs w:val="18"/>
                <w:color w:val="0000EE"/>
              </w:rPr>
            </w:pPr>
            <w:hyperlink r:id="rId183">
              <w:r>
                <w:rPr>
                  <w:rFonts w:ascii="Georgia" w:cs="Georgia" w:eastAsia="Georgia" w:hAnsi="Georgia"/>
                  <w:sz w:val="18"/>
                  <w:szCs w:val="18"/>
                  <w:color w:val="0000EE"/>
                </w:rPr>
                <w:t>Master Service Agreement dated March 6, 2019, between Molecular Medicine S.p.A. and Genenta Science S.p.A.</w:t>
              </w:r>
            </w:hyperlink>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10.9*</w:t>
            </w:r>
          </w:p>
        </w:tc>
        <w:tc>
          <w:tcPr>
            <w:tcW w:w="120" w:type="dxa"/>
            <w:vAlign w:val="bottom"/>
          </w:tcPr>
          <w:p>
            <w:pPr>
              <w:spacing w:after="0"/>
              <w:rPr>
                <w:sz w:val="15"/>
                <w:szCs w:val="15"/>
                <w:color w:val="auto"/>
              </w:rPr>
            </w:pPr>
          </w:p>
        </w:tc>
        <w:tc>
          <w:tcPr>
            <w:tcW w:w="8880" w:type="dxa"/>
            <w:vAlign w:val="bottom"/>
            <w:tcBorders>
              <w:top w:val="single" w:sz="8" w:color="0000EE"/>
            </w:tcBorders>
            <w:gridSpan w:val="20"/>
          </w:tcPr>
          <w:p>
            <w:pPr>
              <w:spacing w:after="0" w:line="183" w:lineRule="exact"/>
              <w:rPr>
                <w:rFonts w:ascii="Georgia" w:cs="Georgia" w:eastAsia="Georgia" w:hAnsi="Georgia"/>
                <w:sz w:val="18"/>
                <w:szCs w:val="18"/>
                <w:color w:val="0000EE"/>
              </w:rPr>
            </w:pPr>
            <w:hyperlink r:id="rId184">
              <w:r>
                <w:rPr>
                  <w:rFonts w:ascii="Georgia" w:cs="Georgia" w:eastAsia="Georgia" w:hAnsi="Georgia"/>
                  <w:sz w:val="18"/>
                  <w:szCs w:val="18"/>
                  <w:color w:val="0000EE"/>
                </w:rPr>
                <w:t>2021-2025 Genenta Science Employee Share Option Plan with Chairman Sub-Plan</w:t>
              </w:r>
            </w:hyperlink>
          </w:p>
        </w:tc>
        <w:tc>
          <w:tcPr>
            <w:tcW w:w="940" w:type="dxa"/>
            <w:vAlign w:val="bottom"/>
            <w:gridSpan w:val="6"/>
          </w:tcPr>
          <w:p>
            <w:pPr>
              <w:spacing w:after="0"/>
              <w:rPr>
                <w:sz w:val="15"/>
                <w:szCs w:val="15"/>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10.10*</w:t>
            </w:r>
          </w:p>
        </w:tc>
        <w:tc>
          <w:tcPr>
            <w:tcW w:w="12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6"/>
          </w:tcPr>
          <w:p>
            <w:pPr>
              <w:spacing w:after="0" w:line="183" w:lineRule="exact"/>
              <w:rPr>
                <w:rFonts w:ascii="Georgia" w:cs="Georgia" w:eastAsia="Georgia" w:hAnsi="Georgia"/>
                <w:sz w:val="18"/>
                <w:szCs w:val="18"/>
                <w:color w:val="0000EE"/>
                <w:w w:val="99"/>
              </w:rPr>
            </w:pPr>
            <w:hyperlink r:id="rId185">
              <w:r>
                <w:rPr>
                  <w:rFonts w:ascii="Georgia" w:cs="Georgia" w:eastAsia="Georgia" w:hAnsi="Georgia"/>
                  <w:sz w:val="18"/>
                  <w:szCs w:val="18"/>
                  <w:color w:val="0000EE"/>
                  <w:w w:val="99"/>
                </w:rPr>
                <w:t>Employment Agreement of Pierluigi Paracchi</w:t>
              </w:r>
            </w:hyperlink>
          </w:p>
        </w:tc>
        <w:tc>
          <w:tcPr>
            <w:tcW w:w="2960" w:type="dxa"/>
            <w:vAlign w:val="bottom"/>
            <w:tcBorders>
              <w:top w:val="single" w:sz="8" w:color="0000EE"/>
            </w:tcBorders>
            <w:gridSpan w:val="13"/>
          </w:tcPr>
          <w:p>
            <w:pPr>
              <w:spacing w:after="0"/>
              <w:rPr>
                <w:sz w:val="15"/>
                <w:szCs w:val="15"/>
                <w:color w:val="auto"/>
              </w:rPr>
            </w:pPr>
          </w:p>
        </w:tc>
        <w:tc>
          <w:tcPr>
            <w:tcW w:w="3260" w:type="dxa"/>
            <w:vAlign w:val="bottom"/>
            <w:gridSpan w:val="7"/>
          </w:tcPr>
          <w:p>
            <w:pPr>
              <w:spacing w:after="0"/>
              <w:rPr>
                <w:sz w:val="15"/>
                <w:szCs w:val="15"/>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10.11*</w:t>
            </w:r>
          </w:p>
        </w:tc>
        <w:tc>
          <w:tcPr>
            <w:tcW w:w="120" w:type="dxa"/>
            <w:vAlign w:val="bottom"/>
          </w:tcPr>
          <w:p>
            <w:pPr>
              <w:spacing w:after="0"/>
              <w:rPr>
                <w:sz w:val="15"/>
                <w:szCs w:val="15"/>
                <w:color w:val="auto"/>
              </w:rPr>
            </w:pPr>
          </w:p>
        </w:tc>
        <w:tc>
          <w:tcPr>
            <w:tcW w:w="9820" w:type="dxa"/>
            <w:vAlign w:val="bottom"/>
            <w:gridSpan w:val="26"/>
          </w:tcPr>
          <w:p>
            <w:pPr>
              <w:spacing w:after="0" w:line="183" w:lineRule="exact"/>
              <w:rPr>
                <w:rFonts w:ascii="Georgia" w:cs="Georgia" w:eastAsia="Georgia" w:hAnsi="Georgia"/>
                <w:sz w:val="18"/>
                <w:szCs w:val="18"/>
                <w:color w:val="0000EE"/>
              </w:rPr>
            </w:pPr>
            <w:hyperlink r:id="rId186">
              <w:r>
                <w:rPr>
                  <w:rFonts w:ascii="Georgia" w:cs="Georgia" w:eastAsia="Georgia" w:hAnsi="Georgia"/>
                  <w:sz w:val="18"/>
                  <w:szCs w:val="18"/>
                  <w:color w:val="0000EE"/>
                </w:rPr>
                <w:t>Employment Agreement of Carlo Russo</w:t>
              </w:r>
            </w:hyperlink>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10.12*</w:t>
            </w:r>
          </w:p>
        </w:tc>
        <w:tc>
          <w:tcPr>
            <w:tcW w:w="120" w:type="dxa"/>
            <w:vAlign w:val="bottom"/>
          </w:tcPr>
          <w:p>
            <w:pPr>
              <w:spacing w:after="0"/>
              <w:rPr>
                <w:sz w:val="15"/>
                <w:szCs w:val="15"/>
                <w:color w:val="auto"/>
              </w:rPr>
            </w:pPr>
          </w:p>
        </w:tc>
        <w:tc>
          <w:tcPr>
            <w:tcW w:w="3700" w:type="dxa"/>
            <w:vAlign w:val="bottom"/>
            <w:tcBorders>
              <w:bottom w:val="single" w:sz="8" w:color="0000EE"/>
            </w:tcBorders>
            <w:gridSpan w:val="7"/>
          </w:tcPr>
          <w:p>
            <w:pPr>
              <w:spacing w:after="0" w:line="183" w:lineRule="exact"/>
              <w:rPr>
                <w:rFonts w:ascii="Georgia" w:cs="Georgia" w:eastAsia="Georgia" w:hAnsi="Georgia"/>
                <w:sz w:val="18"/>
                <w:szCs w:val="18"/>
                <w:color w:val="0000EE"/>
                <w:w w:val="99"/>
              </w:rPr>
            </w:pPr>
            <w:hyperlink r:id="rId187">
              <w:r>
                <w:rPr>
                  <w:rFonts w:ascii="Georgia" w:cs="Georgia" w:eastAsia="Georgia" w:hAnsi="Georgia"/>
                  <w:sz w:val="18"/>
                  <w:szCs w:val="18"/>
                  <w:color w:val="0000EE"/>
                  <w:w w:val="99"/>
                </w:rPr>
                <w:t>Employment Agreement of Richard B. Slansky</w:t>
              </w:r>
            </w:hyperlink>
          </w:p>
        </w:tc>
        <w:tc>
          <w:tcPr>
            <w:tcW w:w="6120" w:type="dxa"/>
            <w:vAlign w:val="bottom"/>
            <w:gridSpan w:val="19"/>
          </w:tcPr>
          <w:p>
            <w:pPr>
              <w:spacing w:after="0"/>
              <w:rPr>
                <w:sz w:val="15"/>
                <w:szCs w:val="15"/>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10.13</w:t>
            </w:r>
          </w:p>
        </w:tc>
        <w:tc>
          <w:tcPr>
            <w:tcW w:w="120" w:type="dxa"/>
            <w:vAlign w:val="bottom"/>
          </w:tcPr>
          <w:p>
            <w:pPr>
              <w:spacing w:after="0"/>
              <w:rPr>
                <w:sz w:val="15"/>
                <w:szCs w:val="15"/>
                <w:color w:val="auto"/>
              </w:rPr>
            </w:pPr>
          </w:p>
        </w:tc>
        <w:tc>
          <w:tcPr>
            <w:tcW w:w="5820" w:type="dxa"/>
            <w:vAlign w:val="bottom"/>
            <w:tcBorders>
              <w:bottom w:val="single" w:sz="8" w:color="0000EE"/>
            </w:tcBorders>
            <w:gridSpan w:val="14"/>
          </w:tcPr>
          <w:p>
            <w:pPr>
              <w:spacing w:after="0" w:line="183" w:lineRule="exact"/>
              <w:rPr>
                <w:sz w:val="20"/>
                <w:szCs w:val="20"/>
                <w:color w:val="auto"/>
              </w:rPr>
            </w:pPr>
            <w:r>
              <w:rPr>
                <w:rFonts w:ascii="Georgia" w:cs="Georgia" w:eastAsia="Georgia" w:hAnsi="Georgia"/>
                <w:sz w:val="18"/>
                <w:szCs w:val="18"/>
                <w:color w:val="0000EE"/>
                <w:w w:val="99"/>
              </w:rPr>
              <w:t>Fifth Amendment to the OSR License Agreement dated January 22, 2022</w:t>
            </w:r>
          </w:p>
        </w:tc>
        <w:tc>
          <w:tcPr>
            <w:tcW w:w="4000" w:type="dxa"/>
            <w:vAlign w:val="bottom"/>
            <w:gridSpan w:val="12"/>
          </w:tcPr>
          <w:p>
            <w:pPr>
              <w:spacing w:after="0"/>
              <w:rPr>
                <w:sz w:val="15"/>
                <w:szCs w:val="15"/>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11.1</w:t>
            </w:r>
          </w:p>
        </w:tc>
        <w:tc>
          <w:tcPr>
            <w:tcW w:w="120" w:type="dxa"/>
            <w:vAlign w:val="bottom"/>
          </w:tcPr>
          <w:p>
            <w:pPr>
              <w:spacing w:after="0"/>
              <w:rPr>
                <w:sz w:val="15"/>
                <w:szCs w:val="15"/>
                <w:color w:val="auto"/>
              </w:rPr>
            </w:pPr>
          </w:p>
        </w:tc>
        <w:tc>
          <w:tcPr>
            <w:tcW w:w="4320" w:type="dxa"/>
            <w:vAlign w:val="bottom"/>
            <w:tcBorders>
              <w:bottom w:val="single" w:sz="8" w:color="0000EE"/>
            </w:tcBorders>
            <w:gridSpan w:val="10"/>
          </w:tcPr>
          <w:p>
            <w:pPr>
              <w:spacing w:after="0" w:line="183" w:lineRule="exact"/>
              <w:rPr>
                <w:sz w:val="20"/>
                <w:szCs w:val="20"/>
                <w:color w:val="auto"/>
              </w:rPr>
            </w:pPr>
            <w:r>
              <w:rPr>
                <w:rFonts w:ascii="Georgia" w:cs="Georgia" w:eastAsia="Georgia" w:hAnsi="Georgia"/>
                <w:sz w:val="18"/>
                <w:szCs w:val="18"/>
                <w:color w:val="0000EE"/>
                <w:w w:val="99"/>
              </w:rPr>
              <w:t>Code of Business Conduct and Ethics of the Registrant</w:t>
            </w:r>
          </w:p>
        </w:tc>
        <w:tc>
          <w:tcPr>
            <w:tcW w:w="5500" w:type="dxa"/>
            <w:vAlign w:val="bottom"/>
            <w:gridSpan w:val="16"/>
          </w:tcPr>
          <w:p>
            <w:pPr>
              <w:spacing w:after="0"/>
              <w:rPr>
                <w:sz w:val="15"/>
                <w:szCs w:val="15"/>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12.1</w:t>
            </w:r>
          </w:p>
        </w:tc>
        <w:tc>
          <w:tcPr>
            <w:tcW w:w="120" w:type="dxa"/>
            <w:vAlign w:val="bottom"/>
          </w:tcPr>
          <w:p>
            <w:pPr>
              <w:spacing w:after="0"/>
              <w:rPr>
                <w:sz w:val="15"/>
                <w:szCs w:val="15"/>
                <w:color w:val="auto"/>
              </w:rPr>
            </w:pPr>
          </w:p>
        </w:tc>
        <w:tc>
          <w:tcPr>
            <w:tcW w:w="9820" w:type="dxa"/>
            <w:vAlign w:val="bottom"/>
            <w:gridSpan w:val="26"/>
          </w:tcPr>
          <w:p>
            <w:pPr>
              <w:spacing w:after="0" w:line="183" w:lineRule="exact"/>
              <w:rPr>
                <w:sz w:val="20"/>
                <w:szCs w:val="20"/>
                <w:color w:val="auto"/>
              </w:rPr>
            </w:pPr>
            <w:r>
              <w:rPr>
                <w:rFonts w:ascii="Georgia" w:cs="Georgia" w:eastAsia="Georgia" w:hAnsi="Georgia"/>
                <w:sz w:val="18"/>
                <w:szCs w:val="18"/>
                <w:color w:val="0000EE"/>
              </w:rPr>
              <w:t>Certification of the Chief Executive Officer (Principal Executive Officer) pursuant to Rule 13a-14(a) of the Securities</w:t>
            </w:r>
          </w:p>
        </w:tc>
      </w:tr>
      <w:tr>
        <w:trPr>
          <w:trHeight w:val="183"/>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40" w:type="dxa"/>
            <w:vAlign w:val="bottom"/>
            <w:tcBorders>
              <w:top w:val="single" w:sz="8" w:color="0000EE"/>
            </w:tcBorders>
            <w:gridSpan w:val="22"/>
          </w:tcPr>
          <w:p>
            <w:pPr>
              <w:spacing w:after="0" w:line="183" w:lineRule="exact"/>
              <w:rPr>
                <w:sz w:val="20"/>
                <w:szCs w:val="20"/>
                <w:color w:val="auto"/>
              </w:rPr>
            </w:pPr>
            <w:r>
              <w:rPr>
                <w:rFonts w:ascii="Georgia" w:cs="Georgia" w:eastAsia="Georgia" w:hAnsi="Georgia"/>
                <w:sz w:val="18"/>
                <w:szCs w:val="18"/>
                <w:color w:val="0000EE"/>
              </w:rPr>
              <w:t>Exchange Act, as amended</w:t>
            </w:r>
          </w:p>
        </w:tc>
        <w:tc>
          <w:tcPr>
            <w:tcW w:w="680" w:type="dxa"/>
            <w:vAlign w:val="bottom"/>
            <w:gridSpan w:val="4"/>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380" w:type="dxa"/>
            <w:vAlign w:val="bottom"/>
            <w:gridSpan w:val="1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12.2</w:t>
            </w:r>
          </w:p>
        </w:tc>
        <w:tc>
          <w:tcPr>
            <w:tcW w:w="120" w:type="dxa"/>
            <w:vAlign w:val="bottom"/>
          </w:tcPr>
          <w:p>
            <w:pPr>
              <w:spacing w:after="0"/>
              <w:rPr>
                <w:sz w:val="15"/>
                <w:szCs w:val="15"/>
                <w:color w:val="auto"/>
              </w:rPr>
            </w:pPr>
          </w:p>
        </w:tc>
        <w:tc>
          <w:tcPr>
            <w:tcW w:w="9820" w:type="dxa"/>
            <w:vAlign w:val="bottom"/>
            <w:gridSpan w:val="26"/>
          </w:tcPr>
          <w:p>
            <w:pPr>
              <w:spacing w:after="0" w:line="183" w:lineRule="exact"/>
              <w:rPr>
                <w:sz w:val="20"/>
                <w:szCs w:val="20"/>
                <w:color w:val="auto"/>
              </w:rPr>
            </w:pPr>
            <w:r>
              <w:rPr>
                <w:rFonts w:ascii="Georgia" w:cs="Georgia" w:eastAsia="Georgia" w:hAnsi="Georgia"/>
                <w:sz w:val="18"/>
                <w:szCs w:val="18"/>
                <w:color w:val="0000EE"/>
              </w:rPr>
              <w:t>Certification of the Chief Financial Officer (Principal Financial Officer) pursuant to Rule 13a-14(a) of the Securities</w:t>
            </w:r>
          </w:p>
        </w:tc>
      </w:tr>
      <w:tr>
        <w:trPr>
          <w:trHeight w:val="183"/>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80" w:type="dxa"/>
            <w:vAlign w:val="bottom"/>
            <w:tcBorders>
              <w:top w:val="single" w:sz="8" w:color="0000EE"/>
            </w:tcBorders>
            <w:gridSpan w:val="21"/>
          </w:tcPr>
          <w:p>
            <w:pPr>
              <w:spacing w:after="0" w:line="183" w:lineRule="exact"/>
              <w:rPr>
                <w:sz w:val="20"/>
                <w:szCs w:val="20"/>
                <w:color w:val="auto"/>
              </w:rPr>
            </w:pPr>
            <w:r>
              <w:rPr>
                <w:rFonts w:ascii="Georgia" w:cs="Georgia" w:eastAsia="Georgia" w:hAnsi="Georgia"/>
                <w:sz w:val="18"/>
                <w:szCs w:val="18"/>
                <w:color w:val="0000EE"/>
              </w:rPr>
              <w:t>Exchange Act, as amended</w:t>
            </w:r>
          </w:p>
        </w:tc>
        <w:tc>
          <w:tcPr>
            <w:tcW w:w="740" w:type="dxa"/>
            <w:vAlign w:val="bottom"/>
            <w:gridSpan w:val="5"/>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920" w:type="dxa"/>
            <w:vAlign w:val="bottom"/>
            <w:gridSpan w:val="1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2"/>
        </w:trPr>
        <w:tc>
          <w:tcPr>
            <w:tcW w:w="1300" w:type="dxa"/>
            <w:vAlign w:val="bottom"/>
          </w:tcPr>
          <w:p>
            <w:pPr>
              <w:spacing w:after="0" w:line="183" w:lineRule="exact"/>
              <w:rPr>
                <w:sz w:val="20"/>
                <w:szCs w:val="20"/>
                <w:color w:val="auto"/>
              </w:rPr>
            </w:pPr>
            <w:r>
              <w:rPr>
                <w:rFonts w:ascii="Georgia" w:cs="Georgia" w:eastAsia="Georgia" w:hAnsi="Georgia"/>
                <w:sz w:val="18"/>
                <w:szCs w:val="18"/>
                <w:color w:val="auto"/>
              </w:rPr>
              <w:t>13.1</w:t>
            </w:r>
          </w:p>
        </w:tc>
        <w:tc>
          <w:tcPr>
            <w:tcW w:w="120" w:type="dxa"/>
            <w:vAlign w:val="bottom"/>
          </w:tcPr>
          <w:p>
            <w:pPr>
              <w:spacing w:after="0"/>
              <w:rPr>
                <w:sz w:val="15"/>
                <w:szCs w:val="15"/>
                <w:color w:val="auto"/>
              </w:rPr>
            </w:pPr>
          </w:p>
        </w:tc>
        <w:tc>
          <w:tcPr>
            <w:tcW w:w="9620" w:type="dxa"/>
            <w:vAlign w:val="bottom"/>
            <w:tcBorders>
              <w:bottom w:val="single" w:sz="8" w:color="0000EE"/>
            </w:tcBorders>
            <w:gridSpan w:val="24"/>
          </w:tcPr>
          <w:p>
            <w:pPr>
              <w:spacing w:after="0" w:line="183" w:lineRule="exact"/>
              <w:rPr>
                <w:sz w:val="20"/>
                <w:szCs w:val="20"/>
                <w:color w:val="auto"/>
              </w:rPr>
            </w:pPr>
            <w:r>
              <w:rPr>
                <w:rFonts w:ascii="Georgia" w:cs="Georgia" w:eastAsia="Georgia" w:hAnsi="Georgia"/>
                <w:sz w:val="18"/>
                <w:szCs w:val="18"/>
                <w:color w:val="0000EE"/>
                <w:w w:val="99"/>
              </w:rPr>
              <w:t>Certification of the Chief Executive Officer and Chief Financial Officer pursuant to 18 U.S.C. 1350, as adopted pursuant to</w:t>
            </w:r>
          </w:p>
        </w:tc>
        <w:tc>
          <w:tcPr>
            <w:tcW w:w="200" w:type="dxa"/>
            <w:vAlign w:val="bottom"/>
            <w:gridSpan w:val="2"/>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20" w:type="dxa"/>
            <w:vAlign w:val="bottom"/>
            <w:gridSpan w:val="26"/>
          </w:tcPr>
          <w:p>
            <w:pPr>
              <w:spacing w:after="0" w:line="183" w:lineRule="exact"/>
              <w:rPr>
                <w:sz w:val="20"/>
                <w:szCs w:val="20"/>
                <w:color w:val="auto"/>
              </w:rPr>
            </w:pPr>
            <w:r>
              <w:rPr>
                <w:rFonts w:ascii="Georgia" w:cs="Georgia" w:eastAsia="Georgia" w:hAnsi="Georgia"/>
                <w:sz w:val="18"/>
                <w:szCs w:val="18"/>
                <w:color w:val="0000EE"/>
              </w:rPr>
              <w:t>Section 906 of the Sarbanes-Oxley Act of 2002</w:t>
            </w:r>
          </w:p>
        </w:tc>
      </w:tr>
      <w:tr>
        <w:trPr>
          <w:trHeight w:val="409"/>
        </w:trPr>
        <w:tc>
          <w:tcPr>
            <w:tcW w:w="1420" w:type="dxa"/>
            <w:vAlign w:val="bottom"/>
            <w:gridSpan w:val="2"/>
          </w:tcPr>
          <w:p>
            <w:pPr>
              <w:spacing w:after="0"/>
              <w:rPr>
                <w:sz w:val="20"/>
                <w:szCs w:val="20"/>
                <w:color w:val="auto"/>
              </w:rPr>
            </w:pPr>
            <w:r>
              <w:rPr>
                <w:rFonts w:ascii="Georgia" w:cs="Georgia" w:eastAsia="Georgia" w:hAnsi="Georgia"/>
                <w:sz w:val="18"/>
                <w:szCs w:val="18"/>
                <w:color w:val="auto"/>
              </w:rPr>
              <w:t>101.INS</w:t>
            </w:r>
          </w:p>
        </w:tc>
        <w:tc>
          <w:tcPr>
            <w:tcW w:w="3700" w:type="dxa"/>
            <w:vAlign w:val="bottom"/>
            <w:tcBorders>
              <w:top w:val="single" w:sz="8" w:color="0000EE"/>
            </w:tcBorders>
            <w:gridSpan w:val="7"/>
          </w:tcPr>
          <w:p>
            <w:pPr>
              <w:spacing w:after="0"/>
              <w:rPr>
                <w:sz w:val="20"/>
                <w:szCs w:val="20"/>
                <w:color w:val="auto"/>
              </w:rPr>
            </w:pPr>
            <w:r>
              <w:rPr>
                <w:rFonts w:ascii="Georgia" w:cs="Georgia" w:eastAsia="Georgia" w:hAnsi="Georgia"/>
                <w:sz w:val="18"/>
                <w:szCs w:val="18"/>
                <w:color w:val="auto"/>
              </w:rPr>
              <w:t>Inline XBRL Instance Document</w:t>
            </w:r>
          </w:p>
        </w:tc>
        <w:tc>
          <w:tcPr>
            <w:tcW w:w="6120" w:type="dxa"/>
            <w:vAlign w:val="bottom"/>
            <w:gridSpan w:val="19"/>
          </w:tcPr>
          <w:p>
            <w:pPr>
              <w:spacing w:after="0"/>
              <w:rPr>
                <w:sz w:val="24"/>
                <w:szCs w:val="24"/>
                <w:color w:val="auto"/>
              </w:rPr>
            </w:pPr>
          </w:p>
        </w:tc>
      </w:tr>
      <w:tr>
        <w:trPr>
          <w:trHeight w:val="405"/>
        </w:trPr>
        <w:tc>
          <w:tcPr>
            <w:tcW w:w="1420" w:type="dxa"/>
            <w:vAlign w:val="bottom"/>
            <w:gridSpan w:val="2"/>
          </w:tcPr>
          <w:p>
            <w:pPr>
              <w:spacing w:after="0"/>
              <w:rPr>
                <w:sz w:val="20"/>
                <w:szCs w:val="20"/>
                <w:color w:val="auto"/>
              </w:rPr>
            </w:pPr>
            <w:r>
              <w:rPr>
                <w:rFonts w:ascii="Georgia" w:cs="Georgia" w:eastAsia="Georgia" w:hAnsi="Georgia"/>
                <w:sz w:val="18"/>
                <w:szCs w:val="18"/>
                <w:color w:val="auto"/>
              </w:rPr>
              <w:t>101.SCH</w:t>
            </w:r>
          </w:p>
        </w:tc>
        <w:tc>
          <w:tcPr>
            <w:tcW w:w="9820" w:type="dxa"/>
            <w:vAlign w:val="bottom"/>
            <w:gridSpan w:val="26"/>
          </w:tcPr>
          <w:p>
            <w:pPr>
              <w:spacing w:after="0"/>
              <w:rPr>
                <w:sz w:val="20"/>
                <w:szCs w:val="20"/>
                <w:color w:val="auto"/>
              </w:rPr>
            </w:pPr>
            <w:r>
              <w:rPr>
                <w:rFonts w:ascii="Georgia" w:cs="Georgia" w:eastAsia="Georgia" w:hAnsi="Georgia"/>
                <w:sz w:val="18"/>
                <w:szCs w:val="18"/>
                <w:color w:val="auto"/>
              </w:rPr>
              <w:t>Inline XBRL Taxonomy Extension Schema Document</w:t>
            </w:r>
          </w:p>
        </w:tc>
      </w:tr>
      <w:tr>
        <w:trPr>
          <w:trHeight w:val="405"/>
        </w:trPr>
        <w:tc>
          <w:tcPr>
            <w:tcW w:w="1420" w:type="dxa"/>
            <w:vAlign w:val="bottom"/>
            <w:gridSpan w:val="2"/>
          </w:tcPr>
          <w:p>
            <w:pPr>
              <w:spacing w:after="0"/>
              <w:rPr>
                <w:sz w:val="20"/>
                <w:szCs w:val="20"/>
                <w:color w:val="auto"/>
              </w:rPr>
            </w:pPr>
            <w:r>
              <w:rPr>
                <w:rFonts w:ascii="Georgia" w:cs="Georgia" w:eastAsia="Georgia" w:hAnsi="Georgia"/>
                <w:sz w:val="18"/>
                <w:szCs w:val="18"/>
                <w:color w:val="auto"/>
              </w:rPr>
              <w:t>101.CAL</w:t>
            </w:r>
          </w:p>
        </w:tc>
        <w:tc>
          <w:tcPr>
            <w:tcW w:w="9820" w:type="dxa"/>
            <w:vAlign w:val="bottom"/>
            <w:gridSpan w:val="26"/>
          </w:tcPr>
          <w:p>
            <w:pPr>
              <w:spacing w:after="0"/>
              <w:rPr>
                <w:sz w:val="20"/>
                <w:szCs w:val="20"/>
                <w:color w:val="auto"/>
              </w:rPr>
            </w:pPr>
            <w:r>
              <w:rPr>
                <w:rFonts w:ascii="Georgia" w:cs="Georgia" w:eastAsia="Georgia" w:hAnsi="Georgia"/>
                <w:sz w:val="18"/>
                <w:szCs w:val="18"/>
                <w:color w:val="auto"/>
              </w:rPr>
              <w:t>Inline XBRL Taxonomy Extension Calculation Linkbase Document</w:t>
            </w:r>
          </w:p>
        </w:tc>
      </w:tr>
      <w:tr>
        <w:trPr>
          <w:trHeight w:val="405"/>
        </w:trPr>
        <w:tc>
          <w:tcPr>
            <w:tcW w:w="1420" w:type="dxa"/>
            <w:vAlign w:val="bottom"/>
            <w:gridSpan w:val="2"/>
          </w:tcPr>
          <w:p>
            <w:pPr>
              <w:spacing w:after="0"/>
              <w:rPr>
                <w:sz w:val="20"/>
                <w:szCs w:val="20"/>
                <w:color w:val="auto"/>
              </w:rPr>
            </w:pPr>
            <w:r>
              <w:rPr>
                <w:rFonts w:ascii="Georgia" w:cs="Georgia" w:eastAsia="Georgia" w:hAnsi="Georgia"/>
                <w:sz w:val="18"/>
                <w:szCs w:val="18"/>
                <w:color w:val="auto"/>
              </w:rPr>
              <w:t>101.DEF</w:t>
            </w:r>
          </w:p>
        </w:tc>
        <w:tc>
          <w:tcPr>
            <w:tcW w:w="9820" w:type="dxa"/>
            <w:vAlign w:val="bottom"/>
            <w:gridSpan w:val="26"/>
          </w:tcPr>
          <w:p>
            <w:pPr>
              <w:spacing w:after="0"/>
              <w:rPr>
                <w:sz w:val="20"/>
                <w:szCs w:val="20"/>
                <w:color w:val="auto"/>
              </w:rPr>
            </w:pPr>
            <w:r>
              <w:rPr>
                <w:rFonts w:ascii="Georgia" w:cs="Georgia" w:eastAsia="Georgia" w:hAnsi="Georgia"/>
                <w:sz w:val="18"/>
                <w:szCs w:val="18"/>
                <w:color w:val="auto"/>
              </w:rPr>
              <w:t>Inline XBRL Taxonomy Extension Definition Linkbase Document</w:t>
            </w:r>
          </w:p>
        </w:tc>
      </w:tr>
      <w:tr>
        <w:trPr>
          <w:trHeight w:val="405"/>
        </w:trPr>
        <w:tc>
          <w:tcPr>
            <w:tcW w:w="1420" w:type="dxa"/>
            <w:vAlign w:val="bottom"/>
            <w:gridSpan w:val="2"/>
          </w:tcPr>
          <w:p>
            <w:pPr>
              <w:spacing w:after="0"/>
              <w:rPr>
                <w:sz w:val="20"/>
                <w:szCs w:val="20"/>
                <w:color w:val="auto"/>
              </w:rPr>
            </w:pPr>
            <w:r>
              <w:rPr>
                <w:rFonts w:ascii="Georgia" w:cs="Georgia" w:eastAsia="Georgia" w:hAnsi="Georgia"/>
                <w:sz w:val="18"/>
                <w:szCs w:val="18"/>
                <w:color w:val="auto"/>
              </w:rPr>
              <w:t>101.LAB</w:t>
            </w:r>
          </w:p>
        </w:tc>
        <w:tc>
          <w:tcPr>
            <w:tcW w:w="9820" w:type="dxa"/>
            <w:vAlign w:val="bottom"/>
            <w:gridSpan w:val="26"/>
          </w:tcPr>
          <w:p>
            <w:pPr>
              <w:spacing w:after="0"/>
              <w:rPr>
                <w:sz w:val="20"/>
                <w:szCs w:val="20"/>
                <w:color w:val="auto"/>
              </w:rPr>
            </w:pPr>
            <w:r>
              <w:rPr>
                <w:rFonts w:ascii="Georgia" w:cs="Georgia" w:eastAsia="Georgia" w:hAnsi="Georgia"/>
                <w:sz w:val="18"/>
                <w:szCs w:val="18"/>
                <w:color w:val="auto"/>
              </w:rPr>
              <w:t>Inline XBRL Taxonomy Extension Label Linkbase Document</w:t>
            </w:r>
          </w:p>
        </w:tc>
      </w:tr>
      <w:tr>
        <w:trPr>
          <w:trHeight w:val="405"/>
        </w:trPr>
        <w:tc>
          <w:tcPr>
            <w:tcW w:w="1420" w:type="dxa"/>
            <w:vAlign w:val="bottom"/>
            <w:gridSpan w:val="2"/>
          </w:tcPr>
          <w:p>
            <w:pPr>
              <w:spacing w:after="0"/>
              <w:rPr>
                <w:sz w:val="20"/>
                <w:szCs w:val="20"/>
                <w:color w:val="auto"/>
              </w:rPr>
            </w:pPr>
            <w:r>
              <w:rPr>
                <w:rFonts w:ascii="Georgia" w:cs="Georgia" w:eastAsia="Georgia" w:hAnsi="Georgia"/>
                <w:sz w:val="18"/>
                <w:szCs w:val="18"/>
                <w:color w:val="auto"/>
              </w:rPr>
              <w:t>101.PRE</w:t>
            </w:r>
          </w:p>
        </w:tc>
        <w:tc>
          <w:tcPr>
            <w:tcW w:w="9820" w:type="dxa"/>
            <w:vAlign w:val="bottom"/>
            <w:gridSpan w:val="26"/>
          </w:tcPr>
          <w:p>
            <w:pPr>
              <w:spacing w:after="0"/>
              <w:rPr>
                <w:sz w:val="20"/>
                <w:szCs w:val="20"/>
                <w:color w:val="auto"/>
              </w:rPr>
            </w:pPr>
            <w:r>
              <w:rPr>
                <w:rFonts w:ascii="Georgia" w:cs="Georgia" w:eastAsia="Georgia" w:hAnsi="Georgia"/>
                <w:sz w:val="18"/>
                <w:szCs w:val="18"/>
                <w:color w:val="auto"/>
              </w:rPr>
              <w:t>Inline XBRL Taxonomy Extension Presentation Linkbase Document</w:t>
            </w:r>
          </w:p>
        </w:tc>
      </w:tr>
      <w:tr>
        <w:trPr>
          <w:trHeight w:val="405"/>
        </w:trPr>
        <w:tc>
          <w:tcPr>
            <w:tcW w:w="1300" w:type="dxa"/>
            <w:vAlign w:val="bottom"/>
          </w:tcPr>
          <w:p>
            <w:pPr>
              <w:spacing w:after="0"/>
              <w:rPr>
                <w:sz w:val="20"/>
                <w:szCs w:val="20"/>
                <w:color w:val="auto"/>
              </w:rPr>
            </w:pPr>
            <w:r>
              <w:rPr>
                <w:rFonts w:ascii="Georgia" w:cs="Georgia" w:eastAsia="Georgia" w:hAnsi="Georgia"/>
                <w:sz w:val="18"/>
                <w:szCs w:val="18"/>
                <w:color w:val="auto"/>
              </w:rPr>
              <w:t>104</w:t>
            </w:r>
          </w:p>
        </w:tc>
        <w:tc>
          <w:tcPr>
            <w:tcW w:w="120" w:type="dxa"/>
            <w:vAlign w:val="bottom"/>
          </w:tcPr>
          <w:p>
            <w:pPr>
              <w:spacing w:after="0"/>
              <w:rPr>
                <w:sz w:val="24"/>
                <w:szCs w:val="24"/>
                <w:color w:val="auto"/>
              </w:rPr>
            </w:pPr>
          </w:p>
        </w:tc>
        <w:tc>
          <w:tcPr>
            <w:tcW w:w="9820" w:type="dxa"/>
            <w:vAlign w:val="bottom"/>
            <w:gridSpan w:val="26"/>
          </w:tcPr>
          <w:p>
            <w:pPr>
              <w:spacing w:after="0"/>
              <w:rPr>
                <w:sz w:val="20"/>
                <w:szCs w:val="20"/>
                <w:color w:val="auto"/>
              </w:rPr>
            </w:pPr>
            <w:r>
              <w:rPr>
                <w:rFonts w:ascii="Georgia" w:cs="Georgia" w:eastAsia="Georgia" w:hAnsi="Georgia"/>
                <w:sz w:val="18"/>
                <w:szCs w:val="18"/>
                <w:color w:val="auto"/>
              </w:rPr>
              <w:t>Cover Page Interactive Data File (formatted as Inline XBRL and contained in Exhibit 101).</w:t>
            </w:r>
          </w:p>
        </w:tc>
      </w:tr>
    </w:tbl>
    <w:p>
      <w:pPr>
        <w:spacing w:after="0" w:line="200" w:lineRule="exact"/>
        <w:rPr>
          <w:sz w:val="20"/>
          <w:szCs w:val="20"/>
          <w:color w:val="auto"/>
        </w:rPr>
      </w:pPr>
    </w:p>
    <w:p>
      <w:pPr>
        <w:ind w:left="140" w:hanging="132"/>
        <w:spacing w:after="0"/>
        <w:tabs>
          <w:tab w:leader="none" w:pos="140" w:val="left"/>
        </w:tabs>
        <w:numPr>
          <w:ilvl w:val="0"/>
          <w:numId w:val="101"/>
        </w:numPr>
        <w:rPr>
          <w:rFonts w:ascii="Georgia" w:cs="Georgia" w:eastAsia="Georgia" w:hAnsi="Georgia"/>
          <w:sz w:val="18"/>
          <w:szCs w:val="18"/>
          <w:color w:val="auto"/>
        </w:rPr>
      </w:pPr>
      <w:r>
        <w:rPr>
          <w:rFonts w:ascii="Georgia" w:cs="Georgia" w:eastAsia="Georgia" w:hAnsi="Georgia"/>
          <w:sz w:val="18"/>
          <w:szCs w:val="18"/>
          <w:color w:val="auto"/>
        </w:rPr>
        <w:t>Incorporated by reference to the registration statement on Form F-1 of the Registrant (File No. 333-260923).</w:t>
      </w:r>
    </w:p>
    <w:p>
      <w:pPr>
        <w:spacing w:after="0" w:line="200" w:lineRule="exact"/>
        <w:rPr>
          <w:rFonts w:ascii="Georgia" w:cs="Georgia" w:eastAsia="Georgia" w:hAnsi="Georgia"/>
          <w:sz w:val="18"/>
          <w:szCs w:val="18"/>
          <w:color w:val="auto"/>
        </w:rPr>
      </w:pPr>
    </w:p>
    <w:p>
      <w:pPr>
        <w:spacing w:after="0"/>
        <w:rPr>
          <w:rFonts w:ascii="Georgia" w:cs="Georgia" w:eastAsia="Georgia" w:hAnsi="Georgia"/>
          <w:sz w:val="18"/>
          <w:szCs w:val="18"/>
          <w:color w:val="auto"/>
        </w:rPr>
      </w:pPr>
      <w:r>
        <w:rPr>
          <w:rFonts w:ascii="Georgia" w:cs="Georgia" w:eastAsia="Georgia" w:hAnsi="Georgia"/>
          <w:sz w:val="18"/>
          <w:szCs w:val="18"/>
          <w:color w:val="auto"/>
        </w:rPr>
        <w:t>† Portions of this exhibit (indicated with markouts) have been redacted in accordance with Item 601(b)(10)(iv).</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64" w:gutter="0" w:footer="0" w:header="0"/>
        </w:sectPr>
      </w:pPr>
    </w:p>
    <w:bookmarkStart w:id="138" w:name="page139"/>
    <w:bookmarkEnd w:id="138"/>
    <w:p>
      <w:pPr>
        <w:jc w:val="center"/>
        <w:spacing w:after="0"/>
        <w:rPr>
          <w:sz w:val="20"/>
          <w:szCs w:val="20"/>
          <w:color w:val="auto"/>
        </w:rPr>
      </w:pPr>
      <w:r>
        <w:rPr>
          <w:rFonts w:ascii="Georgia" w:cs="Georgia" w:eastAsia="Georgia" w:hAnsi="Georgia"/>
          <w:sz w:val="18"/>
          <w:szCs w:val="18"/>
          <w:b w:val="1"/>
          <w:bCs w:val="1"/>
          <w:color w:val="auto"/>
        </w:rPr>
        <w:t>SIGNATURES</w:t>
      </w:r>
    </w:p>
    <w:p>
      <w:pPr>
        <w:spacing w:after="0" w:line="202"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gridSpan w:val="2"/>
          </w:tcPr>
          <w:p>
            <w:pPr>
              <w:spacing w:after="0"/>
              <w:rPr>
                <w:sz w:val="20"/>
                <w:szCs w:val="20"/>
                <w:color w:val="auto"/>
              </w:rPr>
            </w:pPr>
            <w:r>
              <w:rPr>
                <w:rFonts w:ascii="Georgia" w:cs="Georgia" w:eastAsia="Georgia" w:hAnsi="Georgia"/>
                <w:sz w:val="18"/>
                <w:szCs w:val="18"/>
                <w:b w:val="1"/>
                <w:bCs w:val="1"/>
                <w:color w:val="auto"/>
              </w:rPr>
              <w:t>GENENTA SCIENCE S.P.A.</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428"/>
        </w:trPr>
        <w:tc>
          <w:tcPr>
            <w:tcW w:w="5460" w:type="dxa"/>
            <w:vAlign w:val="bottom"/>
            <w:gridSpan w:val="2"/>
          </w:tcPr>
          <w:p>
            <w:pPr>
              <w:spacing w:after="0"/>
              <w:rPr>
                <w:sz w:val="20"/>
                <w:szCs w:val="20"/>
                <w:color w:val="auto"/>
              </w:rPr>
            </w:pPr>
            <w:r>
              <w:rPr>
                <w:rFonts w:ascii="Georgia" w:cs="Georgia" w:eastAsia="Georgia" w:hAnsi="Georgia"/>
                <w:sz w:val="18"/>
                <w:szCs w:val="18"/>
                <w:b w:val="1"/>
                <w:bCs w:val="1"/>
                <w:color w:val="auto"/>
              </w:rPr>
              <w:t xml:space="preserve">By:   </w:t>
            </w:r>
            <w:r>
              <w:rPr>
                <w:rFonts w:ascii="Georgia" w:cs="Georgia" w:eastAsia="Georgia" w:hAnsi="Georgia"/>
                <w:sz w:val="18"/>
                <w:szCs w:val="18"/>
                <w:b w:val="1"/>
                <w:bCs w:val="1"/>
                <w:i w:val="1"/>
                <w:iCs w:val="1"/>
                <w:color w:val="auto"/>
              </w:rPr>
              <w:t>/s/ Pierluigi Paracchi</w:t>
            </w:r>
          </w:p>
        </w:tc>
        <w:tc>
          <w:tcPr>
            <w:tcW w:w="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Georgia" w:cs="Georgia" w:eastAsia="Georgia" w:hAnsi="Georgia"/>
                <w:sz w:val="18"/>
                <w:szCs w:val="18"/>
                <w:b w:val="1"/>
                <w:bCs w:val="1"/>
                <w:color w:val="auto"/>
              </w:rPr>
              <w:t>By:</w:t>
            </w:r>
          </w:p>
        </w:tc>
        <w:tc>
          <w:tcPr>
            <w:tcW w:w="4900" w:type="dxa"/>
            <w:vAlign w:val="bottom"/>
          </w:tcPr>
          <w:p>
            <w:pPr>
              <w:spacing w:after="0"/>
              <w:rPr>
                <w:sz w:val="20"/>
                <w:szCs w:val="20"/>
                <w:color w:val="auto"/>
              </w:rPr>
            </w:pPr>
            <w:r>
              <w:rPr>
                <w:rFonts w:ascii="Georgia" w:cs="Georgia" w:eastAsia="Georgia" w:hAnsi="Georgia"/>
                <w:sz w:val="18"/>
                <w:szCs w:val="18"/>
                <w:b w:val="1"/>
                <w:bCs w:val="1"/>
                <w:i w:val="1"/>
                <w:iCs w:val="1"/>
                <w:color w:val="auto"/>
              </w:rPr>
              <w:t>/s/ Richard B. Slansky</w:t>
            </w:r>
          </w:p>
        </w:tc>
      </w:tr>
      <w:tr>
        <w:trPr>
          <w:trHeight w:val="199"/>
        </w:trPr>
        <w:tc>
          <w:tcPr>
            <w:tcW w:w="620" w:type="dxa"/>
            <w:vAlign w:val="bottom"/>
          </w:tcPr>
          <w:p>
            <w:pPr>
              <w:spacing w:after="0" w:line="186" w:lineRule="exact"/>
              <w:rPr>
                <w:sz w:val="20"/>
                <w:szCs w:val="20"/>
                <w:color w:val="auto"/>
              </w:rPr>
            </w:pPr>
            <w:r>
              <w:rPr>
                <w:rFonts w:ascii="Georgia" w:cs="Georgia" w:eastAsia="Georgia" w:hAnsi="Georgia"/>
                <w:sz w:val="18"/>
                <w:szCs w:val="18"/>
                <w:b w:val="1"/>
                <w:bCs w:val="1"/>
                <w:color w:val="auto"/>
                <w:w w:val="98"/>
              </w:rPr>
              <w:t>Name:</w:t>
            </w:r>
          </w:p>
        </w:tc>
        <w:tc>
          <w:tcPr>
            <w:tcW w:w="484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b w:val="1"/>
                <w:bCs w:val="1"/>
                <w:color w:val="auto"/>
              </w:rPr>
              <w:t>Pierluigi Paracchi</w:t>
            </w:r>
          </w:p>
        </w:tc>
        <w:tc>
          <w:tcPr>
            <w:tcW w:w="40" w:type="dxa"/>
            <w:vAlign w:val="bottom"/>
            <w:tcBorders>
              <w:top w:val="single" w:sz="8" w:color="auto"/>
            </w:tcBorders>
          </w:tcPr>
          <w:p>
            <w:pPr>
              <w:spacing w:after="0"/>
              <w:rPr>
                <w:sz w:val="17"/>
                <w:szCs w:val="17"/>
                <w:color w:val="auto"/>
              </w:rPr>
            </w:pPr>
          </w:p>
        </w:tc>
        <w:tc>
          <w:tcPr>
            <w:tcW w:w="840" w:type="dxa"/>
            <w:vAlign w:val="bottom"/>
          </w:tcPr>
          <w:p>
            <w:pPr>
              <w:ind w:left="220"/>
              <w:spacing w:after="0" w:line="186" w:lineRule="exact"/>
              <w:rPr>
                <w:sz w:val="20"/>
                <w:szCs w:val="20"/>
                <w:color w:val="auto"/>
              </w:rPr>
            </w:pPr>
            <w:r>
              <w:rPr>
                <w:rFonts w:ascii="Georgia" w:cs="Georgia" w:eastAsia="Georgia" w:hAnsi="Georgia"/>
                <w:sz w:val="18"/>
                <w:szCs w:val="18"/>
                <w:b w:val="1"/>
                <w:bCs w:val="1"/>
                <w:color w:val="auto"/>
                <w:w w:val="98"/>
              </w:rPr>
              <w:t>Name:</w:t>
            </w:r>
          </w:p>
        </w:tc>
        <w:tc>
          <w:tcPr>
            <w:tcW w:w="4900" w:type="dxa"/>
            <w:vAlign w:val="bottom"/>
            <w:tcBorders>
              <w:top w:val="single" w:sz="8" w:color="auto"/>
            </w:tcBorders>
          </w:tcPr>
          <w:p>
            <w:pPr>
              <w:spacing w:after="0" w:line="200" w:lineRule="exact"/>
              <w:rPr>
                <w:sz w:val="20"/>
                <w:szCs w:val="20"/>
                <w:color w:val="auto"/>
              </w:rPr>
            </w:pPr>
            <w:r>
              <w:rPr>
                <w:rFonts w:ascii="Georgia" w:cs="Georgia" w:eastAsia="Georgia" w:hAnsi="Georgia"/>
                <w:sz w:val="18"/>
                <w:szCs w:val="18"/>
                <w:b w:val="1"/>
                <w:bCs w:val="1"/>
                <w:color w:val="auto"/>
              </w:rPr>
              <w:t>Richard B. Slansky</w:t>
            </w:r>
          </w:p>
        </w:tc>
      </w:tr>
      <w:tr>
        <w:trPr>
          <w:trHeight w:val="203"/>
        </w:trPr>
        <w:tc>
          <w:tcPr>
            <w:tcW w:w="5460" w:type="dxa"/>
            <w:vAlign w:val="bottom"/>
            <w:gridSpan w:val="2"/>
          </w:tcPr>
          <w:p>
            <w:pPr>
              <w:spacing w:after="0" w:line="202" w:lineRule="exact"/>
              <w:rPr>
                <w:sz w:val="20"/>
                <w:szCs w:val="20"/>
                <w:color w:val="auto"/>
              </w:rPr>
            </w:pPr>
            <w:r>
              <w:rPr>
                <w:rFonts w:ascii="Georgia" w:cs="Georgia" w:eastAsia="Georgia" w:hAnsi="Georgia"/>
                <w:sz w:val="18"/>
                <w:szCs w:val="18"/>
                <w:b w:val="1"/>
                <w:bCs w:val="1"/>
                <w:color w:val="auto"/>
              </w:rPr>
              <w:t>Title: Chief Executive Officer (Principal Executive Officer)</w:t>
            </w:r>
          </w:p>
        </w:tc>
        <w:tc>
          <w:tcPr>
            <w:tcW w:w="40" w:type="dxa"/>
            <w:vAlign w:val="bottom"/>
          </w:tcPr>
          <w:p>
            <w:pPr>
              <w:spacing w:after="0"/>
              <w:rPr>
                <w:sz w:val="17"/>
                <w:szCs w:val="17"/>
                <w:color w:val="auto"/>
              </w:rPr>
            </w:pPr>
          </w:p>
        </w:tc>
        <w:tc>
          <w:tcPr>
            <w:tcW w:w="5740" w:type="dxa"/>
            <w:vAlign w:val="bottom"/>
            <w:gridSpan w:val="2"/>
          </w:tcPr>
          <w:p>
            <w:pPr>
              <w:ind w:left="220"/>
              <w:spacing w:after="0" w:line="202" w:lineRule="exact"/>
              <w:rPr>
                <w:sz w:val="20"/>
                <w:szCs w:val="20"/>
                <w:color w:val="auto"/>
              </w:rPr>
            </w:pPr>
            <w:r>
              <w:rPr>
                <w:rFonts w:ascii="Georgia" w:cs="Georgia" w:eastAsia="Georgia" w:hAnsi="Georgia"/>
                <w:sz w:val="18"/>
                <w:szCs w:val="18"/>
                <w:b w:val="1"/>
                <w:bCs w:val="1"/>
                <w:color w:val="auto"/>
              </w:rPr>
              <w:t>Title: Chief Financial Officer (Principal Financial and</w:t>
            </w:r>
          </w:p>
        </w:tc>
      </w:tr>
      <w:tr>
        <w:trPr>
          <w:trHeight w:val="203"/>
        </w:trPr>
        <w:tc>
          <w:tcPr>
            <w:tcW w:w="6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Georgia" w:cs="Georgia" w:eastAsia="Georgia" w:hAnsi="Georgia"/>
                <w:sz w:val="18"/>
                <w:szCs w:val="18"/>
                <w:b w:val="1"/>
                <w:bCs w:val="1"/>
                <w:color w:val="auto"/>
              </w:rPr>
              <w:t>Accounting Officer)</w:t>
            </w:r>
          </w:p>
        </w:tc>
      </w:tr>
      <w:tr>
        <w:trPr>
          <w:trHeight w:val="203"/>
        </w:trPr>
        <w:tc>
          <w:tcPr>
            <w:tcW w:w="5460" w:type="dxa"/>
            <w:vAlign w:val="bottom"/>
            <w:gridSpan w:val="2"/>
          </w:tcPr>
          <w:p>
            <w:pPr>
              <w:spacing w:after="0" w:line="203" w:lineRule="exact"/>
              <w:rPr>
                <w:sz w:val="20"/>
                <w:szCs w:val="20"/>
                <w:color w:val="auto"/>
              </w:rPr>
            </w:pPr>
            <w:r>
              <w:rPr>
                <w:rFonts w:ascii="Georgia" w:cs="Georgia" w:eastAsia="Georgia" w:hAnsi="Georgia"/>
                <w:sz w:val="18"/>
                <w:szCs w:val="18"/>
                <w:b w:val="1"/>
                <w:bCs w:val="1"/>
                <w:color w:val="auto"/>
              </w:rPr>
              <w:t>Date: May 2, 2022</w:t>
            </w:r>
          </w:p>
        </w:tc>
        <w:tc>
          <w:tcPr>
            <w:tcW w:w="40" w:type="dxa"/>
            <w:vAlign w:val="bottom"/>
          </w:tcPr>
          <w:p>
            <w:pPr>
              <w:spacing w:after="0"/>
              <w:rPr>
                <w:sz w:val="17"/>
                <w:szCs w:val="17"/>
                <w:color w:val="auto"/>
              </w:rPr>
            </w:pPr>
          </w:p>
        </w:tc>
        <w:tc>
          <w:tcPr>
            <w:tcW w:w="5740" w:type="dxa"/>
            <w:vAlign w:val="bottom"/>
            <w:gridSpan w:val="2"/>
          </w:tcPr>
          <w:p>
            <w:pPr>
              <w:ind w:left="220"/>
              <w:spacing w:after="0" w:line="203" w:lineRule="exact"/>
              <w:rPr>
                <w:sz w:val="20"/>
                <w:szCs w:val="20"/>
                <w:color w:val="auto"/>
              </w:rPr>
            </w:pPr>
            <w:r>
              <w:rPr>
                <w:rFonts w:ascii="Georgia" w:cs="Georgia" w:eastAsia="Georgia" w:hAnsi="Georgia"/>
                <w:sz w:val="18"/>
                <w:szCs w:val="18"/>
                <w:b w:val="1"/>
                <w:bCs w:val="1"/>
                <w:color w:val="auto"/>
              </w:rPr>
              <w:t>Date: May 2, 2022</w:t>
            </w:r>
          </w:p>
        </w:tc>
      </w:tr>
      <w:tr>
        <w:trPr>
          <w:trHeight w:val="428"/>
        </w:trPr>
        <w:tc>
          <w:tcPr>
            <w:tcW w:w="6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135</w:t>
            </w: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tcPr>
          <w:p>
            <w:pPr>
              <w:spacing w:after="0"/>
              <w:rPr>
                <w:sz w:val="17"/>
                <w:szCs w:val="17"/>
                <w:color w:val="auto"/>
              </w:rPr>
            </w:pPr>
          </w:p>
        </w:tc>
        <w:tc>
          <w:tcPr>
            <w:tcW w:w="7980" w:type="dxa"/>
            <w:vAlign w:val="bottom"/>
            <w:gridSpan w:val="6"/>
          </w:tcPr>
          <w:p>
            <w:pPr>
              <w:jc w:val="center"/>
              <w:ind w:right="1280"/>
              <w:spacing w:after="0"/>
              <w:rPr>
                <w:sz w:val="20"/>
                <w:szCs w:val="20"/>
                <w:color w:val="auto"/>
              </w:rPr>
            </w:pPr>
            <w:r>
              <w:rPr>
                <w:rFonts w:ascii="Georgia" w:cs="Georgia" w:eastAsia="Georgia" w:hAnsi="Georgia"/>
                <w:sz w:val="18"/>
                <w:szCs w:val="18"/>
                <w:b w:val="1"/>
                <w:bCs w:val="1"/>
                <w:color w:val="auto"/>
              </w:rPr>
              <w:t>INDEX TO CONSOLIDATED FINANCIAL STATEMENTS</w:t>
            </w:r>
          </w:p>
        </w:tc>
        <w:tc>
          <w:tcPr>
            <w:tcW w:w="980" w:type="dxa"/>
            <w:vAlign w:val="bottom"/>
          </w:tcPr>
          <w:p>
            <w:pPr>
              <w:spacing w:after="0"/>
              <w:rPr>
                <w:sz w:val="17"/>
                <w:szCs w:val="17"/>
                <w:color w:val="auto"/>
              </w:rPr>
            </w:pPr>
          </w:p>
        </w:tc>
      </w:tr>
      <w:tr>
        <w:trPr>
          <w:trHeight w:val="428"/>
        </w:trPr>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9"/>
              </w:rPr>
              <w:t>Page</w:t>
            </w:r>
          </w:p>
        </w:tc>
      </w:tr>
      <w:tr>
        <w:trPr>
          <w:trHeight w:val="203"/>
        </w:trPr>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10260" w:type="dxa"/>
            <w:vAlign w:val="bottom"/>
            <w:gridSpan w:val="7"/>
            <w:shd w:val="clear" w:color="auto" w:fill="CCEEFF"/>
          </w:tcPr>
          <w:p>
            <w:pPr>
              <w:spacing w:after="0" w:line="175" w:lineRule="exact"/>
              <w:rPr>
                <w:sz w:val="20"/>
                <w:szCs w:val="20"/>
                <w:color w:val="auto"/>
              </w:rPr>
            </w:pPr>
            <w:r>
              <w:rPr>
                <w:rFonts w:ascii="Georgia" w:cs="Georgia" w:eastAsia="Georgia" w:hAnsi="Georgia"/>
                <w:sz w:val="18"/>
                <w:szCs w:val="18"/>
                <w:color w:val="0000EE"/>
              </w:rPr>
              <w:t>Report of Independent Registered Public Accounting Firm</w:t>
            </w:r>
            <w:r>
              <w:rPr>
                <w:rFonts w:ascii="Georgia" w:cs="Georgia" w:eastAsia="Georgia" w:hAnsi="Georgia"/>
                <w:sz w:val="18"/>
                <w:szCs w:val="18"/>
                <w:color w:val="000000"/>
              </w:rPr>
              <w:t>(PCAOB ID:199)</w:t>
            </w:r>
          </w:p>
        </w:tc>
        <w:tc>
          <w:tcPr>
            <w:tcW w:w="98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F-2</w:t>
            </w:r>
          </w:p>
        </w:tc>
      </w:tr>
      <w:tr>
        <w:trPr>
          <w:trHeight w:val="27"/>
        </w:trPr>
        <w:tc>
          <w:tcPr>
            <w:tcW w:w="228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183"/>
        </w:trPr>
        <w:tc>
          <w:tcPr>
            <w:tcW w:w="10260" w:type="dxa"/>
            <w:vAlign w:val="bottom"/>
            <w:gridSpan w:val="7"/>
          </w:tcPr>
          <w:p>
            <w:pPr>
              <w:spacing w:after="0" w:line="175" w:lineRule="exact"/>
              <w:rPr>
                <w:sz w:val="20"/>
                <w:szCs w:val="20"/>
                <w:color w:val="auto"/>
              </w:rPr>
            </w:pPr>
            <w:r>
              <w:rPr>
                <w:rFonts w:ascii="Georgia" w:cs="Georgia" w:eastAsia="Georgia" w:hAnsi="Georgia"/>
                <w:sz w:val="18"/>
                <w:szCs w:val="18"/>
                <w:color w:val="0000EE"/>
              </w:rPr>
              <w:t>Consolidated Statements of Operations and Comprehensive Loss</w:t>
            </w:r>
          </w:p>
        </w:tc>
        <w:tc>
          <w:tcPr>
            <w:tcW w:w="980" w:type="dxa"/>
            <w:vAlign w:val="bottom"/>
          </w:tcPr>
          <w:p>
            <w:pPr>
              <w:jc w:val="center"/>
              <w:spacing w:after="0" w:line="175" w:lineRule="exact"/>
              <w:rPr>
                <w:sz w:val="20"/>
                <w:szCs w:val="20"/>
                <w:color w:val="auto"/>
              </w:rPr>
            </w:pPr>
            <w:r>
              <w:rPr>
                <w:rFonts w:ascii="Georgia" w:cs="Georgia" w:eastAsia="Georgia" w:hAnsi="Georgia"/>
                <w:sz w:val="18"/>
                <w:szCs w:val="18"/>
                <w:color w:val="auto"/>
              </w:rPr>
              <w:t>F-3</w:t>
            </w:r>
          </w:p>
        </w:tc>
      </w:tr>
      <w:tr>
        <w:trPr>
          <w:trHeight w:val="176"/>
        </w:trPr>
        <w:tc>
          <w:tcPr>
            <w:tcW w:w="5140" w:type="dxa"/>
            <w:vAlign w:val="bottom"/>
            <w:tcBorders>
              <w:top w:val="single" w:sz="8" w:color="0000EE"/>
            </w:tcBorders>
            <w:gridSpan w:val="5"/>
            <w:shd w:val="clear" w:color="auto" w:fill="CCEEFF"/>
          </w:tcPr>
          <w:p>
            <w:pPr>
              <w:spacing w:after="0" w:line="175" w:lineRule="exact"/>
              <w:rPr>
                <w:sz w:val="20"/>
                <w:szCs w:val="20"/>
                <w:color w:val="auto"/>
              </w:rPr>
            </w:pPr>
            <w:r>
              <w:rPr>
                <w:rFonts w:ascii="Georgia" w:cs="Georgia" w:eastAsia="Georgia" w:hAnsi="Georgia"/>
                <w:sz w:val="18"/>
                <w:szCs w:val="18"/>
                <w:color w:val="0000EE"/>
              </w:rPr>
              <w:t>Consolidated Balance Sheets</w:t>
            </w:r>
          </w:p>
        </w:tc>
        <w:tc>
          <w:tcPr>
            <w:tcW w:w="5120" w:type="dxa"/>
            <w:vAlign w:val="bottom"/>
            <w:gridSpan w:val="2"/>
            <w:shd w:val="clear" w:color="auto" w:fill="CCEEFF"/>
          </w:tcPr>
          <w:p>
            <w:pPr>
              <w:spacing w:after="0"/>
              <w:rPr>
                <w:sz w:val="15"/>
                <w:szCs w:val="15"/>
                <w:color w:val="auto"/>
              </w:rPr>
            </w:pPr>
          </w:p>
        </w:tc>
        <w:tc>
          <w:tcPr>
            <w:tcW w:w="980" w:type="dxa"/>
            <w:vAlign w:val="bottom"/>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F-4</w:t>
            </w:r>
          </w:p>
        </w:tc>
      </w:tr>
      <w:tr>
        <w:trPr>
          <w:trHeight w:val="27"/>
        </w:trPr>
        <w:tc>
          <w:tcPr>
            <w:tcW w:w="2280" w:type="dxa"/>
            <w:vAlign w:val="bottom"/>
            <w:shd w:val="clear" w:color="auto" w:fill="0000EE"/>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183"/>
        </w:trPr>
        <w:tc>
          <w:tcPr>
            <w:tcW w:w="10260" w:type="dxa"/>
            <w:vAlign w:val="bottom"/>
            <w:gridSpan w:val="7"/>
          </w:tcPr>
          <w:p>
            <w:pPr>
              <w:spacing w:after="0" w:line="175" w:lineRule="exact"/>
              <w:rPr>
                <w:sz w:val="20"/>
                <w:szCs w:val="20"/>
                <w:color w:val="auto"/>
              </w:rPr>
            </w:pPr>
            <w:r>
              <w:rPr>
                <w:rFonts w:ascii="Georgia" w:cs="Georgia" w:eastAsia="Georgia" w:hAnsi="Georgia"/>
                <w:sz w:val="18"/>
                <w:szCs w:val="18"/>
                <w:color w:val="0000EE"/>
              </w:rPr>
              <w:t>Consolidated Statements of Changes in Quotaholders’ and Stockholders’ Equity</w:t>
            </w:r>
          </w:p>
        </w:tc>
        <w:tc>
          <w:tcPr>
            <w:tcW w:w="980" w:type="dxa"/>
            <w:vAlign w:val="bottom"/>
          </w:tcPr>
          <w:p>
            <w:pPr>
              <w:jc w:val="center"/>
              <w:spacing w:after="0" w:line="175" w:lineRule="exact"/>
              <w:rPr>
                <w:sz w:val="20"/>
                <w:szCs w:val="20"/>
                <w:color w:val="auto"/>
              </w:rPr>
            </w:pPr>
            <w:r>
              <w:rPr>
                <w:rFonts w:ascii="Georgia" w:cs="Georgia" w:eastAsia="Georgia" w:hAnsi="Georgia"/>
                <w:sz w:val="18"/>
                <w:szCs w:val="18"/>
                <w:color w:val="auto"/>
                <w:w w:val="96"/>
              </w:rPr>
              <w:t>F-5</w:t>
            </w:r>
          </w:p>
        </w:tc>
      </w:tr>
      <w:tr>
        <w:trPr>
          <w:trHeight w:val="183"/>
        </w:trPr>
        <w:tc>
          <w:tcPr>
            <w:tcW w:w="3140" w:type="dxa"/>
            <w:vAlign w:val="bottom"/>
            <w:tcBorders>
              <w:top w:val="single" w:sz="8" w:color="0000EE"/>
              <w:bottom w:val="single" w:sz="8" w:color="0000EE"/>
            </w:tcBorders>
            <w:gridSpan w:val="2"/>
            <w:shd w:val="clear" w:color="auto" w:fill="CCEEFF"/>
          </w:tcPr>
          <w:p>
            <w:pPr>
              <w:spacing w:after="0" w:line="175" w:lineRule="exact"/>
              <w:rPr>
                <w:sz w:val="20"/>
                <w:szCs w:val="20"/>
                <w:color w:val="auto"/>
              </w:rPr>
            </w:pPr>
            <w:r>
              <w:rPr>
                <w:rFonts w:ascii="Georgia" w:cs="Georgia" w:eastAsia="Georgia" w:hAnsi="Georgia"/>
                <w:sz w:val="18"/>
                <w:szCs w:val="18"/>
                <w:color w:val="0000EE"/>
                <w:w w:val="99"/>
              </w:rPr>
              <w:t>Consolidated Statements of Cash Flows</w:t>
            </w:r>
          </w:p>
        </w:tc>
        <w:tc>
          <w:tcPr>
            <w:tcW w:w="3160" w:type="dxa"/>
            <w:vAlign w:val="bottom"/>
            <w:tcBorders>
              <w:top w:val="single" w:sz="8" w:color="0000EE"/>
              <w:bottom w:val="single" w:sz="8" w:color="CCEEFF"/>
            </w:tcBorders>
            <w:gridSpan w:val="4"/>
            <w:shd w:val="clear" w:color="auto" w:fill="CCEEFF"/>
          </w:tcPr>
          <w:p>
            <w:pPr>
              <w:spacing w:after="0"/>
              <w:rPr>
                <w:sz w:val="15"/>
                <w:szCs w:val="15"/>
                <w:color w:val="auto"/>
              </w:rPr>
            </w:pPr>
          </w:p>
        </w:tc>
        <w:tc>
          <w:tcPr>
            <w:tcW w:w="39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5" w:lineRule="exact"/>
              <w:rPr>
                <w:sz w:val="20"/>
                <w:szCs w:val="20"/>
                <w:color w:val="auto"/>
              </w:rPr>
            </w:pPr>
            <w:r>
              <w:rPr>
                <w:rFonts w:ascii="Georgia" w:cs="Georgia" w:eastAsia="Georgia" w:hAnsi="Georgia"/>
                <w:sz w:val="18"/>
                <w:szCs w:val="18"/>
                <w:color w:val="auto"/>
              </w:rPr>
              <w:t>F-6</w:t>
            </w:r>
          </w:p>
        </w:tc>
      </w:tr>
      <w:tr>
        <w:trPr>
          <w:trHeight w:val="176"/>
        </w:trPr>
        <w:tc>
          <w:tcPr>
            <w:tcW w:w="10260" w:type="dxa"/>
            <w:vAlign w:val="bottom"/>
            <w:gridSpan w:val="7"/>
          </w:tcPr>
          <w:p>
            <w:pPr>
              <w:spacing w:after="0" w:line="175" w:lineRule="exact"/>
              <w:rPr>
                <w:sz w:val="20"/>
                <w:szCs w:val="20"/>
                <w:color w:val="auto"/>
              </w:rPr>
            </w:pPr>
            <w:r>
              <w:rPr>
                <w:rFonts w:ascii="Georgia" w:cs="Georgia" w:eastAsia="Georgia" w:hAnsi="Georgia"/>
                <w:sz w:val="18"/>
                <w:szCs w:val="18"/>
                <w:color w:val="0000EE"/>
              </w:rPr>
              <w:t>Notes to the Consolidated Financial Statements</w:t>
            </w:r>
          </w:p>
        </w:tc>
        <w:tc>
          <w:tcPr>
            <w:tcW w:w="980" w:type="dxa"/>
            <w:vAlign w:val="bottom"/>
          </w:tcPr>
          <w:p>
            <w:pPr>
              <w:jc w:val="center"/>
              <w:spacing w:after="0" w:line="175" w:lineRule="exact"/>
              <w:rPr>
                <w:sz w:val="20"/>
                <w:szCs w:val="20"/>
                <w:color w:val="auto"/>
              </w:rPr>
            </w:pPr>
            <w:r>
              <w:rPr>
                <w:rFonts w:ascii="Georgia" w:cs="Georgia" w:eastAsia="Georgia" w:hAnsi="Georgia"/>
                <w:sz w:val="18"/>
                <w:szCs w:val="18"/>
                <w:color w:val="auto"/>
                <w:w w:val="99"/>
              </w:rPr>
              <w:t>F-7 – F-31</w:t>
            </w:r>
          </w:p>
        </w:tc>
      </w:tr>
      <w:tr>
        <w:trPr>
          <w:trHeight w:val="433"/>
        </w:trPr>
        <w:tc>
          <w:tcPr>
            <w:tcW w:w="228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2"/>
          </w:tcPr>
          <w:p>
            <w:pPr>
              <w:jc w:val="center"/>
              <w:ind w:right="416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0" w:name="page141"/>
    <w:bookmarkEnd w:id="140"/>
    <w:p>
      <w:pPr>
        <w:ind w:right="2240" w:firstLine="2249"/>
        <w:spacing w:after="0" w:line="473" w:lineRule="auto"/>
        <w:rPr>
          <w:sz w:val="20"/>
          <w:szCs w:val="20"/>
          <w:color w:val="auto"/>
        </w:rPr>
      </w:pPr>
      <w:r>
        <w:rPr>
          <w:rFonts w:ascii="Georgia" w:cs="Georgia" w:eastAsia="Georgia" w:hAnsi="Georgia"/>
          <w:sz w:val="18"/>
          <w:szCs w:val="18"/>
          <w:b w:val="1"/>
          <w:bCs w:val="1"/>
          <w:color w:val="auto"/>
        </w:rPr>
        <w:t xml:space="preserve">REPORT OF INDEPENDENT REGISTERED PUBLIC ACCOUNTING FIRM </w:t>
      </w:r>
      <w:r>
        <w:rPr>
          <w:rFonts w:ascii="Georgia" w:cs="Georgia" w:eastAsia="Georgia" w:hAnsi="Georgia"/>
          <w:sz w:val="18"/>
          <w:szCs w:val="18"/>
          <w:color w:val="auto"/>
        </w:rPr>
        <w:t xml:space="preserve">To the Board of Directors and Stockholders of </w:t>
      </w:r>
      <w:r>
        <w:rPr>
          <w:rFonts w:ascii="Georgia" w:cs="Georgia" w:eastAsia="Georgia" w:hAnsi="Georgia"/>
          <w:sz w:val="18"/>
          <w:szCs w:val="18"/>
          <w:b w:val="1"/>
          <w:bCs w:val="1"/>
          <w:color w:val="auto"/>
        </w:rPr>
        <w:t>Genenta Science S.p.A.</w:t>
      </w:r>
      <w:r>
        <w:rPr>
          <w:rFonts w:ascii="Georgia" w:cs="Georgia" w:eastAsia="Georgia" w:hAnsi="Georgia"/>
          <w:sz w:val="18"/>
          <w:szCs w:val="18"/>
          <w:color w:val="auto"/>
        </w:rPr>
        <w:t>:</w:t>
      </w:r>
    </w:p>
    <w:p>
      <w:pPr>
        <w:spacing w:after="0" w:line="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Opinion on the Financial Statements</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 xml:space="preserve">We have audited the accompanying consolidated balance sheets of </w:t>
      </w:r>
      <w:r>
        <w:rPr>
          <w:rFonts w:ascii="Georgia" w:cs="Georgia" w:eastAsia="Georgia" w:hAnsi="Georgia"/>
          <w:sz w:val="18"/>
          <w:szCs w:val="18"/>
          <w:b w:val="1"/>
          <w:bCs w:val="1"/>
          <w:color w:val="auto"/>
        </w:rPr>
        <w:t>Genenta Science S.p.A.</w:t>
      </w:r>
      <w:r>
        <w:rPr>
          <w:rFonts w:ascii="Georgia" w:cs="Georgia" w:eastAsia="Georgia" w:hAnsi="Georgia"/>
          <w:sz w:val="18"/>
          <w:szCs w:val="18"/>
          <w:color w:val="auto"/>
        </w:rPr>
        <w:t xml:space="preserve"> (the “Company”) as of December 31, 2021 and 2020, and the related statements of operations and comprehensive loss, quotaholders’ and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Basis for Opinion</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Mayer Hoffman McCann P.C.</w:t>
      </w:r>
    </w:p>
    <w:p>
      <w:pPr>
        <w:spacing w:after="0" w:line="238" w:lineRule="exact"/>
        <w:rPr>
          <w:sz w:val="20"/>
          <w:szCs w:val="20"/>
          <w:color w:val="auto"/>
        </w:rPr>
      </w:pPr>
    </w:p>
    <w:p>
      <w:pPr>
        <w:spacing w:after="0"/>
        <w:rPr>
          <w:sz w:val="20"/>
          <w:szCs w:val="20"/>
          <w:color w:val="auto"/>
        </w:rPr>
      </w:pPr>
      <w:r>
        <w:rPr>
          <w:rFonts w:ascii="Georgia" w:cs="Georgia" w:eastAsia="Georgia" w:hAnsi="Georgia"/>
          <w:sz w:val="18"/>
          <w:szCs w:val="18"/>
          <w:color w:val="auto"/>
        </w:rPr>
        <w:t>Mayer Hoffman McCann P.C.</w:t>
      </w:r>
    </w:p>
    <w:p>
      <w:pPr>
        <w:spacing w:after="0" w:line="237" w:lineRule="auto"/>
        <w:rPr>
          <w:sz w:val="20"/>
          <w:szCs w:val="20"/>
          <w:color w:val="auto"/>
        </w:rPr>
      </w:pPr>
      <w:r>
        <w:rPr>
          <w:rFonts w:ascii="Georgia" w:cs="Georgia" w:eastAsia="Georgia" w:hAnsi="Georgia"/>
          <w:sz w:val="18"/>
          <w:szCs w:val="18"/>
          <w:color w:val="auto"/>
        </w:rPr>
        <w:t>San Diego, California</w:t>
      </w:r>
    </w:p>
    <w:p>
      <w:pPr>
        <w:spacing w:after="0"/>
        <w:rPr>
          <w:sz w:val="20"/>
          <w:szCs w:val="20"/>
          <w:color w:val="auto"/>
        </w:rPr>
      </w:pPr>
      <w:r>
        <w:rPr>
          <w:rFonts w:ascii="Georgia" w:cs="Georgia" w:eastAsia="Georgia" w:hAnsi="Georgia"/>
          <w:sz w:val="18"/>
          <w:szCs w:val="18"/>
          <w:color w:val="auto"/>
        </w:rPr>
        <w:t>April 29, 2022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41" w:name="page142"/>
    <w:bookmarkEnd w:id="141"/>
    <w:p>
      <w:pPr>
        <w:jc w:val="center"/>
        <w:spacing w:after="0"/>
        <w:rPr>
          <w:sz w:val="20"/>
          <w:szCs w:val="20"/>
          <w:color w:val="auto"/>
        </w:rPr>
      </w:pPr>
      <w:r>
        <w:rPr>
          <w:rFonts w:ascii="Georgia" w:cs="Georgia" w:eastAsia="Georgia" w:hAnsi="Georgia"/>
          <w:sz w:val="18"/>
          <w:szCs w:val="18"/>
          <w:b w:val="1"/>
          <w:bCs w:val="1"/>
          <w:i w:val="1"/>
          <w:iCs w:val="1"/>
          <w:color w:val="auto"/>
        </w:rPr>
        <w:t>Genenta Science S.p.A.</w:t>
      </w:r>
    </w:p>
    <w:p>
      <w:pPr>
        <w:jc w:val="center"/>
        <w:spacing w:after="0" w:line="237" w:lineRule="auto"/>
        <w:rPr>
          <w:sz w:val="20"/>
          <w:szCs w:val="20"/>
          <w:color w:val="auto"/>
        </w:rPr>
      </w:pPr>
      <w:r>
        <w:rPr>
          <w:rFonts w:ascii="Georgia" w:cs="Georgia" w:eastAsia="Georgia" w:hAnsi="Georgia"/>
          <w:sz w:val="18"/>
          <w:szCs w:val="18"/>
          <w:b w:val="1"/>
          <w:bCs w:val="1"/>
          <w:color w:val="auto"/>
        </w:rPr>
        <w:t>(formerly, Genenta Science S.r.l.)</w:t>
      </w:r>
    </w:p>
    <w:p>
      <w:pPr>
        <w:jc w:val="center"/>
        <w:spacing w:after="0"/>
        <w:rPr>
          <w:sz w:val="20"/>
          <w:szCs w:val="20"/>
          <w:color w:val="auto"/>
        </w:rPr>
      </w:pPr>
      <w:r>
        <w:rPr>
          <w:rFonts w:ascii="Georgia" w:cs="Georgia" w:eastAsia="Georgia" w:hAnsi="Georgia"/>
          <w:sz w:val="18"/>
          <w:szCs w:val="18"/>
          <w:b w:val="1"/>
          <w:bCs w:val="1"/>
          <w:color w:val="auto"/>
        </w:rPr>
        <w:t>Consolidated Statements of Operations and Comprehensive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8"/>
          </w:tcPr>
          <w:p>
            <w:pPr>
              <w:jc w:val="center"/>
              <w:ind w:left="710"/>
              <w:spacing w:after="0"/>
              <w:rPr>
                <w:sz w:val="20"/>
                <w:szCs w:val="20"/>
                <w:color w:val="auto"/>
              </w:rPr>
            </w:pPr>
            <w:r>
              <w:rPr>
                <w:rFonts w:ascii="Georgia" w:cs="Georgia" w:eastAsia="Georgia" w:hAnsi="Georgia"/>
                <w:sz w:val="18"/>
                <w:szCs w:val="18"/>
                <w:b w:val="1"/>
                <w:bCs w:val="1"/>
                <w:color w:val="auto"/>
                <w:w w:val="99"/>
              </w:rPr>
              <w:t>Year Ended 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Georgia" w:cs="Georgia" w:eastAsia="Georgia" w:hAnsi="Georgia"/>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Georgia" w:cs="Georgia" w:eastAsia="Georgia" w:hAnsi="Georgia"/>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67"/>
              <w:spacing w:after="0" w:line="202" w:lineRule="exact"/>
              <w:rPr>
                <w:sz w:val="20"/>
                <w:szCs w:val="20"/>
                <w:color w:val="auto"/>
              </w:rPr>
            </w:pPr>
            <w:r>
              <w:rPr>
                <w:rFonts w:ascii="Georgia" w:cs="Georgia" w:eastAsia="Georgia" w:hAnsi="Georgia"/>
                <w:sz w:val="18"/>
                <w:szCs w:val="18"/>
                <w:color w:val="auto"/>
                <w:w w:val="99"/>
              </w:rPr>
              <w:t>(in Euros)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Operating expenses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Research and development</w:t>
            </w:r>
          </w:p>
        </w:tc>
        <w:tc>
          <w:tcPr>
            <w:tcW w:w="32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line="202" w:lineRule="exact"/>
              <w:rPr>
                <w:sz w:val="20"/>
                <w:szCs w:val="20"/>
                <w:color w:val="auto"/>
              </w:rPr>
            </w:pPr>
            <w:r>
              <w:rPr>
                <w:rFonts w:ascii="Georgia" w:cs="Georgia" w:eastAsia="Georgia" w:hAnsi="Georgia"/>
                <w:sz w:val="18"/>
                <w:szCs w:val="18"/>
                <w:color w:val="auto"/>
              </w:rPr>
              <w:t>3,390,677</w:t>
            </w:r>
          </w:p>
        </w:tc>
        <w:tc>
          <w:tcPr>
            <w:tcW w:w="200" w:type="dxa"/>
            <w:vAlign w:val="bottom"/>
          </w:tcPr>
          <w:p>
            <w:pPr>
              <w:spacing w:after="0"/>
              <w:rPr>
                <w:sz w:val="17"/>
                <w:szCs w:val="17"/>
                <w:color w:val="auto"/>
              </w:rPr>
            </w:pPr>
          </w:p>
        </w:tc>
        <w:tc>
          <w:tcPr>
            <w:tcW w:w="340" w:type="dxa"/>
            <w:vAlign w:val="bottom"/>
            <w:gridSpan w:val="2"/>
          </w:tcPr>
          <w:p>
            <w:pPr>
              <w:ind w:left="120"/>
              <w:spacing w:after="0" w:line="202" w:lineRule="exact"/>
              <w:rPr>
                <w:sz w:val="20"/>
                <w:szCs w:val="20"/>
                <w:color w:val="auto"/>
              </w:rPr>
            </w:pPr>
            <w:r>
              <w:rPr>
                <w:rFonts w:ascii="Georgia" w:cs="Georgia" w:eastAsia="Georgia" w:hAnsi="Georgia"/>
                <w:sz w:val="18"/>
                <w:szCs w:val="18"/>
                <w:color w:val="auto"/>
              </w:rPr>
              <w:t>€</w:t>
            </w:r>
          </w:p>
        </w:tc>
        <w:tc>
          <w:tcPr>
            <w:tcW w:w="1440" w:type="dxa"/>
            <w:vAlign w:val="bottom"/>
            <w:gridSpan w:val="2"/>
          </w:tcPr>
          <w:p>
            <w:pPr>
              <w:jc w:val="right"/>
              <w:ind w:right="127"/>
              <w:spacing w:after="0" w:line="202" w:lineRule="exact"/>
              <w:rPr>
                <w:sz w:val="20"/>
                <w:szCs w:val="20"/>
                <w:color w:val="auto"/>
              </w:rPr>
            </w:pPr>
            <w:r>
              <w:rPr>
                <w:rFonts w:ascii="Georgia" w:cs="Georgia" w:eastAsia="Georgia" w:hAnsi="Georgia"/>
                <w:sz w:val="18"/>
                <w:szCs w:val="18"/>
                <w:color w:val="auto"/>
              </w:rPr>
              <w:t>4,688,461</w:t>
            </w:r>
          </w:p>
        </w:tc>
        <w:tc>
          <w:tcPr>
            <w:tcW w:w="460" w:type="dxa"/>
            <w:vAlign w:val="bottom"/>
            <w:gridSpan w:val="2"/>
          </w:tcPr>
          <w:p>
            <w:pPr>
              <w:ind w:left="120"/>
              <w:spacing w:after="0" w:line="202" w:lineRule="exact"/>
              <w:rPr>
                <w:sz w:val="20"/>
                <w:szCs w:val="20"/>
                <w:color w:val="auto"/>
              </w:rPr>
            </w:pPr>
            <w:r>
              <w:rPr>
                <w:rFonts w:ascii="Georgia" w:cs="Georgia" w:eastAsia="Georgia" w:hAnsi="Georgia"/>
                <w:sz w:val="18"/>
                <w:szCs w:val="18"/>
                <w:color w:val="auto"/>
              </w:rPr>
              <w:t>€</w:t>
            </w: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3,702,982</w:t>
            </w:r>
          </w:p>
        </w:tc>
        <w:tc>
          <w:tcPr>
            <w:tcW w:w="0" w:type="dxa"/>
            <w:vAlign w:val="bottom"/>
          </w:tcPr>
          <w:p>
            <w:pPr>
              <w:spacing w:after="0"/>
              <w:rPr>
                <w:sz w:val="1"/>
                <w:szCs w:val="1"/>
                <w:color w:val="auto"/>
              </w:rPr>
            </w:pPr>
          </w:p>
        </w:tc>
      </w:tr>
      <w:tr>
        <w:trPr>
          <w:trHeight w:val="235"/>
        </w:trPr>
        <w:tc>
          <w:tcPr>
            <w:tcW w:w="608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General and administrative</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7"/>
              <w:spacing w:after="0"/>
              <w:rPr>
                <w:sz w:val="20"/>
                <w:szCs w:val="20"/>
                <w:color w:val="auto"/>
              </w:rPr>
            </w:pPr>
            <w:r>
              <w:rPr>
                <w:rFonts w:ascii="Georgia" w:cs="Georgia" w:eastAsia="Georgia" w:hAnsi="Georgia"/>
                <w:sz w:val="18"/>
                <w:szCs w:val="18"/>
                <w:color w:val="auto"/>
              </w:rPr>
              <w:t>2,296,596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7"/>
              <w:spacing w:after="0"/>
              <w:rPr>
                <w:sz w:val="20"/>
                <w:szCs w:val="20"/>
                <w:color w:val="auto"/>
              </w:rPr>
            </w:pPr>
            <w:r>
              <w:rPr>
                <w:rFonts w:ascii="Georgia" w:cs="Georgia" w:eastAsia="Georgia" w:hAnsi="Georgia"/>
                <w:sz w:val="18"/>
                <w:szCs w:val="18"/>
                <w:color w:val="auto"/>
              </w:rPr>
              <w:t>901,765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7"/>
              <w:spacing w:after="0"/>
              <w:rPr>
                <w:sz w:val="20"/>
                <w:szCs w:val="20"/>
                <w:color w:val="auto"/>
              </w:rPr>
            </w:pPr>
            <w:r>
              <w:rPr>
                <w:rFonts w:ascii="Georgia" w:cs="Georgia" w:eastAsia="Georgia" w:hAnsi="Georgia"/>
                <w:sz w:val="18"/>
                <w:szCs w:val="18"/>
                <w:color w:val="auto"/>
              </w:rPr>
              <w:t>921,520</w:t>
            </w:r>
          </w:p>
        </w:tc>
        <w:tc>
          <w:tcPr>
            <w:tcW w:w="0" w:type="dxa"/>
            <w:vAlign w:val="bottom"/>
          </w:tcPr>
          <w:p>
            <w:pPr>
              <w:spacing w:after="0"/>
              <w:rPr>
                <w:sz w:val="1"/>
                <w:szCs w:val="1"/>
                <w:color w:val="auto"/>
              </w:rPr>
            </w:pPr>
          </w:p>
        </w:tc>
      </w:tr>
      <w:tr>
        <w:trPr>
          <w:trHeight w:val="198"/>
        </w:trPr>
        <w:tc>
          <w:tcPr>
            <w:tcW w:w="608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color w:val="auto"/>
              </w:rPr>
              <w:t>Total operating expenses</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5,687,273</w:t>
            </w:r>
          </w:p>
        </w:tc>
        <w:tc>
          <w:tcPr>
            <w:tcW w:w="2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5,590,226</w:t>
            </w:r>
          </w:p>
        </w:tc>
        <w:tc>
          <w:tcPr>
            <w:tcW w:w="2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4,624,502</w:t>
            </w:r>
          </w:p>
        </w:tc>
        <w:tc>
          <w:tcPr>
            <w:tcW w:w="12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Loss from operations</w:t>
            </w:r>
          </w:p>
        </w:tc>
        <w:tc>
          <w:tcPr>
            <w:tcW w:w="320" w:type="dxa"/>
            <w:vAlign w:val="bottom"/>
          </w:tcPr>
          <w:p>
            <w:pPr>
              <w:spacing w:after="0"/>
              <w:rPr>
                <w:sz w:val="17"/>
                <w:szCs w:val="17"/>
                <w:color w:val="auto"/>
              </w:rPr>
            </w:pPr>
          </w:p>
        </w:tc>
        <w:tc>
          <w:tcPr>
            <w:tcW w:w="136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(5,687,273)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(5,590,226)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(4,624,502)</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Other income (expense)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Awards and Subsidies</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7"/>
              <w:spacing w:after="0" w:line="202" w:lineRule="exact"/>
              <w:rPr>
                <w:sz w:val="20"/>
                <w:szCs w:val="20"/>
                <w:color w:val="auto"/>
              </w:rPr>
            </w:pPr>
            <w:r>
              <w:rPr>
                <w:rFonts w:ascii="Georgia" w:cs="Georgia" w:eastAsia="Georgia" w:hAnsi="Georgia"/>
                <w:sz w:val="18"/>
                <w:szCs w:val="18"/>
                <w:color w:val="auto"/>
              </w:rPr>
              <w:t>150,000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7"/>
              <w:spacing w:after="0" w:line="202" w:lineRule="exact"/>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7"/>
              <w:spacing w:after="0" w:line="202" w:lineRule="exact"/>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Other income</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Georgia" w:cs="Georgia" w:eastAsia="Georgia" w:hAnsi="Georgia"/>
                <w:sz w:val="18"/>
                <w:szCs w:val="18"/>
                <w:color w:val="auto"/>
              </w:rPr>
              <w:t>19,657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7"/>
              <w:spacing w:after="0" w:line="202" w:lineRule="exact"/>
              <w:rPr>
                <w:sz w:val="20"/>
                <w:szCs w:val="20"/>
                <w:color w:val="auto"/>
              </w:rPr>
            </w:pPr>
            <w:r>
              <w:rPr>
                <w:rFonts w:ascii="Georgia" w:cs="Georgia" w:eastAsia="Georgia" w:hAnsi="Georgia"/>
                <w:sz w:val="18"/>
                <w:szCs w:val="18"/>
                <w:color w:val="auto"/>
              </w:rPr>
              <w:t>5,966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36,331</w:t>
            </w:r>
          </w:p>
        </w:tc>
        <w:tc>
          <w:tcPr>
            <w:tcW w:w="0" w:type="dxa"/>
            <w:vAlign w:val="bottom"/>
          </w:tcPr>
          <w:p>
            <w:pPr>
              <w:spacing w:after="0"/>
              <w:rPr>
                <w:sz w:val="1"/>
                <w:szCs w:val="1"/>
                <w:color w:val="auto"/>
              </w:rPr>
            </w:pPr>
          </w:p>
        </w:tc>
      </w:tr>
      <w:tr>
        <w:trPr>
          <w:trHeight w:val="235"/>
        </w:trPr>
        <w:tc>
          <w:tcPr>
            <w:tcW w:w="608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Finance expense</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7"/>
              <w:spacing w:after="0"/>
              <w:rPr>
                <w:sz w:val="20"/>
                <w:szCs w:val="20"/>
                <w:color w:val="auto"/>
              </w:rPr>
            </w:pPr>
            <w:r>
              <w:rPr>
                <w:rFonts w:ascii="Georgia" w:cs="Georgia" w:eastAsia="Georgia" w:hAnsi="Georgia"/>
                <w:sz w:val="18"/>
                <w:szCs w:val="18"/>
                <w:color w:val="auto"/>
              </w:rPr>
              <w:t>(11,716)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7"/>
              <w:spacing w:after="0"/>
              <w:rPr>
                <w:sz w:val="20"/>
                <w:szCs w:val="20"/>
                <w:color w:val="auto"/>
              </w:rPr>
            </w:pPr>
            <w:r>
              <w:rPr>
                <w:rFonts w:ascii="Georgia" w:cs="Georgia" w:eastAsia="Georgia" w:hAnsi="Georgia"/>
                <w:sz w:val="18"/>
                <w:szCs w:val="18"/>
                <w:color w:val="auto"/>
              </w:rPr>
              <w:t>(7,754)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color w:val="auto"/>
              </w:rPr>
              <w:t>(9,552)</w:t>
            </w:r>
          </w:p>
        </w:tc>
        <w:tc>
          <w:tcPr>
            <w:tcW w:w="0" w:type="dxa"/>
            <w:vAlign w:val="bottom"/>
          </w:tcPr>
          <w:p>
            <w:pPr>
              <w:spacing w:after="0"/>
              <w:rPr>
                <w:sz w:val="1"/>
                <w:szCs w:val="1"/>
                <w:color w:val="auto"/>
              </w:rPr>
            </w:pPr>
          </w:p>
        </w:tc>
      </w:tr>
      <w:tr>
        <w:trPr>
          <w:trHeight w:val="198"/>
        </w:trPr>
        <w:tc>
          <w:tcPr>
            <w:tcW w:w="608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color w:val="auto"/>
              </w:rPr>
              <w:t>Total other income (expense), net</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157,941</w:t>
            </w:r>
          </w:p>
        </w:tc>
        <w:tc>
          <w:tcPr>
            <w:tcW w:w="2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(1,788</w:t>
            </w:r>
          </w:p>
        </w:tc>
        <w:tc>
          <w:tcPr>
            <w:tcW w:w="200" w:type="dxa"/>
            <w:vAlign w:val="bottom"/>
            <w:tcBorders>
              <w:top w:val="single" w:sz="8" w:color="CCEEFF"/>
              <w:bottom w:val="single" w:sz="8" w:color="CCEEFF"/>
            </w:tcBorders>
          </w:tcPr>
          <w:p>
            <w:pPr>
              <w:jc w:val="right"/>
              <w:ind w:right="67"/>
              <w:spacing w:after="0"/>
              <w:rPr>
                <w:sz w:val="20"/>
                <w:szCs w:val="20"/>
                <w:color w:val="auto"/>
              </w:rPr>
            </w:pPr>
            <w:r>
              <w:rPr>
                <w:rFonts w:ascii="Georgia" w:cs="Georgia" w:eastAsia="Georgia" w:hAnsi="Georgia"/>
                <w:sz w:val="15"/>
                <w:szCs w:val="15"/>
                <w:color w:val="auto"/>
                <w:w w:val="70"/>
              </w:rPr>
              <w:t>)</w:t>
            </w:r>
          </w:p>
        </w:tc>
        <w:tc>
          <w:tcPr>
            <w:tcW w:w="12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26,779</w:t>
            </w:r>
          </w:p>
        </w:tc>
        <w:tc>
          <w:tcPr>
            <w:tcW w:w="12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Loss before income taxes</w:t>
            </w:r>
          </w:p>
        </w:tc>
        <w:tc>
          <w:tcPr>
            <w:tcW w:w="320" w:type="dxa"/>
            <w:vAlign w:val="bottom"/>
          </w:tcPr>
          <w:p>
            <w:pPr>
              <w:spacing w:after="0"/>
              <w:rPr>
                <w:sz w:val="17"/>
                <w:szCs w:val="17"/>
                <w:color w:val="auto"/>
              </w:rPr>
            </w:pPr>
          </w:p>
        </w:tc>
        <w:tc>
          <w:tcPr>
            <w:tcW w:w="136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(5,529,332)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(5,592,014)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(4,597,723)</w:t>
            </w:r>
          </w:p>
        </w:tc>
        <w:tc>
          <w:tcPr>
            <w:tcW w:w="0" w:type="dxa"/>
            <w:vAlign w:val="bottom"/>
          </w:tcPr>
          <w:p>
            <w:pPr>
              <w:spacing w:after="0"/>
              <w:rPr>
                <w:sz w:val="1"/>
                <w:szCs w:val="1"/>
                <w:color w:val="auto"/>
              </w:rPr>
            </w:pPr>
          </w:p>
        </w:tc>
      </w:tr>
      <w:tr>
        <w:trPr>
          <w:trHeight w:val="235"/>
        </w:trPr>
        <w:tc>
          <w:tcPr>
            <w:tcW w:w="608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Income taxes benefit (expenses)</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7"/>
              <w:spacing w:after="0"/>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7"/>
              <w:spacing w:after="0"/>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7"/>
              <w:spacing w:after="0"/>
              <w:rPr>
                <w:sz w:val="20"/>
                <w:szCs w:val="20"/>
                <w:color w:val="auto"/>
              </w:rPr>
            </w:pPr>
            <w:r>
              <w:rPr>
                <w:rFonts w:ascii="Georgia" w:cs="Georgia" w:eastAsia="Georgia" w:hAnsi="Georgia"/>
                <w:sz w:val="18"/>
                <w:szCs w:val="18"/>
                <w:color w:val="auto"/>
              </w:rPr>
              <w:t>-</w:t>
            </w:r>
          </w:p>
        </w:tc>
        <w:tc>
          <w:tcPr>
            <w:tcW w:w="0" w:type="dxa"/>
            <w:vAlign w:val="bottom"/>
          </w:tcPr>
          <w:p>
            <w:pPr>
              <w:spacing w:after="0"/>
              <w:rPr>
                <w:sz w:val="1"/>
                <w:szCs w:val="1"/>
                <w:color w:val="auto"/>
              </w:rPr>
            </w:pPr>
          </w:p>
        </w:tc>
      </w:tr>
      <w:tr>
        <w:trPr>
          <w:trHeight w:val="198"/>
        </w:trPr>
        <w:tc>
          <w:tcPr>
            <w:tcW w:w="608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color w:val="auto"/>
              </w:rPr>
              <w:t>Net loss</w:t>
            </w:r>
          </w:p>
        </w:tc>
        <w:tc>
          <w:tcPr>
            <w:tcW w:w="320" w:type="dxa"/>
            <w:vAlign w:val="bottom"/>
            <w:tcBorders>
              <w:top w:val="single" w:sz="8" w:color="auto"/>
              <w:bottom w:val="single" w:sz="8" w:color="auto"/>
            </w:tcBorders>
          </w:tcPr>
          <w:p>
            <w:pPr>
              <w:spacing w:after="0" w:line="191" w:lineRule="exact"/>
              <w:rPr>
                <w:sz w:val="20"/>
                <w:szCs w:val="20"/>
                <w:color w:val="auto"/>
              </w:rPr>
            </w:pPr>
            <w:r>
              <w:rPr>
                <w:rFonts w:ascii="Georgia" w:cs="Georgia" w:eastAsia="Georgia" w:hAnsi="Georgia"/>
                <w:sz w:val="18"/>
                <w:szCs w:val="18"/>
                <w:color w:val="auto"/>
              </w:rPr>
              <w:t>€</w:t>
            </w:r>
          </w:p>
        </w:tc>
        <w:tc>
          <w:tcPr>
            <w:tcW w:w="11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(5,529,332</w:t>
            </w:r>
          </w:p>
        </w:tc>
        <w:tc>
          <w:tcPr>
            <w:tcW w:w="200" w:type="dxa"/>
            <w:vAlign w:val="bottom"/>
            <w:tcBorders>
              <w:top w:val="single" w:sz="8" w:color="CCEEFF"/>
              <w:bottom w:val="single" w:sz="8" w:color="CCEEFF"/>
            </w:tcBorders>
          </w:tcPr>
          <w:p>
            <w:pPr>
              <w:jc w:val="right"/>
              <w:ind w:right="67"/>
              <w:spacing w:after="0"/>
              <w:rPr>
                <w:sz w:val="20"/>
                <w:szCs w:val="20"/>
                <w:color w:val="auto"/>
              </w:rPr>
            </w:pPr>
            <w:r>
              <w:rPr>
                <w:rFonts w:ascii="Georgia" w:cs="Georgia" w:eastAsia="Georgia" w:hAnsi="Georgia"/>
                <w:sz w:val="15"/>
                <w:szCs w:val="15"/>
                <w:color w:val="auto"/>
                <w:w w:val="70"/>
              </w:rPr>
              <w:t>)</w:t>
            </w:r>
          </w:p>
        </w:tc>
        <w:tc>
          <w:tcPr>
            <w:tcW w:w="12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line="191" w:lineRule="exact"/>
              <w:rPr>
                <w:sz w:val="20"/>
                <w:szCs w:val="20"/>
                <w:color w:val="auto"/>
              </w:rPr>
            </w:pPr>
            <w:r>
              <w:rPr>
                <w:rFonts w:ascii="Georgia" w:cs="Georgia" w:eastAsia="Georgia" w:hAnsi="Georgia"/>
                <w:sz w:val="18"/>
                <w:szCs w:val="18"/>
                <w:color w:val="auto"/>
              </w:rPr>
              <w:t>€</w:t>
            </w:r>
          </w:p>
        </w:tc>
        <w:tc>
          <w:tcPr>
            <w:tcW w:w="12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(5,592,014</w:t>
            </w:r>
          </w:p>
        </w:tc>
        <w:tc>
          <w:tcPr>
            <w:tcW w:w="200" w:type="dxa"/>
            <w:vAlign w:val="bottom"/>
            <w:tcBorders>
              <w:top w:val="single" w:sz="8" w:color="CCEEFF"/>
              <w:bottom w:val="single" w:sz="8" w:color="CCEEFF"/>
            </w:tcBorders>
          </w:tcPr>
          <w:p>
            <w:pPr>
              <w:jc w:val="right"/>
              <w:ind w:right="67"/>
              <w:spacing w:after="0"/>
              <w:rPr>
                <w:sz w:val="20"/>
                <w:szCs w:val="20"/>
                <w:color w:val="auto"/>
              </w:rPr>
            </w:pPr>
            <w:r>
              <w:rPr>
                <w:rFonts w:ascii="Georgia" w:cs="Georgia" w:eastAsia="Georgia" w:hAnsi="Georgia"/>
                <w:sz w:val="15"/>
                <w:szCs w:val="15"/>
                <w:color w:val="auto"/>
                <w:w w:val="70"/>
              </w:rPr>
              <w:t>)</w:t>
            </w:r>
          </w:p>
        </w:tc>
        <w:tc>
          <w:tcPr>
            <w:tcW w:w="12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line="191" w:lineRule="exact"/>
              <w:rPr>
                <w:sz w:val="20"/>
                <w:szCs w:val="20"/>
                <w:color w:val="auto"/>
              </w:rPr>
            </w:pPr>
            <w:r>
              <w:rPr>
                <w:rFonts w:ascii="Georgia" w:cs="Georgia" w:eastAsia="Georgia" w:hAnsi="Georgia"/>
                <w:sz w:val="18"/>
                <w:szCs w:val="18"/>
                <w:color w:val="auto"/>
              </w:rPr>
              <w:t>€</w:t>
            </w: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(4,597,723</w:t>
            </w:r>
          </w:p>
        </w:tc>
        <w:tc>
          <w:tcPr>
            <w:tcW w:w="120" w:type="dxa"/>
            <w:vAlign w:val="bottom"/>
            <w:tcBorders>
              <w:top w:val="single" w:sz="8" w:color="CCEEFF"/>
              <w:bottom w:val="single" w:sz="8" w:color="CCEEFF"/>
            </w:tcBorders>
          </w:tcPr>
          <w:p>
            <w:pPr>
              <w:jc w:val="right"/>
              <w:spacing w:after="0"/>
              <w:rPr>
                <w:sz w:val="20"/>
                <w:szCs w:val="20"/>
                <w:color w:val="auto"/>
              </w:rPr>
            </w:pPr>
            <w:r>
              <w:rPr>
                <w:rFonts w:ascii="Georgia" w:cs="Georgia" w:eastAsia="Georgia" w:hAnsi="Georgia"/>
                <w:sz w:val="15"/>
                <w:szCs w:val="15"/>
                <w:color w:val="auto"/>
                <w:w w:val="70"/>
              </w:rPr>
              <w:t>)</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Net loss and comprehensive loss</w:t>
            </w:r>
          </w:p>
        </w:tc>
        <w:tc>
          <w:tcPr>
            <w:tcW w:w="320" w:type="dxa"/>
            <w:vAlign w:val="bottom"/>
          </w:tcPr>
          <w:p>
            <w:pPr>
              <w:spacing w:after="0"/>
              <w:rPr>
                <w:sz w:val="17"/>
                <w:szCs w:val="17"/>
                <w:color w:val="auto"/>
              </w:rPr>
            </w:pPr>
          </w:p>
        </w:tc>
        <w:tc>
          <w:tcPr>
            <w:tcW w:w="136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(5,529,332)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(5,592,014)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(4,597,723)</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Loss per share information:</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Net loss</w:t>
            </w:r>
          </w:p>
        </w:tc>
        <w:tc>
          <w:tcPr>
            <w:tcW w:w="32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360" w:type="dxa"/>
            <w:vAlign w:val="bottom"/>
            <w:gridSpan w:val="2"/>
            <w:shd w:val="clear" w:color="auto" w:fill="CCEEFF"/>
          </w:tcPr>
          <w:p>
            <w:pPr>
              <w:jc w:val="right"/>
              <w:ind w:right="67"/>
              <w:spacing w:after="0"/>
              <w:rPr>
                <w:sz w:val="20"/>
                <w:szCs w:val="20"/>
                <w:color w:val="auto"/>
              </w:rPr>
            </w:pPr>
            <w:r>
              <w:rPr>
                <w:rFonts w:ascii="Georgia" w:cs="Georgia" w:eastAsia="Georgia" w:hAnsi="Georgia"/>
                <w:sz w:val="18"/>
                <w:szCs w:val="18"/>
                <w:color w:val="auto"/>
              </w:rPr>
              <w:t>(5,529,332)</w:t>
            </w:r>
          </w:p>
        </w:tc>
        <w:tc>
          <w:tcPr>
            <w:tcW w:w="340" w:type="dxa"/>
            <w:vAlign w:val="bottom"/>
            <w:gridSpan w:val="2"/>
            <w:shd w:val="clear" w:color="auto" w:fill="CCEEFF"/>
          </w:tcPr>
          <w:p>
            <w:pPr>
              <w:ind w:left="120"/>
              <w:spacing w:after="0"/>
              <w:rPr>
                <w:sz w:val="20"/>
                <w:szCs w:val="20"/>
                <w:color w:val="auto"/>
              </w:rPr>
            </w:pPr>
            <w:r>
              <w:rPr>
                <w:rFonts w:ascii="Georgia" w:cs="Georgia" w:eastAsia="Georgia" w:hAnsi="Georgia"/>
                <w:sz w:val="18"/>
                <w:szCs w:val="18"/>
                <w:color w:val="auto"/>
              </w:rPr>
              <w:t>€</w:t>
            </w:r>
          </w:p>
        </w:tc>
        <w:tc>
          <w:tcPr>
            <w:tcW w:w="1440" w:type="dxa"/>
            <w:vAlign w:val="bottom"/>
            <w:gridSpan w:val="2"/>
            <w:shd w:val="clear" w:color="auto" w:fill="CCEEFF"/>
          </w:tcPr>
          <w:p>
            <w:pPr>
              <w:jc w:val="right"/>
              <w:ind w:right="67"/>
              <w:spacing w:after="0"/>
              <w:rPr>
                <w:sz w:val="20"/>
                <w:szCs w:val="20"/>
                <w:color w:val="auto"/>
              </w:rPr>
            </w:pPr>
            <w:r>
              <w:rPr>
                <w:rFonts w:ascii="Georgia" w:cs="Georgia" w:eastAsia="Georgia" w:hAnsi="Georgia"/>
                <w:sz w:val="18"/>
                <w:szCs w:val="18"/>
                <w:color w:val="auto"/>
              </w:rPr>
              <w:t>(5,592,014)</w:t>
            </w:r>
          </w:p>
        </w:tc>
        <w:tc>
          <w:tcPr>
            <w:tcW w:w="460" w:type="dxa"/>
            <w:vAlign w:val="bottom"/>
            <w:gridSpan w:val="2"/>
            <w:shd w:val="clear" w:color="auto" w:fill="CCEEFF"/>
          </w:tcPr>
          <w:p>
            <w:pPr>
              <w:ind w:left="120"/>
              <w:spacing w:after="0"/>
              <w:rPr>
                <w:sz w:val="20"/>
                <w:szCs w:val="20"/>
                <w:color w:val="auto"/>
              </w:rPr>
            </w:pPr>
            <w:r>
              <w:rPr>
                <w:rFonts w:ascii="Georgia" w:cs="Georgia" w:eastAsia="Georgia" w:hAnsi="Georgia"/>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color w:val="auto"/>
              </w:rPr>
              <w:t>(4,597,723)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line="203" w:lineRule="exact"/>
              <w:rPr>
                <w:sz w:val="20"/>
                <w:szCs w:val="20"/>
                <w:color w:val="auto"/>
              </w:rPr>
            </w:pPr>
            <w:r>
              <w:rPr>
                <w:rFonts w:ascii="Georgia" w:cs="Georgia" w:eastAsia="Georgia" w:hAnsi="Georgia"/>
                <w:sz w:val="18"/>
                <w:szCs w:val="18"/>
                <w:color w:val="auto"/>
              </w:rPr>
              <w:t>Net loss per share - 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7"/>
              <w:spacing w:after="0"/>
              <w:rPr>
                <w:sz w:val="20"/>
                <w:szCs w:val="20"/>
                <w:color w:val="auto"/>
              </w:rPr>
            </w:pPr>
            <w:r>
              <w:rPr>
                <w:rFonts w:ascii="Georgia" w:cs="Georgia" w:eastAsia="Georgia" w:hAnsi="Georgia"/>
                <w:sz w:val="15"/>
                <w:szCs w:val="15"/>
                <w:color w:val="auto"/>
                <w:w w:val="70"/>
              </w:rPr>
              <w:t>)</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line="185" w:lineRule="exact"/>
              <w:rPr>
                <w:sz w:val="20"/>
                <w:szCs w:val="20"/>
                <w:color w:val="auto"/>
              </w:rPr>
            </w:pPr>
            <w:r>
              <w:rPr>
                <w:rFonts w:ascii="Georgia" w:cs="Georgia" w:eastAsia="Georgia" w:hAnsi="Georgia"/>
                <w:sz w:val="18"/>
                <w:szCs w:val="18"/>
                <w:color w:val="auto"/>
              </w:rPr>
              <w:t>€</w:t>
            </w:r>
          </w:p>
        </w:tc>
        <w:tc>
          <w:tcPr>
            <w:tcW w:w="1160" w:type="dxa"/>
            <w:vAlign w:val="bottom"/>
            <w:tcBorders>
              <w:bottom w:val="single" w:sz="8" w:color="auto"/>
            </w:tcBorders>
          </w:tcPr>
          <w:p>
            <w:pPr>
              <w:jc w:val="right"/>
              <w:spacing w:after="0" w:line="185" w:lineRule="exact"/>
              <w:rPr>
                <w:sz w:val="20"/>
                <w:szCs w:val="20"/>
                <w:color w:val="auto"/>
              </w:rPr>
            </w:pPr>
            <w:r>
              <w:rPr>
                <w:rFonts w:ascii="Georgia" w:cs="Georgia" w:eastAsia="Georgia" w:hAnsi="Georgia"/>
                <w:sz w:val="18"/>
                <w:szCs w:val="18"/>
                <w:color w:val="auto"/>
              </w:rPr>
              <w:t>(0.37</w:t>
            </w:r>
          </w:p>
        </w:tc>
        <w:tc>
          <w:tcPr>
            <w:tcW w:w="2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line="185" w:lineRule="exact"/>
              <w:rPr>
                <w:sz w:val="20"/>
                <w:szCs w:val="20"/>
                <w:color w:val="auto"/>
              </w:rPr>
            </w:pPr>
            <w:r>
              <w:rPr>
                <w:rFonts w:ascii="Georgia" w:cs="Georgia" w:eastAsia="Georgia" w:hAnsi="Georgia"/>
                <w:sz w:val="18"/>
                <w:szCs w:val="18"/>
                <w:color w:val="auto"/>
              </w:rPr>
              <w:t>€</w:t>
            </w:r>
          </w:p>
        </w:tc>
        <w:tc>
          <w:tcPr>
            <w:tcW w:w="1240" w:type="dxa"/>
            <w:vAlign w:val="bottom"/>
            <w:tcBorders>
              <w:bottom w:val="single" w:sz="8" w:color="auto"/>
            </w:tcBorders>
          </w:tcPr>
          <w:p>
            <w:pPr>
              <w:jc w:val="right"/>
              <w:spacing w:after="0" w:line="185" w:lineRule="exact"/>
              <w:rPr>
                <w:sz w:val="20"/>
                <w:szCs w:val="20"/>
                <w:color w:val="auto"/>
              </w:rPr>
            </w:pPr>
            <w:r>
              <w:rPr>
                <w:rFonts w:ascii="Georgia" w:cs="Georgia" w:eastAsia="Georgia" w:hAnsi="Georgia"/>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line="185" w:lineRule="exact"/>
              <w:rPr>
                <w:sz w:val="20"/>
                <w:szCs w:val="20"/>
                <w:color w:val="auto"/>
              </w:rPr>
            </w:pPr>
            <w:r>
              <w:rPr>
                <w:rFonts w:ascii="Georgia" w:cs="Georgia" w:eastAsia="Georgia" w:hAnsi="Georgia"/>
                <w:sz w:val="18"/>
                <w:szCs w:val="18"/>
                <w:color w:val="auto"/>
              </w:rPr>
              <w:t>€</w:t>
            </w:r>
          </w:p>
        </w:tc>
        <w:tc>
          <w:tcPr>
            <w:tcW w:w="1120" w:type="dxa"/>
            <w:vAlign w:val="bottom"/>
            <w:tcBorders>
              <w:bottom w:val="single" w:sz="8" w:color="auto"/>
            </w:tcBorders>
          </w:tcPr>
          <w:p>
            <w:pPr>
              <w:jc w:val="right"/>
              <w:spacing w:after="0" w:line="185" w:lineRule="exact"/>
              <w:rPr>
                <w:sz w:val="20"/>
                <w:szCs w:val="20"/>
                <w:color w:val="auto"/>
              </w:rPr>
            </w:pPr>
            <w:r>
              <w:rPr>
                <w:rFonts w:ascii="Georgia" w:cs="Georgia" w:eastAsia="Georgia" w:hAnsi="Georgia"/>
                <w:sz w:val="18"/>
                <w:szCs w:val="18"/>
                <w:color w:val="auto"/>
              </w:rPr>
              <w:t>-</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shd w:val="clear" w:color="auto" w:fill="CCEEFF"/>
          </w:tcPr>
          <w:p>
            <w:pPr>
              <w:spacing w:after="0" w:line="163" w:lineRule="exact"/>
              <w:rPr>
                <w:sz w:val="20"/>
                <w:szCs w:val="20"/>
                <w:color w:val="auto"/>
              </w:rPr>
            </w:pPr>
            <w:r>
              <w:rPr>
                <w:rFonts w:ascii="Georgia" w:cs="Georgia" w:eastAsia="Georgia" w:hAnsi="Georgia"/>
                <w:sz w:val="18"/>
                <w:szCs w:val="18"/>
                <w:color w:val="auto"/>
              </w:rPr>
              <w:t>Weighted average number of shares outstanding - basic and diluted</w:t>
            </w: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Georgia" w:cs="Georgia" w:eastAsia="Georgia" w:hAnsi="Georgia"/>
                <w:sz w:val="18"/>
                <w:szCs w:val="18"/>
                <w:color w:val="auto"/>
              </w:rPr>
              <w:t>15,083,825</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Georgia" w:cs="Georgia" w:eastAsia="Georgia" w:hAnsi="Georgia"/>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Georgia" w:cs="Georgia" w:eastAsia="Georgia" w:hAnsi="Georgia"/>
                <w:sz w:val="18"/>
                <w:szCs w:val="18"/>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Georgia" w:cs="Georgia" w:eastAsia="Georgia" w:hAnsi="Georgia"/>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2" w:name="page143"/>
    <w:bookmarkEnd w:id="142"/>
    <w:p>
      <w:pPr>
        <w:jc w:val="center"/>
        <w:spacing w:after="0"/>
        <w:rPr>
          <w:sz w:val="20"/>
          <w:szCs w:val="20"/>
          <w:color w:val="auto"/>
        </w:rPr>
      </w:pPr>
      <w:r>
        <w:rPr>
          <w:rFonts w:ascii="Georgia" w:cs="Georgia" w:eastAsia="Georgia" w:hAnsi="Georgia"/>
          <w:sz w:val="18"/>
          <w:szCs w:val="18"/>
          <w:b w:val="1"/>
          <w:bCs w:val="1"/>
          <w:i w:val="1"/>
          <w:iCs w:val="1"/>
          <w:color w:val="auto"/>
        </w:rPr>
        <w:t>Genenta Science S.p.A.</w:t>
      </w:r>
    </w:p>
    <w:p>
      <w:pPr>
        <w:jc w:val="center"/>
        <w:spacing w:after="0" w:line="237" w:lineRule="auto"/>
        <w:rPr>
          <w:sz w:val="20"/>
          <w:szCs w:val="20"/>
          <w:color w:val="auto"/>
        </w:rPr>
      </w:pPr>
      <w:r>
        <w:rPr>
          <w:rFonts w:ascii="Georgia" w:cs="Georgia" w:eastAsia="Georgia" w:hAnsi="Georgia"/>
          <w:sz w:val="18"/>
          <w:szCs w:val="18"/>
          <w:b w:val="1"/>
          <w:bCs w:val="1"/>
          <w:color w:val="auto"/>
        </w:rPr>
        <w:t>(formerly, Genenta Science S.r.l.)</w:t>
      </w:r>
    </w:p>
    <w:p>
      <w:pPr>
        <w:jc w:val="center"/>
        <w:spacing w:after="0"/>
        <w:rPr>
          <w:sz w:val="20"/>
          <w:szCs w:val="20"/>
          <w:color w:val="auto"/>
        </w:rPr>
      </w:pPr>
      <w:r>
        <w:rPr>
          <w:rFonts w:ascii="Georgia" w:cs="Georgia" w:eastAsia="Georgia" w:hAnsi="Georgia"/>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left="850"/>
              <w:spacing w:after="0"/>
              <w:rPr>
                <w:sz w:val="20"/>
                <w:szCs w:val="20"/>
                <w:color w:val="auto"/>
              </w:rPr>
            </w:pPr>
            <w:r>
              <w:rPr>
                <w:rFonts w:ascii="Georgia" w:cs="Georgia" w:eastAsia="Georgia" w:hAnsi="Georgia"/>
                <w:sz w:val="18"/>
                <w:szCs w:val="18"/>
                <w:b w:val="1"/>
                <w:bCs w:val="1"/>
                <w:color w:val="auto"/>
                <w:w w:val="99"/>
              </w:rPr>
              <w:t>At December 31,</w:t>
            </w:r>
          </w:p>
        </w:tc>
        <w:tc>
          <w:tcPr>
            <w:tcW w:w="1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70"/>
              <w:spacing w:after="0"/>
              <w:rPr>
                <w:sz w:val="20"/>
                <w:szCs w:val="20"/>
                <w:color w:val="auto"/>
              </w:rPr>
            </w:pPr>
            <w:r>
              <w:rPr>
                <w:rFonts w:ascii="Georgia" w:cs="Georgia" w:eastAsia="Georgia" w:hAnsi="Georgia"/>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Georgia" w:cs="Georgia" w:eastAsia="Georgia" w:hAnsi="Georgia"/>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left="850"/>
              <w:spacing w:after="0" w:line="202" w:lineRule="exact"/>
              <w:rPr>
                <w:sz w:val="20"/>
                <w:szCs w:val="20"/>
                <w:color w:val="auto"/>
              </w:rPr>
            </w:pPr>
            <w:r>
              <w:rPr>
                <w:rFonts w:ascii="Georgia" w:cs="Georgia" w:eastAsia="Georgia" w:hAnsi="Georgia"/>
                <w:sz w:val="18"/>
                <w:szCs w:val="18"/>
                <w:color w:val="auto"/>
              </w:rPr>
              <w:t>(in Euros)</w:t>
            </w:r>
          </w:p>
        </w:tc>
        <w:tc>
          <w:tcPr>
            <w:tcW w:w="14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3"/>
        </w:trPr>
        <w:tc>
          <w:tcPr>
            <w:tcW w:w="6360" w:type="dxa"/>
            <w:vAlign w:val="bottom"/>
            <w:shd w:val="clear" w:color="auto" w:fill="CCEEFF"/>
          </w:tcPr>
          <w:p>
            <w:pPr>
              <w:spacing w:after="0" w:line="200" w:lineRule="exact"/>
              <w:rPr>
                <w:sz w:val="20"/>
                <w:szCs w:val="20"/>
                <w:color w:val="auto"/>
              </w:rPr>
            </w:pPr>
            <w:r>
              <w:rPr>
                <w:rFonts w:ascii="Georgia" w:cs="Georgia" w:eastAsia="Georgia" w:hAnsi="Georgia"/>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Georgia" w:cs="Georgia" w:eastAsia="Georgia" w:hAnsi="Georgia"/>
                <w:sz w:val="18"/>
                <w:szCs w:val="18"/>
                <w:i w:val="1"/>
                <w:iCs w:val="1"/>
                <w:color w:val="auto"/>
              </w:rPr>
              <w:t>Current assets</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Cash and cash equivalents</w:t>
            </w:r>
          </w:p>
        </w:tc>
        <w:tc>
          <w:tcPr>
            <w:tcW w:w="660" w:type="dxa"/>
            <w:vAlign w:val="bottom"/>
            <w:gridSpan w:val="2"/>
            <w:shd w:val="clear" w:color="auto" w:fill="CCEEFF"/>
          </w:tcPr>
          <w:p>
            <w:pPr>
              <w:ind w:left="160"/>
              <w:spacing w:after="0" w:line="202" w:lineRule="exact"/>
              <w:rPr>
                <w:sz w:val="20"/>
                <w:szCs w:val="20"/>
                <w:color w:val="auto"/>
              </w:rPr>
            </w:pPr>
            <w:r>
              <w:rPr>
                <w:rFonts w:ascii="Georgia" w:cs="Georgia" w:eastAsia="Georgia" w:hAnsi="Georgia"/>
                <w:sz w:val="18"/>
                <w:szCs w:val="18"/>
                <w:color w:val="auto"/>
              </w:rPr>
              <w:t>€</w:t>
            </w:r>
          </w:p>
        </w:tc>
        <w:tc>
          <w:tcPr>
            <w:tcW w:w="19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37,240,162</w:t>
            </w:r>
          </w:p>
        </w:tc>
        <w:tc>
          <w:tcPr>
            <w:tcW w:w="7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540" w:type="dxa"/>
            <w:vAlign w:val="bottom"/>
            <w:gridSpan w:val="3"/>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15,465,243</w:t>
            </w:r>
          </w:p>
        </w:tc>
      </w:tr>
      <w:tr>
        <w:trPr>
          <w:trHeight w:val="203"/>
        </w:trPr>
        <w:tc>
          <w:tcPr>
            <w:tcW w:w="6360" w:type="dxa"/>
            <w:vAlign w:val="bottom"/>
          </w:tcPr>
          <w:p>
            <w:pPr>
              <w:ind w:left="180"/>
              <w:spacing w:after="0" w:line="202" w:lineRule="exact"/>
              <w:rPr>
                <w:sz w:val="20"/>
                <w:szCs w:val="20"/>
                <w:color w:val="auto"/>
              </w:rPr>
            </w:pPr>
            <w:r>
              <w:rPr>
                <w:rFonts w:ascii="Georgia" w:cs="Georgia" w:eastAsia="Georgia" w:hAnsi="Georgia"/>
                <w:sz w:val="18"/>
                <w:szCs w:val="18"/>
                <w:color w:val="auto"/>
              </w:rPr>
              <w:t>Prepaid expenses and other current assets</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1,519,023</w:t>
            </w:r>
          </w:p>
        </w:tc>
        <w:tc>
          <w:tcPr>
            <w:tcW w:w="700" w:type="dxa"/>
            <w:vAlign w:val="bottom"/>
          </w:tcPr>
          <w:p>
            <w:pPr>
              <w:spacing w:after="0"/>
              <w:rPr>
                <w:sz w:val="17"/>
                <w:szCs w:val="17"/>
                <w:color w:val="auto"/>
              </w:rPr>
            </w:pPr>
          </w:p>
        </w:tc>
        <w:tc>
          <w:tcPr>
            <w:tcW w:w="1540" w:type="dxa"/>
            <w:vAlign w:val="bottom"/>
            <w:gridSpan w:val="3"/>
          </w:tcPr>
          <w:p>
            <w:pPr>
              <w:jc w:val="right"/>
              <w:ind w:right="100"/>
              <w:spacing w:after="0" w:line="202" w:lineRule="exact"/>
              <w:rPr>
                <w:sz w:val="20"/>
                <w:szCs w:val="20"/>
                <w:color w:val="auto"/>
              </w:rPr>
            </w:pPr>
            <w:r>
              <w:rPr>
                <w:rFonts w:ascii="Georgia" w:cs="Georgia" w:eastAsia="Georgia" w:hAnsi="Georgia"/>
                <w:sz w:val="18"/>
                <w:szCs w:val="18"/>
                <w:color w:val="auto"/>
              </w:rPr>
              <w:t>947,501</w:t>
            </w:r>
          </w:p>
        </w:tc>
      </w:tr>
      <w:tr>
        <w:trPr>
          <w:trHeight w:val="235"/>
        </w:trPr>
        <w:tc>
          <w:tcPr>
            <w:tcW w:w="636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Prepaid expenses and other current assets - related party</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7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00"/>
              <w:spacing w:after="0"/>
              <w:rPr>
                <w:sz w:val="20"/>
                <w:szCs w:val="20"/>
                <w:color w:val="auto"/>
              </w:rPr>
            </w:pPr>
            <w:r>
              <w:rPr>
                <w:rFonts w:ascii="Georgia" w:cs="Georgia" w:eastAsia="Georgia" w:hAnsi="Georgia"/>
                <w:sz w:val="18"/>
                <w:szCs w:val="18"/>
                <w:color w:val="auto"/>
              </w:rPr>
              <w:t>121,432</w:t>
            </w:r>
          </w:p>
        </w:tc>
      </w:tr>
      <w:tr>
        <w:trPr>
          <w:trHeight w:val="198"/>
        </w:trPr>
        <w:tc>
          <w:tcPr>
            <w:tcW w:w="636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i w:val="1"/>
                <w:iCs w:val="1"/>
                <w:color w:val="auto"/>
              </w:rPr>
              <w:t>Total current assets</w:t>
            </w:r>
          </w:p>
        </w:tc>
        <w:tc>
          <w:tcPr>
            <w:tcW w:w="160" w:type="dxa"/>
            <w:vAlign w:val="bottom"/>
            <w:tcBorders>
              <w:top w:val="single" w:sz="8" w:color="CCEEFF"/>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38,759,185</w:t>
            </w:r>
          </w:p>
        </w:tc>
        <w:tc>
          <w:tcPr>
            <w:tcW w:w="320" w:type="dxa"/>
            <w:vAlign w:val="bottom"/>
            <w:tcBorders>
              <w:top w:val="single" w:sz="8" w:color="CCEEFF"/>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16,534,176</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r>
      <w:tr>
        <w:trPr>
          <w:trHeight w:val="203"/>
        </w:trPr>
        <w:tc>
          <w:tcPr>
            <w:tcW w:w="6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Georgia" w:cs="Georgia" w:eastAsia="Georgia" w:hAnsi="Georgia"/>
                <w:sz w:val="18"/>
                <w:szCs w:val="18"/>
                <w:i w:val="1"/>
                <w:iCs w:val="1"/>
                <w:color w:val="auto"/>
              </w:rPr>
              <w:t>Non-current assets</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23,090</w:t>
            </w:r>
          </w:p>
        </w:tc>
        <w:tc>
          <w:tcPr>
            <w:tcW w:w="7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18,971</w:t>
            </w:r>
          </w:p>
        </w:tc>
      </w:tr>
      <w:tr>
        <w:trPr>
          <w:trHeight w:val="203"/>
        </w:trPr>
        <w:tc>
          <w:tcPr>
            <w:tcW w:w="6360" w:type="dxa"/>
            <w:vAlign w:val="bottom"/>
          </w:tcPr>
          <w:p>
            <w:pPr>
              <w:ind w:left="180"/>
              <w:spacing w:after="0" w:line="202" w:lineRule="exact"/>
              <w:rPr>
                <w:sz w:val="20"/>
                <w:szCs w:val="20"/>
                <w:color w:val="auto"/>
              </w:rPr>
            </w:pPr>
            <w:r>
              <w:rPr>
                <w:rFonts w:ascii="Georgia" w:cs="Georgia" w:eastAsia="Georgia" w:hAnsi="Georgia"/>
                <w:sz w:val="18"/>
                <w:szCs w:val="18"/>
                <w:color w:val="auto"/>
              </w:rPr>
              <w:t>Other non-current assets - related party</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3,350</w:t>
            </w:r>
          </w:p>
        </w:tc>
        <w:tc>
          <w:tcPr>
            <w:tcW w:w="700" w:type="dxa"/>
            <w:vAlign w:val="bottom"/>
          </w:tcPr>
          <w:p>
            <w:pPr>
              <w:spacing w:after="0"/>
              <w:rPr>
                <w:sz w:val="17"/>
                <w:szCs w:val="17"/>
                <w:color w:val="auto"/>
              </w:rPr>
            </w:pPr>
          </w:p>
        </w:tc>
        <w:tc>
          <w:tcPr>
            <w:tcW w:w="1540" w:type="dxa"/>
            <w:vAlign w:val="bottom"/>
            <w:gridSpan w:val="3"/>
          </w:tcPr>
          <w:p>
            <w:pPr>
              <w:jc w:val="right"/>
              <w:ind w:right="100"/>
              <w:spacing w:after="0" w:line="202" w:lineRule="exact"/>
              <w:rPr>
                <w:sz w:val="20"/>
                <w:szCs w:val="20"/>
                <w:color w:val="auto"/>
              </w:rPr>
            </w:pPr>
            <w:r>
              <w:rPr>
                <w:rFonts w:ascii="Georgia" w:cs="Georgia" w:eastAsia="Georgia" w:hAnsi="Georgia"/>
                <w:sz w:val="18"/>
                <w:szCs w:val="18"/>
                <w:color w:val="auto"/>
              </w:rPr>
              <w:t>3,350</w:t>
            </w:r>
          </w:p>
        </w:tc>
      </w:tr>
      <w:tr>
        <w:trPr>
          <w:trHeight w:val="235"/>
        </w:trPr>
        <w:tc>
          <w:tcPr>
            <w:tcW w:w="636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Other non-current assets</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1,241,215</w:t>
            </w:r>
          </w:p>
        </w:tc>
        <w:tc>
          <w:tcPr>
            <w:tcW w:w="7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00"/>
              <w:spacing w:after="0"/>
              <w:rPr>
                <w:sz w:val="20"/>
                <w:szCs w:val="20"/>
                <w:color w:val="auto"/>
              </w:rPr>
            </w:pPr>
            <w:r>
              <w:rPr>
                <w:rFonts w:ascii="Georgia" w:cs="Georgia" w:eastAsia="Georgia" w:hAnsi="Georgia"/>
                <w:sz w:val="18"/>
                <w:szCs w:val="18"/>
                <w:color w:val="auto"/>
              </w:rPr>
              <w:t>945,618</w:t>
            </w:r>
          </w:p>
        </w:tc>
      </w:tr>
      <w:tr>
        <w:trPr>
          <w:trHeight w:val="198"/>
        </w:trPr>
        <w:tc>
          <w:tcPr>
            <w:tcW w:w="636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i w:val="1"/>
                <w:iCs w:val="1"/>
                <w:color w:val="auto"/>
              </w:rPr>
              <w:t>Total non-current assets</w:t>
            </w:r>
          </w:p>
        </w:tc>
        <w:tc>
          <w:tcPr>
            <w:tcW w:w="160" w:type="dxa"/>
            <w:vAlign w:val="bottom"/>
            <w:tcBorders>
              <w:top w:val="single" w:sz="8" w:color="CCEEFF"/>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1,267,655</w:t>
            </w:r>
          </w:p>
        </w:tc>
        <w:tc>
          <w:tcPr>
            <w:tcW w:w="320" w:type="dxa"/>
            <w:vAlign w:val="bottom"/>
            <w:tcBorders>
              <w:top w:val="single" w:sz="8" w:color="CCEEFF"/>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967,939</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r>
      <w:tr>
        <w:trPr>
          <w:trHeight w:val="215"/>
        </w:trPr>
        <w:tc>
          <w:tcPr>
            <w:tcW w:w="6360" w:type="dxa"/>
            <w:vAlign w:val="bottom"/>
            <w:shd w:val="clear" w:color="auto" w:fill="CCEEFF"/>
          </w:tcPr>
          <w:p>
            <w:pPr>
              <w:spacing w:after="0" w:line="190" w:lineRule="exact"/>
              <w:rPr>
                <w:sz w:val="20"/>
                <w:szCs w:val="20"/>
                <w:color w:val="auto"/>
              </w:rPr>
            </w:pPr>
            <w:r>
              <w:rPr>
                <w:rFonts w:ascii="Georgia" w:cs="Georgia" w:eastAsia="Georgia" w:hAnsi="Georgia"/>
                <w:sz w:val="18"/>
                <w:szCs w:val="18"/>
                <w:b w:val="1"/>
                <w:bCs w:val="1"/>
                <w:color w:val="auto"/>
              </w:rPr>
              <w:t>Total assets</w:t>
            </w:r>
          </w:p>
        </w:tc>
        <w:tc>
          <w:tcPr>
            <w:tcW w:w="660" w:type="dxa"/>
            <w:vAlign w:val="bottom"/>
            <w:gridSpan w:val="2"/>
            <w:shd w:val="clear" w:color="auto" w:fill="CCEEFF"/>
          </w:tcPr>
          <w:p>
            <w:pPr>
              <w:ind w:left="160"/>
              <w:spacing w:after="0"/>
              <w:rPr>
                <w:sz w:val="20"/>
                <w:szCs w:val="20"/>
                <w:color w:val="auto"/>
              </w:rPr>
            </w:pPr>
            <w:r>
              <w:rPr>
                <w:rFonts w:ascii="Georgia" w:cs="Georgia" w:eastAsia="Georgia" w:hAnsi="Georgia"/>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40,026,840</w:t>
            </w:r>
          </w:p>
        </w:tc>
        <w:tc>
          <w:tcPr>
            <w:tcW w:w="70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Georgia" w:cs="Georgia" w:eastAsia="Georgia" w:hAnsi="Georgia"/>
                <w:sz w:val="18"/>
                <w:szCs w:val="18"/>
                <w:color w:val="auto"/>
              </w:rPr>
              <w:t>17,502,115</w:t>
            </w:r>
          </w:p>
        </w:tc>
        <w:tc>
          <w:tcPr>
            <w:tcW w:w="80" w:type="dxa"/>
            <w:vAlign w:val="bottom"/>
            <w:shd w:val="clear" w:color="auto" w:fill="CCEEFF"/>
          </w:tcPr>
          <w:p>
            <w:pPr>
              <w:spacing w:after="0"/>
              <w:rPr>
                <w:sz w:val="18"/>
                <w:szCs w:val="18"/>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4"/>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Georgia" w:cs="Georgia" w:eastAsia="Georgia" w:hAnsi="Georgia"/>
                <w:sz w:val="18"/>
                <w:szCs w:val="18"/>
                <w:b w:val="1"/>
                <w:bCs w:val="1"/>
                <w:color w:val="auto"/>
              </w:rPr>
              <w:t>Liabilities and quotaholders’ and stockholders’ equity</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Georgia" w:cs="Georgia" w:eastAsia="Georgia" w:hAnsi="Georgia"/>
                <w:sz w:val="18"/>
                <w:szCs w:val="18"/>
                <w:i w:val="1"/>
                <w:iCs w:val="1"/>
                <w:color w:val="auto"/>
              </w:rPr>
              <w:t>Current liabilities</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Accounts payable</w:t>
            </w:r>
          </w:p>
        </w:tc>
        <w:tc>
          <w:tcPr>
            <w:tcW w:w="660" w:type="dxa"/>
            <w:vAlign w:val="bottom"/>
            <w:gridSpan w:val="2"/>
            <w:shd w:val="clear" w:color="auto" w:fill="CCEEFF"/>
          </w:tcPr>
          <w:p>
            <w:pPr>
              <w:ind w:left="160"/>
              <w:spacing w:after="0" w:line="202" w:lineRule="exact"/>
              <w:rPr>
                <w:sz w:val="20"/>
                <w:szCs w:val="20"/>
                <w:color w:val="auto"/>
              </w:rPr>
            </w:pPr>
            <w:r>
              <w:rPr>
                <w:rFonts w:ascii="Georgia" w:cs="Georgia" w:eastAsia="Georgia" w:hAnsi="Georgia"/>
                <w:sz w:val="18"/>
                <w:szCs w:val="18"/>
                <w:color w:val="auto"/>
              </w:rPr>
              <w:t>€</w:t>
            </w:r>
          </w:p>
        </w:tc>
        <w:tc>
          <w:tcPr>
            <w:tcW w:w="19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164,819</w:t>
            </w:r>
          </w:p>
        </w:tc>
        <w:tc>
          <w:tcPr>
            <w:tcW w:w="7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460" w:type="dxa"/>
            <w:vAlign w:val="bottom"/>
            <w:gridSpan w:val="2"/>
            <w:shd w:val="clear" w:color="auto" w:fill="CCEEFF"/>
          </w:tcPr>
          <w:p>
            <w:pPr>
              <w:jc w:val="right"/>
              <w:ind w:right="20"/>
              <w:spacing w:after="0" w:line="202" w:lineRule="exact"/>
              <w:rPr>
                <w:sz w:val="20"/>
                <w:szCs w:val="20"/>
                <w:color w:val="auto"/>
              </w:rPr>
            </w:pPr>
            <w:r>
              <w:rPr>
                <w:rFonts w:ascii="Georgia" w:cs="Georgia" w:eastAsia="Georgia" w:hAnsi="Georgia"/>
                <w:sz w:val="18"/>
                <w:szCs w:val="18"/>
                <w:color w:val="auto"/>
              </w:rPr>
              <w:t>544,988</w:t>
            </w: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ind w:left="180"/>
              <w:spacing w:after="0" w:line="202" w:lineRule="exact"/>
              <w:rPr>
                <w:sz w:val="20"/>
                <w:szCs w:val="20"/>
                <w:color w:val="auto"/>
              </w:rPr>
            </w:pPr>
            <w:r>
              <w:rPr>
                <w:rFonts w:ascii="Georgia" w:cs="Georgia" w:eastAsia="Georgia" w:hAnsi="Georgia"/>
                <w:sz w:val="18"/>
                <w:szCs w:val="18"/>
                <w:color w:val="auto"/>
              </w:rPr>
              <w:t>Accounts payable - related party</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25,047</w:t>
            </w:r>
          </w:p>
        </w:tc>
        <w:tc>
          <w:tcPr>
            <w:tcW w:w="70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Georgia" w:cs="Georgia" w:eastAsia="Georgia" w:hAnsi="Georgia"/>
                <w:sz w:val="18"/>
                <w:szCs w:val="18"/>
                <w:color w:val="auto"/>
              </w:rPr>
              <w:t>10,027</w:t>
            </w:r>
          </w:p>
        </w:tc>
        <w:tc>
          <w:tcPr>
            <w:tcW w:w="8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Accrued expenses</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712,313</w:t>
            </w:r>
          </w:p>
        </w:tc>
        <w:tc>
          <w:tcPr>
            <w:tcW w:w="7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Georgia" w:cs="Georgia" w:eastAsia="Georgia" w:hAnsi="Georgia"/>
                <w:sz w:val="18"/>
                <w:szCs w:val="18"/>
                <w:color w:val="auto"/>
              </w:rPr>
              <w:t>365,969</w:t>
            </w: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ind w:left="180"/>
              <w:spacing w:after="0" w:line="202" w:lineRule="exact"/>
              <w:rPr>
                <w:sz w:val="20"/>
                <w:szCs w:val="20"/>
                <w:color w:val="auto"/>
              </w:rPr>
            </w:pPr>
            <w:r>
              <w:rPr>
                <w:rFonts w:ascii="Georgia" w:cs="Georgia" w:eastAsia="Georgia" w:hAnsi="Georgia"/>
                <w:sz w:val="18"/>
                <w:szCs w:val="18"/>
                <w:color w:val="auto"/>
              </w:rPr>
              <w:t>Accrued expenses - related party</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132,141</w:t>
            </w:r>
          </w:p>
        </w:tc>
        <w:tc>
          <w:tcPr>
            <w:tcW w:w="70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Georgia" w:cs="Georgia" w:eastAsia="Georgia" w:hAnsi="Georgia"/>
                <w:sz w:val="18"/>
                <w:szCs w:val="18"/>
                <w:color w:val="auto"/>
              </w:rPr>
              <w:t>1,359,191</w:t>
            </w:r>
          </w:p>
        </w:tc>
        <w:tc>
          <w:tcPr>
            <w:tcW w:w="80" w:type="dxa"/>
            <w:vAlign w:val="bottom"/>
          </w:tcPr>
          <w:p>
            <w:pPr>
              <w:spacing w:after="0"/>
              <w:rPr>
                <w:sz w:val="17"/>
                <w:szCs w:val="17"/>
                <w:color w:val="auto"/>
              </w:rPr>
            </w:pPr>
          </w:p>
        </w:tc>
      </w:tr>
      <w:tr>
        <w:trPr>
          <w:trHeight w:val="235"/>
        </w:trPr>
        <w:tc>
          <w:tcPr>
            <w:tcW w:w="636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Other current liabilities</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100,719</w:t>
            </w:r>
          </w:p>
        </w:tc>
        <w:tc>
          <w:tcPr>
            <w:tcW w:w="7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00"/>
              <w:spacing w:after="0"/>
              <w:rPr>
                <w:sz w:val="20"/>
                <w:szCs w:val="20"/>
                <w:color w:val="auto"/>
              </w:rPr>
            </w:pPr>
            <w:r>
              <w:rPr>
                <w:rFonts w:ascii="Georgia" w:cs="Georgia" w:eastAsia="Georgia" w:hAnsi="Georgia"/>
                <w:sz w:val="18"/>
                <w:szCs w:val="18"/>
                <w:color w:val="auto"/>
              </w:rPr>
              <w:t>53,243</w:t>
            </w:r>
          </w:p>
        </w:tc>
      </w:tr>
      <w:tr>
        <w:trPr>
          <w:trHeight w:val="198"/>
        </w:trPr>
        <w:tc>
          <w:tcPr>
            <w:tcW w:w="636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i w:val="1"/>
                <w:iCs w:val="1"/>
                <w:color w:val="auto"/>
              </w:rPr>
              <w:t>Total current liabilities</w:t>
            </w:r>
          </w:p>
        </w:tc>
        <w:tc>
          <w:tcPr>
            <w:tcW w:w="160" w:type="dxa"/>
            <w:vAlign w:val="bottom"/>
            <w:tcBorders>
              <w:top w:val="single" w:sz="8" w:color="CCEEFF"/>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1,135,039</w:t>
            </w:r>
          </w:p>
        </w:tc>
        <w:tc>
          <w:tcPr>
            <w:tcW w:w="320" w:type="dxa"/>
            <w:vAlign w:val="bottom"/>
            <w:tcBorders>
              <w:top w:val="single" w:sz="8" w:color="CCEEFF"/>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2,333,418</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r>
      <w:tr>
        <w:trPr>
          <w:trHeight w:val="203"/>
        </w:trPr>
        <w:tc>
          <w:tcPr>
            <w:tcW w:w="6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Georgia" w:cs="Georgia" w:eastAsia="Georgia" w:hAnsi="Georgia"/>
                <w:sz w:val="18"/>
                <w:szCs w:val="18"/>
                <w:i w:val="1"/>
                <w:iCs w:val="1"/>
                <w:color w:val="auto"/>
              </w:rPr>
              <w:t>Non-current liabilities</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636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Retirement benefit obligation</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30,618</w:t>
            </w:r>
          </w:p>
        </w:tc>
        <w:tc>
          <w:tcPr>
            <w:tcW w:w="7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00"/>
              <w:spacing w:after="0"/>
              <w:rPr>
                <w:sz w:val="20"/>
                <w:szCs w:val="20"/>
                <w:color w:val="auto"/>
              </w:rPr>
            </w:pPr>
            <w:r>
              <w:rPr>
                <w:rFonts w:ascii="Georgia" w:cs="Georgia" w:eastAsia="Georgia" w:hAnsi="Georgia"/>
                <w:sz w:val="18"/>
                <w:szCs w:val="18"/>
                <w:color w:val="auto"/>
              </w:rPr>
              <w:t>17,388</w:t>
            </w:r>
          </w:p>
        </w:tc>
      </w:tr>
      <w:tr>
        <w:trPr>
          <w:trHeight w:val="198"/>
        </w:trPr>
        <w:tc>
          <w:tcPr>
            <w:tcW w:w="636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i w:val="1"/>
                <w:iCs w:val="1"/>
                <w:color w:val="auto"/>
              </w:rPr>
              <w:t>Total long-term liabilities</w:t>
            </w:r>
          </w:p>
        </w:tc>
        <w:tc>
          <w:tcPr>
            <w:tcW w:w="160" w:type="dxa"/>
            <w:vAlign w:val="bottom"/>
            <w:tcBorders>
              <w:top w:val="single" w:sz="8" w:color="CCEEFF"/>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30,618</w:t>
            </w:r>
          </w:p>
        </w:tc>
        <w:tc>
          <w:tcPr>
            <w:tcW w:w="320" w:type="dxa"/>
            <w:vAlign w:val="bottom"/>
            <w:tcBorders>
              <w:top w:val="single" w:sz="8" w:color="CCEEFF"/>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17,388</w:t>
            </w:r>
          </w:p>
        </w:tc>
        <w:tc>
          <w:tcPr>
            <w:tcW w:w="100" w:type="dxa"/>
            <w:vAlign w:val="bottom"/>
            <w:tcBorders>
              <w:top w:val="single" w:sz="8" w:color="CCEEFF"/>
              <w:bottom w:val="single" w:sz="8" w:color="CCEEFF"/>
            </w:tcBorders>
            <w:gridSpan w:val="2"/>
          </w:tcPr>
          <w:p>
            <w:pPr>
              <w:spacing w:after="0"/>
              <w:rPr>
                <w:sz w:val="17"/>
                <w:szCs w:val="17"/>
                <w:color w:val="auto"/>
              </w:rPr>
            </w:pPr>
          </w:p>
        </w:tc>
      </w:tr>
      <w:tr>
        <w:trPr>
          <w:trHeight w:val="203"/>
        </w:trPr>
        <w:tc>
          <w:tcPr>
            <w:tcW w:w="6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Georgia" w:cs="Georgia" w:eastAsia="Georgia" w:hAnsi="Georgia"/>
                <w:sz w:val="18"/>
                <w:szCs w:val="18"/>
                <w:i w:val="1"/>
                <w:iCs w:val="1"/>
                <w:color w:val="auto"/>
              </w:rPr>
              <w:t>Commitments and contingencies (Note 13)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Georgia" w:cs="Georgia" w:eastAsia="Georgia" w:hAnsi="Georgia"/>
                <w:sz w:val="18"/>
                <w:szCs w:val="18"/>
                <w:i w:val="1"/>
                <w:iCs w:val="1"/>
                <w:color w:val="auto"/>
              </w:rPr>
              <w:t>Quotaholders’ and stockholders’ equity</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i w:val="1"/>
                <w:iCs w:val="1"/>
                <w:color w:val="auto"/>
              </w:rPr>
              <w:t>Corporate capital</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7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Georgia" w:cs="Georgia" w:eastAsia="Georgia" w:hAnsi="Georgia"/>
                <w:sz w:val="18"/>
                <w:szCs w:val="18"/>
                <w:color w:val="auto"/>
              </w:rPr>
              <w:t>37,056</w:t>
            </w:r>
          </w:p>
        </w:tc>
        <w:tc>
          <w:tcPr>
            <w:tcW w:w="80" w:type="dxa"/>
            <w:vAlign w:val="bottom"/>
            <w:shd w:val="clear" w:color="auto" w:fill="CCEEFF"/>
          </w:tcPr>
          <w:p>
            <w:pPr>
              <w:spacing w:after="0"/>
              <w:rPr>
                <w:sz w:val="17"/>
                <w:szCs w:val="17"/>
                <w:color w:val="auto"/>
              </w:rPr>
            </w:pPr>
          </w:p>
        </w:tc>
      </w:tr>
      <w:tr>
        <w:trPr>
          <w:trHeight w:val="203"/>
        </w:trPr>
        <w:tc>
          <w:tcPr>
            <w:tcW w:w="6360" w:type="dxa"/>
            <w:vAlign w:val="bottom"/>
          </w:tcPr>
          <w:p>
            <w:pPr>
              <w:ind w:left="180"/>
              <w:spacing w:after="0" w:line="202" w:lineRule="exact"/>
              <w:rPr>
                <w:sz w:val="20"/>
                <w:szCs w:val="20"/>
                <w:color w:val="auto"/>
              </w:rPr>
            </w:pPr>
            <w:r>
              <w:rPr>
                <w:rFonts w:ascii="Georgia" w:cs="Georgia" w:eastAsia="Georgia" w:hAnsi="Georgia"/>
                <w:sz w:val="18"/>
                <w:szCs w:val="18"/>
                <w:i w:val="1"/>
                <w:iCs w:val="1"/>
                <w:color w:val="auto"/>
              </w:rPr>
              <w:t>Additional paid-in capital</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700" w:type="dxa"/>
            <w:vAlign w:val="bottom"/>
          </w:tcPr>
          <w:p>
            <w:pPr>
              <w:spacing w:after="0"/>
              <w:rPr>
                <w:sz w:val="17"/>
                <w:szCs w:val="17"/>
                <w:color w:val="auto"/>
              </w:rPr>
            </w:pPr>
          </w:p>
        </w:tc>
        <w:tc>
          <w:tcPr>
            <w:tcW w:w="1540" w:type="dxa"/>
            <w:vAlign w:val="bottom"/>
            <w:gridSpan w:val="3"/>
          </w:tcPr>
          <w:p>
            <w:pPr>
              <w:jc w:val="right"/>
              <w:ind w:right="100"/>
              <w:spacing w:after="0" w:line="202" w:lineRule="exact"/>
              <w:rPr>
                <w:sz w:val="20"/>
                <w:szCs w:val="20"/>
                <w:color w:val="auto"/>
              </w:rPr>
            </w:pPr>
            <w:r>
              <w:rPr>
                <w:rFonts w:ascii="Georgia" w:cs="Georgia" w:eastAsia="Georgia" w:hAnsi="Georgia"/>
                <w:sz w:val="18"/>
                <w:szCs w:val="18"/>
                <w:color w:val="auto"/>
              </w:rPr>
              <w:t>36,604,728</w:t>
            </w:r>
          </w:p>
        </w:tc>
      </w:tr>
      <w:tr>
        <w:trPr>
          <w:trHeight w:val="199"/>
        </w:trPr>
        <w:tc>
          <w:tcPr>
            <w:tcW w:w="6360" w:type="dxa"/>
            <w:vAlign w:val="bottom"/>
            <w:shd w:val="clear" w:color="auto" w:fill="CCEEFF"/>
          </w:tcPr>
          <w:p>
            <w:pPr>
              <w:ind w:left="180"/>
              <w:spacing w:after="0" w:line="200" w:lineRule="exact"/>
              <w:rPr>
                <w:sz w:val="20"/>
                <w:szCs w:val="20"/>
                <w:color w:val="auto"/>
              </w:rPr>
            </w:pPr>
            <w:r>
              <w:rPr>
                <w:rFonts w:ascii="Georgia" w:cs="Georgia" w:eastAsia="Georgia" w:hAnsi="Georgia"/>
                <w:sz w:val="18"/>
                <w:szCs w:val="18"/>
                <w:color w:val="auto"/>
              </w:rPr>
              <w:t>Common stock, no par value, 59,700,000 shares authorized and 18,216,858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6360" w:type="dxa"/>
            <w:vAlign w:val="bottom"/>
            <w:shd w:val="clear" w:color="auto" w:fill="CCEEFF"/>
          </w:tcPr>
          <w:p>
            <w:pPr>
              <w:ind w:left="180"/>
              <w:spacing w:after="0" w:line="203" w:lineRule="exact"/>
              <w:rPr>
                <w:sz w:val="20"/>
                <w:szCs w:val="20"/>
                <w:color w:val="auto"/>
              </w:rPr>
            </w:pPr>
            <w:r>
              <w:rPr>
                <w:rFonts w:ascii="Georgia" w:cs="Georgia" w:eastAsia="Georgia" w:hAnsi="Georgia"/>
                <w:sz w:val="18"/>
                <w:szCs w:val="18"/>
                <w:color w:val="auto"/>
              </w:rPr>
              <w:t>shares issued and outstanding</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65,880,990</w:t>
            </w:r>
          </w:p>
        </w:tc>
        <w:tc>
          <w:tcPr>
            <w:tcW w:w="7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3" w:lineRule="exact"/>
              <w:rPr>
                <w:sz w:val="20"/>
                <w:szCs w:val="20"/>
                <w:color w:val="auto"/>
              </w:rPr>
            </w:pPr>
            <w:r>
              <w:rPr>
                <w:rFonts w:ascii="Georgia" w:cs="Georgia" w:eastAsia="Georgia" w:hAnsi="Georgia"/>
                <w:sz w:val="18"/>
                <w:szCs w:val="18"/>
                <w:color w:val="auto"/>
              </w:rPr>
              <w:t>-</w:t>
            </w:r>
          </w:p>
        </w:tc>
        <w:tc>
          <w:tcPr>
            <w:tcW w:w="80" w:type="dxa"/>
            <w:vAlign w:val="bottom"/>
            <w:shd w:val="clear" w:color="auto" w:fill="CCEEFF"/>
          </w:tcPr>
          <w:p>
            <w:pPr>
              <w:spacing w:after="0"/>
              <w:rPr>
                <w:sz w:val="17"/>
                <w:szCs w:val="17"/>
                <w:color w:val="auto"/>
              </w:rPr>
            </w:pPr>
          </w:p>
        </w:tc>
      </w:tr>
      <w:tr>
        <w:trPr>
          <w:trHeight w:val="223"/>
        </w:trPr>
        <w:tc>
          <w:tcPr>
            <w:tcW w:w="6360" w:type="dxa"/>
            <w:vAlign w:val="bottom"/>
          </w:tcPr>
          <w:p>
            <w:pPr>
              <w:ind w:left="180"/>
              <w:spacing w:after="0" w:line="203" w:lineRule="exact"/>
              <w:rPr>
                <w:sz w:val="20"/>
                <w:szCs w:val="20"/>
                <w:color w:val="auto"/>
              </w:rPr>
            </w:pPr>
            <w:r>
              <w:rPr>
                <w:rFonts w:ascii="Georgia" w:cs="Georgia" w:eastAsia="Georgia" w:hAnsi="Georgia"/>
                <w:sz w:val="18"/>
                <w:szCs w:val="18"/>
                <w:color w:val="auto"/>
              </w:rPr>
              <w:t>Accumulated deficit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80" w:type="dxa"/>
            <w:vAlign w:val="bottom"/>
            <w:gridSpan w:val="2"/>
          </w:tcPr>
          <w:p>
            <w:pPr>
              <w:jc w:val="right"/>
              <w:ind w:right="260"/>
              <w:spacing w:after="0"/>
              <w:rPr>
                <w:sz w:val="20"/>
                <w:szCs w:val="20"/>
                <w:color w:val="auto"/>
              </w:rPr>
            </w:pPr>
            <w:r>
              <w:rPr>
                <w:rFonts w:ascii="Georgia" w:cs="Georgia" w:eastAsia="Georgia" w:hAnsi="Georgia"/>
                <w:sz w:val="18"/>
                <w:szCs w:val="18"/>
                <w:color w:val="auto"/>
              </w:rPr>
              <w:t>(27,019,807)</w:t>
            </w:r>
          </w:p>
        </w:tc>
        <w:tc>
          <w:tcPr>
            <w:tcW w:w="700" w:type="dxa"/>
            <w:vAlign w:val="bottom"/>
          </w:tcPr>
          <w:p>
            <w:pPr>
              <w:spacing w:after="0"/>
              <w:rPr>
                <w:sz w:val="19"/>
                <w:szCs w:val="19"/>
                <w:color w:val="auto"/>
              </w:rPr>
            </w:pPr>
          </w:p>
        </w:tc>
        <w:tc>
          <w:tcPr>
            <w:tcW w:w="1540" w:type="dxa"/>
            <w:vAlign w:val="bottom"/>
            <w:gridSpan w:val="3"/>
          </w:tcPr>
          <w:p>
            <w:pPr>
              <w:jc w:val="right"/>
              <w:ind w:right="40"/>
              <w:spacing w:after="0"/>
              <w:rPr>
                <w:sz w:val="20"/>
                <w:szCs w:val="20"/>
                <w:color w:val="auto"/>
              </w:rPr>
            </w:pPr>
            <w:r>
              <w:rPr>
                <w:rFonts w:ascii="Georgia" w:cs="Georgia" w:eastAsia="Georgia" w:hAnsi="Georgia"/>
                <w:sz w:val="18"/>
                <w:szCs w:val="18"/>
                <w:color w:val="auto"/>
              </w:rPr>
              <w:t>(21,490,475)</w:t>
            </w:r>
          </w:p>
        </w:tc>
      </w:tr>
      <w:tr>
        <w:trPr>
          <w:trHeight w:val="223"/>
        </w:trPr>
        <w:tc>
          <w:tcPr>
            <w:tcW w:w="6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Georgia" w:cs="Georgia" w:eastAsia="Georgia" w:hAnsi="Georgia"/>
                <w:sz w:val="18"/>
                <w:szCs w:val="18"/>
                <w:color w:val="auto"/>
              </w:rPr>
              <w:t>Total quotaholders’ and stockholders’ equity</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38,861,183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15,151,309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02"/>
        </w:trPr>
        <w:tc>
          <w:tcPr>
            <w:tcW w:w="6360" w:type="dxa"/>
            <w:vAlign w:val="bottom"/>
          </w:tcPr>
          <w:p>
            <w:pPr>
              <w:spacing w:after="0" w:line="183" w:lineRule="exact"/>
              <w:rPr>
                <w:sz w:val="20"/>
                <w:szCs w:val="20"/>
                <w:color w:val="auto"/>
              </w:rPr>
            </w:pPr>
            <w:r>
              <w:rPr>
                <w:rFonts w:ascii="Georgia" w:cs="Georgia" w:eastAsia="Georgia" w:hAnsi="Georgia"/>
                <w:sz w:val="18"/>
                <w:szCs w:val="18"/>
                <w:b w:val="1"/>
                <w:bCs w:val="1"/>
                <w:color w:val="auto"/>
              </w:rPr>
              <w:t>Total liabilities and quotaholders’ and stockholders’ equity</w:t>
            </w:r>
          </w:p>
        </w:tc>
        <w:tc>
          <w:tcPr>
            <w:tcW w:w="660" w:type="dxa"/>
            <w:vAlign w:val="bottom"/>
            <w:gridSpan w:val="2"/>
          </w:tcPr>
          <w:p>
            <w:pPr>
              <w:ind w:left="160"/>
              <w:spacing w:after="0" w:line="202" w:lineRule="exact"/>
              <w:rPr>
                <w:sz w:val="20"/>
                <w:szCs w:val="20"/>
                <w:color w:val="auto"/>
              </w:rPr>
            </w:pPr>
            <w:r>
              <w:rPr>
                <w:rFonts w:ascii="Georgia" w:cs="Georgia" w:eastAsia="Georgia" w:hAnsi="Georgia"/>
                <w:sz w:val="18"/>
                <w:szCs w:val="18"/>
                <w:color w:val="auto"/>
              </w:rPr>
              <w:t>€</w:t>
            </w:r>
          </w:p>
        </w:tc>
        <w:tc>
          <w:tcPr>
            <w:tcW w:w="19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40,026,840</w:t>
            </w:r>
          </w:p>
        </w:tc>
        <w:tc>
          <w:tcPr>
            <w:tcW w:w="70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460" w:type="dxa"/>
            <w:vAlign w:val="bottom"/>
            <w:gridSpan w:val="2"/>
          </w:tcPr>
          <w:p>
            <w:pPr>
              <w:jc w:val="right"/>
              <w:ind w:right="20"/>
              <w:spacing w:after="0" w:line="202" w:lineRule="exact"/>
              <w:rPr>
                <w:sz w:val="20"/>
                <w:szCs w:val="20"/>
                <w:color w:val="auto"/>
              </w:rPr>
            </w:pPr>
            <w:r>
              <w:rPr>
                <w:rFonts w:ascii="Georgia" w:cs="Georgia" w:eastAsia="Georgia" w:hAnsi="Georgia"/>
                <w:sz w:val="18"/>
                <w:szCs w:val="18"/>
                <w:color w:val="auto"/>
              </w:rPr>
              <w:t>17,502,115</w:t>
            </w:r>
          </w:p>
        </w:tc>
        <w:tc>
          <w:tcPr>
            <w:tcW w:w="8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Georgia" w:cs="Georgia" w:eastAsia="Georgia" w:hAnsi="Georgia"/>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3" w:name="page144"/>
    <w:bookmarkEnd w:id="143"/>
    <w:p>
      <w:pPr>
        <w:jc w:val="center"/>
        <w:spacing w:after="0"/>
        <w:rPr>
          <w:sz w:val="20"/>
          <w:szCs w:val="20"/>
          <w:color w:val="auto"/>
        </w:rPr>
      </w:pPr>
      <w:r>
        <w:rPr>
          <w:rFonts w:ascii="Georgia" w:cs="Georgia" w:eastAsia="Georgia" w:hAnsi="Georgia"/>
          <w:sz w:val="18"/>
          <w:szCs w:val="18"/>
          <w:b w:val="1"/>
          <w:bCs w:val="1"/>
          <w:i w:val="1"/>
          <w:iCs w:val="1"/>
          <w:color w:val="auto"/>
        </w:rPr>
        <w:t>Genenta Science S.p.A.</w:t>
      </w:r>
    </w:p>
    <w:p>
      <w:pPr>
        <w:jc w:val="center"/>
        <w:spacing w:after="0" w:line="237" w:lineRule="auto"/>
        <w:rPr>
          <w:sz w:val="20"/>
          <w:szCs w:val="20"/>
          <w:color w:val="auto"/>
        </w:rPr>
      </w:pPr>
      <w:r>
        <w:rPr>
          <w:rFonts w:ascii="Georgia" w:cs="Georgia" w:eastAsia="Georgia" w:hAnsi="Georgia"/>
          <w:sz w:val="18"/>
          <w:szCs w:val="18"/>
          <w:b w:val="1"/>
          <w:bCs w:val="1"/>
          <w:color w:val="auto"/>
        </w:rPr>
        <w:t>(formerly, Genenta Science S.r.l.)</w:t>
      </w:r>
    </w:p>
    <w:p>
      <w:pPr>
        <w:jc w:val="center"/>
        <w:spacing w:after="0" w:line="238" w:lineRule="auto"/>
        <w:rPr>
          <w:sz w:val="20"/>
          <w:szCs w:val="20"/>
          <w:color w:val="auto"/>
        </w:rPr>
      </w:pPr>
      <w:r>
        <w:rPr>
          <w:rFonts w:ascii="Georgia" w:cs="Georgia" w:eastAsia="Georgia" w:hAnsi="Georgia"/>
          <w:sz w:val="18"/>
          <w:szCs w:val="18"/>
          <w:b w:val="1"/>
          <w:bCs w:val="1"/>
          <w:color w:val="auto"/>
        </w:rPr>
        <w:t>Consolidated Statement of Changes in Quotaholders’ and</w:t>
      </w:r>
    </w:p>
    <w:p>
      <w:pPr>
        <w:jc w:val="center"/>
        <w:spacing w:after="0" w:line="238" w:lineRule="auto"/>
        <w:rPr>
          <w:sz w:val="20"/>
          <w:szCs w:val="20"/>
          <w:color w:val="auto"/>
        </w:rPr>
      </w:pPr>
      <w:r>
        <w:rPr>
          <w:rFonts w:ascii="Georgia" w:cs="Georgia" w:eastAsia="Georgia" w:hAnsi="Georgia"/>
          <w:sz w:val="18"/>
          <w:szCs w:val="18"/>
          <w:b w:val="1"/>
          <w:bCs w:val="1"/>
          <w:color w:val="auto"/>
        </w:rPr>
        <w:t>Stockholders’ Equity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440"/>
              <w:spacing w:after="0"/>
              <w:rPr>
                <w:sz w:val="20"/>
                <w:szCs w:val="20"/>
                <w:color w:val="auto"/>
              </w:rPr>
            </w:pPr>
            <w:r>
              <w:rPr>
                <w:rFonts w:ascii="Georgia" w:cs="Georgia" w:eastAsia="Georgia" w:hAnsi="Georgia"/>
                <w:sz w:val="18"/>
                <w:szCs w:val="18"/>
                <w:color w:val="auto"/>
              </w:rPr>
              <w:t>Corporate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20"/>
              <w:spacing w:after="0"/>
              <w:rPr>
                <w:sz w:val="20"/>
                <w:szCs w:val="20"/>
                <w:color w:val="auto"/>
              </w:rPr>
            </w:pPr>
            <w:r>
              <w:rPr>
                <w:rFonts w:ascii="Georgia" w:cs="Georgia" w:eastAsia="Georgia" w:hAnsi="Georgia"/>
                <w:sz w:val="18"/>
                <w:szCs w:val="18"/>
                <w:color w:val="auto"/>
              </w:rPr>
              <w:t>Additional</w:t>
            </w:r>
          </w:p>
        </w:tc>
        <w:tc>
          <w:tcPr>
            <w:tcW w:w="120" w:type="dxa"/>
            <w:vAlign w:val="bottom"/>
          </w:tcPr>
          <w:p>
            <w:pPr>
              <w:spacing w:after="0"/>
              <w:rPr>
                <w:sz w:val="17"/>
                <w:szCs w:val="17"/>
                <w:color w:val="auto"/>
              </w:rPr>
            </w:pPr>
          </w:p>
        </w:tc>
        <w:tc>
          <w:tcPr>
            <w:tcW w:w="1440" w:type="dxa"/>
            <w:vAlign w:val="bottom"/>
            <w:gridSpan w:val="2"/>
          </w:tcPr>
          <w:p>
            <w:pPr>
              <w:jc w:val="center"/>
              <w:ind w:right="440"/>
              <w:spacing w:after="0"/>
              <w:rPr>
                <w:sz w:val="20"/>
                <w:szCs w:val="20"/>
                <w:color w:val="auto"/>
              </w:rPr>
            </w:pPr>
            <w:r>
              <w:rPr>
                <w:rFonts w:ascii="Georgia" w:cs="Georgia" w:eastAsia="Georgia" w:hAnsi="Georgia"/>
                <w:sz w:val="18"/>
                <w:szCs w:val="18"/>
                <w:color w:val="auto"/>
                <w:w w:val="98"/>
              </w:rPr>
              <w:t>Common</w:t>
            </w:r>
          </w:p>
        </w:tc>
        <w:tc>
          <w:tcPr>
            <w:tcW w:w="1560" w:type="dxa"/>
            <w:vAlign w:val="bottom"/>
            <w:gridSpan w:val="3"/>
          </w:tcPr>
          <w:p>
            <w:pPr>
              <w:spacing w:after="0"/>
              <w:rPr>
                <w:sz w:val="20"/>
                <w:szCs w:val="20"/>
                <w:color w:val="auto"/>
              </w:rPr>
            </w:pPr>
            <w:r>
              <w:rPr>
                <w:rFonts w:ascii="Georgia" w:cs="Georgia" w:eastAsia="Georgia" w:hAnsi="Georgia"/>
                <w:sz w:val="18"/>
                <w:szCs w:val="18"/>
                <w:color w:val="auto"/>
              </w:rPr>
              <w:t>Common stock,</w:t>
            </w:r>
          </w:p>
        </w:tc>
        <w:tc>
          <w:tcPr>
            <w:tcW w:w="1560" w:type="dxa"/>
            <w:vAlign w:val="bottom"/>
            <w:gridSpan w:val="3"/>
          </w:tcPr>
          <w:p>
            <w:pPr>
              <w:jc w:val="right"/>
              <w:ind w:right="420"/>
              <w:spacing w:after="0"/>
              <w:rPr>
                <w:sz w:val="20"/>
                <w:szCs w:val="20"/>
                <w:color w:val="auto"/>
              </w:rPr>
            </w:pPr>
            <w:r>
              <w:rPr>
                <w:rFonts w:ascii="Georgia" w:cs="Georgia" w:eastAsia="Georgia" w:hAnsi="Georgia"/>
                <w:sz w:val="18"/>
                <w:szCs w:val="18"/>
                <w:color w:val="auto"/>
              </w:rPr>
              <w:t>Accumulated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80"/>
              <w:spacing w:after="0" w:line="203" w:lineRule="exact"/>
              <w:rPr>
                <w:sz w:val="20"/>
                <w:szCs w:val="20"/>
                <w:color w:val="auto"/>
              </w:rPr>
            </w:pPr>
            <w:r>
              <w:rPr>
                <w:rFonts w:ascii="Georgia" w:cs="Georgia" w:eastAsia="Georgia" w:hAnsi="Georgia"/>
                <w:sz w:val="18"/>
                <w:szCs w:val="18"/>
                <w:color w:val="auto"/>
              </w:rPr>
              <w:t>capital</w:t>
            </w:r>
          </w:p>
        </w:tc>
        <w:tc>
          <w:tcPr>
            <w:tcW w:w="120" w:type="dxa"/>
            <w:vAlign w:val="bottom"/>
          </w:tcPr>
          <w:p>
            <w:pPr>
              <w:spacing w:after="0"/>
              <w:rPr>
                <w:sz w:val="18"/>
                <w:szCs w:val="18"/>
                <w:color w:val="auto"/>
              </w:rPr>
            </w:pPr>
          </w:p>
        </w:tc>
        <w:tc>
          <w:tcPr>
            <w:tcW w:w="1560" w:type="dxa"/>
            <w:vAlign w:val="bottom"/>
            <w:gridSpan w:val="3"/>
          </w:tcPr>
          <w:p>
            <w:pPr>
              <w:jc w:val="right"/>
              <w:ind w:right="360"/>
              <w:spacing w:after="0" w:line="203" w:lineRule="exact"/>
              <w:rPr>
                <w:sz w:val="20"/>
                <w:szCs w:val="20"/>
                <w:color w:val="auto"/>
              </w:rPr>
            </w:pPr>
            <w:r>
              <w:rPr>
                <w:rFonts w:ascii="Georgia" w:cs="Georgia" w:eastAsia="Georgia" w:hAnsi="Georgia"/>
                <w:sz w:val="18"/>
                <w:szCs w:val="18"/>
                <w:color w:val="auto"/>
              </w:rPr>
              <w:t>paid-in capital</w:t>
            </w:r>
          </w:p>
        </w:tc>
        <w:tc>
          <w:tcPr>
            <w:tcW w:w="120" w:type="dxa"/>
            <w:vAlign w:val="bottom"/>
          </w:tcPr>
          <w:p>
            <w:pPr>
              <w:spacing w:after="0"/>
              <w:rPr>
                <w:sz w:val="18"/>
                <w:szCs w:val="18"/>
                <w:color w:val="auto"/>
              </w:rPr>
            </w:pPr>
          </w:p>
        </w:tc>
        <w:tc>
          <w:tcPr>
            <w:tcW w:w="1440" w:type="dxa"/>
            <w:vAlign w:val="bottom"/>
            <w:gridSpan w:val="2"/>
          </w:tcPr>
          <w:p>
            <w:pPr>
              <w:jc w:val="center"/>
              <w:ind w:right="440"/>
              <w:spacing w:after="0" w:line="203" w:lineRule="exact"/>
              <w:rPr>
                <w:sz w:val="20"/>
                <w:szCs w:val="20"/>
                <w:color w:val="auto"/>
              </w:rPr>
            </w:pPr>
            <w:r>
              <w:rPr>
                <w:rFonts w:ascii="Georgia" w:cs="Georgia" w:eastAsia="Georgia" w:hAnsi="Georgia"/>
                <w:sz w:val="18"/>
                <w:szCs w:val="18"/>
                <w:color w:val="auto"/>
              </w:rPr>
              <w:t>shares</w:t>
            </w:r>
          </w:p>
        </w:tc>
        <w:tc>
          <w:tcPr>
            <w:tcW w:w="220" w:type="dxa"/>
            <w:vAlign w:val="bottom"/>
          </w:tcPr>
          <w:p>
            <w:pPr>
              <w:spacing w:after="0"/>
              <w:rPr>
                <w:sz w:val="18"/>
                <w:szCs w:val="18"/>
                <w:color w:val="auto"/>
              </w:rPr>
            </w:pPr>
          </w:p>
        </w:tc>
        <w:tc>
          <w:tcPr>
            <w:tcW w:w="1340" w:type="dxa"/>
            <w:vAlign w:val="bottom"/>
            <w:gridSpan w:val="2"/>
          </w:tcPr>
          <w:p>
            <w:pPr>
              <w:jc w:val="right"/>
              <w:ind w:right="680"/>
              <w:spacing w:after="0" w:line="203" w:lineRule="exact"/>
              <w:rPr>
                <w:sz w:val="20"/>
                <w:szCs w:val="20"/>
                <w:color w:val="auto"/>
              </w:rPr>
            </w:pPr>
            <w:r>
              <w:rPr>
                <w:rFonts w:ascii="Georgia" w:cs="Georgia" w:eastAsia="Georgia" w:hAnsi="Georgia"/>
                <w:sz w:val="18"/>
                <w:szCs w:val="18"/>
                <w:color w:val="auto"/>
              </w:rPr>
              <w:t>no par</w:t>
            </w:r>
          </w:p>
        </w:tc>
        <w:tc>
          <w:tcPr>
            <w:tcW w:w="200" w:type="dxa"/>
            <w:vAlign w:val="bottom"/>
          </w:tcPr>
          <w:p>
            <w:pPr>
              <w:spacing w:after="0"/>
              <w:rPr>
                <w:sz w:val="18"/>
                <w:szCs w:val="18"/>
                <w:color w:val="auto"/>
              </w:rPr>
            </w:pPr>
          </w:p>
        </w:tc>
        <w:tc>
          <w:tcPr>
            <w:tcW w:w="1360" w:type="dxa"/>
            <w:vAlign w:val="bottom"/>
            <w:gridSpan w:val="2"/>
          </w:tcPr>
          <w:p>
            <w:pPr>
              <w:jc w:val="right"/>
              <w:ind w:right="680"/>
              <w:spacing w:after="0" w:line="203" w:lineRule="exact"/>
              <w:rPr>
                <w:sz w:val="20"/>
                <w:szCs w:val="20"/>
                <w:color w:val="auto"/>
              </w:rPr>
            </w:pPr>
            <w:r>
              <w:rPr>
                <w:rFonts w:ascii="Georgia" w:cs="Georgia" w:eastAsia="Georgia" w:hAnsi="Georgia"/>
                <w:sz w:val="18"/>
                <w:szCs w:val="18"/>
                <w:color w:val="auto"/>
              </w:rPr>
              <w:t>deficit</w:t>
            </w:r>
          </w:p>
        </w:tc>
        <w:tc>
          <w:tcPr>
            <w:tcW w:w="240" w:type="dxa"/>
            <w:vAlign w:val="bottom"/>
          </w:tcPr>
          <w:p>
            <w:pPr>
              <w:spacing w:after="0"/>
              <w:rPr>
                <w:sz w:val="18"/>
                <w:szCs w:val="18"/>
                <w:color w:val="auto"/>
              </w:rPr>
            </w:pPr>
          </w:p>
        </w:tc>
        <w:tc>
          <w:tcPr>
            <w:tcW w:w="1120" w:type="dxa"/>
            <w:vAlign w:val="bottom"/>
            <w:gridSpan w:val="2"/>
          </w:tcPr>
          <w:p>
            <w:pPr>
              <w:jc w:val="right"/>
              <w:ind w:right="520"/>
              <w:spacing w:after="0" w:line="203" w:lineRule="exact"/>
              <w:rPr>
                <w:sz w:val="20"/>
                <w:szCs w:val="20"/>
                <w:color w:val="auto"/>
              </w:rPr>
            </w:pPr>
            <w:r>
              <w:rPr>
                <w:rFonts w:ascii="Georgia" w:cs="Georgia" w:eastAsia="Georgia" w:hAnsi="Georgia"/>
                <w:sz w:val="18"/>
                <w:szCs w:val="18"/>
                <w:color w:val="auto"/>
              </w:rPr>
              <w:t>Total</w:t>
            </w:r>
          </w:p>
        </w:tc>
        <w:tc>
          <w:tcPr>
            <w:tcW w:w="0" w:type="dxa"/>
            <w:vAlign w:val="bottom"/>
          </w:tcPr>
          <w:p>
            <w:pPr>
              <w:spacing w:after="0"/>
              <w:rPr>
                <w:sz w:val="1"/>
                <w:szCs w:val="1"/>
                <w:color w:val="auto"/>
              </w:rPr>
            </w:pPr>
          </w:p>
        </w:tc>
      </w:tr>
      <w:tr>
        <w:trPr>
          <w:trHeight w:val="186"/>
        </w:trPr>
        <w:tc>
          <w:tcPr>
            <w:tcW w:w="1940" w:type="dxa"/>
            <w:vAlign w:val="bottom"/>
            <w:tcBorders>
              <w:top w:val="single" w:sz="8" w:color="CCEEFF"/>
            </w:tcBorders>
            <w:shd w:val="clear" w:color="auto" w:fill="CCEEFF"/>
          </w:tcPr>
          <w:p>
            <w:pPr>
              <w:spacing w:after="0" w:line="186" w:lineRule="exact"/>
              <w:rPr>
                <w:sz w:val="20"/>
                <w:szCs w:val="20"/>
                <w:color w:val="auto"/>
              </w:rPr>
            </w:pPr>
            <w:r>
              <w:rPr>
                <w:rFonts w:ascii="Georgia" w:cs="Georgia" w:eastAsia="Georgia" w:hAnsi="Georgia"/>
                <w:sz w:val="18"/>
                <w:szCs w:val="18"/>
                <w:color w:val="auto"/>
              </w:rPr>
              <w:t>Balance at January 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2019</w:t>
            </w:r>
          </w:p>
        </w:tc>
        <w:tc>
          <w:tcPr>
            <w:tcW w:w="280" w:type="dxa"/>
            <w:vAlign w:val="bottom"/>
            <w:gridSpan w:val="2"/>
            <w:shd w:val="clear" w:color="auto" w:fill="CCEEFF"/>
          </w:tcPr>
          <w:p>
            <w:pPr>
              <w:ind w:left="100"/>
              <w:spacing w:after="0"/>
              <w:rPr>
                <w:sz w:val="20"/>
                <w:szCs w:val="20"/>
                <w:color w:val="auto"/>
              </w:rPr>
            </w:pPr>
            <w:r>
              <w:rPr>
                <w:rFonts w:ascii="Georgia" w:cs="Georgia" w:eastAsia="Georgia" w:hAnsi="Georgia"/>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Georgia" w:cs="Georgia" w:eastAsia="Georgia" w:hAnsi="Georgia"/>
                <w:sz w:val="18"/>
                <w:szCs w:val="18"/>
                <w:color w:val="auto"/>
              </w:rPr>
              <w:t>29,179</w:t>
            </w:r>
          </w:p>
        </w:tc>
        <w:tc>
          <w:tcPr>
            <w:tcW w:w="280" w:type="dxa"/>
            <w:vAlign w:val="bottom"/>
            <w:gridSpan w:val="2"/>
            <w:shd w:val="clear" w:color="auto" w:fill="CCEEFF"/>
          </w:tcPr>
          <w:p>
            <w:pPr>
              <w:ind w:left="120"/>
              <w:spacing w:after="0"/>
              <w:rPr>
                <w:sz w:val="20"/>
                <w:szCs w:val="20"/>
                <w:color w:val="auto"/>
              </w:rPr>
            </w:pPr>
            <w:r>
              <w:rPr>
                <w:rFonts w:ascii="Georgia" w:cs="Georgia" w:eastAsia="Georgia" w:hAnsi="Georgia"/>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19,202,381</w:t>
            </w:r>
          </w:p>
        </w:tc>
        <w:tc>
          <w:tcPr>
            <w:tcW w:w="1560" w:type="dxa"/>
            <w:vAlign w:val="bottom"/>
            <w:gridSpan w:val="3"/>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22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20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Georgia" w:cs="Georgia" w:eastAsia="Georgia" w:hAnsi="Georgia"/>
                <w:sz w:val="18"/>
                <w:szCs w:val="18"/>
                <w:color w:val="auto"/>
              </w:rPr>
              <w:t>(11,300,738)</w:t>
            </w:r>
          </w:p>
        </w:tc>
        <w:tc>
          <w:tcPr>
            <w:tcW w:w="240" w:type="dxa"/>
            <w:vAlign w:val="bottom"/>
            <w:shd w:val="clear" w:color="auto" w:fill="CCEEFF"/>
          </w:tcPr>
          <w:p>
            <w:pPr>
              <w:ind w:left="20"/>
              <w:spacing w:after="0"/>
              <w:rPr>
                <w:sz w:val="20"/>
                <w:szCs w:val="20"/>
                <w:color w:val="auto"/>
              </w:rPr>
            </w:pPr>
            <w:r>
              <w:rPr>
                <w:rFonts w:ascii="Georgia" w:cs="Georgia" w:eastAsia="Georgia" w:hAnsi="Georgia"/>
                <w:sz w:val="18"/>
                <w:szCs w:val="18"/>
                <w:color w:val="auto"/>
              </w:rPr>
              <w:t>€</w:t>
            </w:r>
          </w:p>
        </w:tc>
        <w:tc>
          <w:tcPr>
            <w:tcW w:w="10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7,930,822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940" w:type="dxa"/>
            <w:vAlign w:val="bottom"/>
            <w:tcBorders>
              <w:top w:val="single" w:sz="8" w:color="CCEEFF"/>
            </w:tcBorders>
          </w:tcPr>
          <w:p>
            <w:pPr>
              <w:spacing w:after="0" w:line="174" w:lineRule="exact"/>
              <w:rPr>
                <w:sz w:val="20"/>
                <w:szCs w:val="20"/>
                <w:color w:val="auto"/>
              </w:rPr>
            </w:pPr>
            <w:r>
              <w:rPr>
                <w:rFonts w:ascii="Georgia" w:cs="Georgia" w:eastAsia="Georgia" w:hAnsi="Georgia"/>
                <w:sz w:val="18"/>
                <w:szCs w:val="18"/>
                <w:color w:val="auto"/>
              </w:rPr>
              <w:t>Capital increase, net</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940" w:type="dxa"/>
            <w:vAlign w:val="bottom"/>
          </w:tcPr>
          <w:p>
            <w:pPr>
              <w:spacing w:after="0" w:line="203" w:lineRule="exact"/>
              <w:rPr>
                <w:sz w:val="20"/>
                <w:szCs w:val="20"/>
                <w:color w:val="auto"/>
              </w:rPr>
            </w:pPr>
            <w:r>
              <w:rPr>
                <w:rFonts w:ascii="Georgia" w:cs="Georgia" w:eastAsia="Georgia" w:hAnsi="Georgia"/>
                <w:sz w:val="18"/>
                <w:szCs w:val="18"/>
                <w:color w:val="auto"/>
              </w:rPr>
              <w:t>of issuance costs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0"/>
              <w:spacing w:after="0" w:line="203" w:lineRule="exact"/>
              <w:rPr>
                <w:sz w:val="20"/>
                <w:szCs w:val="20"/>
                <w:color w:val="auto"/>
              </w:rPr>
            </w:pPr>
            <w:r>
              <w:rPr>
                <w:rFonts w:ascii="Georgia" w:cs="Georgia" w:eastAsia="Georgia" w:hAnsi="Georgia"/>
                <w:sz w:val="18"/>
                <w:szCs w:val="18"/>
                <w:color w:val="auto"/>
              </w:rPr>
              <w:t>6,870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14,761,332</w:t>
            </w:r>
          </w:p>
        </w:tc>
        <w:tc>
          <w:tcPr>
            <w:tcW w:w="1560" w:type="dxa"/>
            <w:vAlign w:val="bottom"/>
            <w:gridSpan w:val="3"/>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line="203" w:lineRule="exact"/>
              <w:rPr>
                <w:sz w:val="20"/>
                <w:szCs w:val="20"/>
                <w:color w:val="auto"/>
              </w:rPr>
            </w:pPr>
            <w:r>
              <w:rPr>
                <w:rFonts w:ascii="Georgia" w:cs="Georgia" w:eastAsia="Georgia" w:hAnsi="Georgia"/>
                <w:sz w:val="18"/>
                <w:szCs w:val="18"/>
                <w:color w:val="auto"/>
              </w:rPr>
              <w:t>14,768,202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940" w:type="dxa"/>
            <w:vAlign w:val="bottom"/>
            <w:tcBorders>
              <w:top w:val="single" w:sz="8" w:color="CCEEFF"/>
            </w:tcBorders>
            <w:shd w:val="clear" w:color="auto" w:fill="CCEEFF"/>
          </w:tcPr>
          <w:p>
            <w:pPr>
              <w:spacing w:after="0" w:line="179" w:lineRule="exact"/>
              <w:rPr>
                <w:sz w:val="20"/>
                <w:szCs w:val="20"/>
                <w:color w:val="auto"/>
              </w:rPr>
            </w:pPr>
            <w:r>
              <w:rPr>
                <w:rFonts w:ascii="Georgia" w:cs="Georgia" w:eastAsia="Georgia" w:hAnsi="Georgia"/>
                <w:sz w:val="18"/>
                <w:szCs w:val="18"/>
                <w:color w:val="auto"/>
              </w:rPr>
              <w:t>Share-based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9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compensation</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line="203" w:lineRule="exact"/>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749,512</w:t>
            </w:r>
          </w:p>
        </w:tc>
        <w:tc>
          <w:tcPr>
            <w:tcW w:w="1560" w:type="dxa"/>
            <w:vAlign w:val="bottom"/>
            <w:gridSpan w:val="3"/>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749,512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940" w:type="dxa"/>
            <w:vAlign w:val="bottom"/>
            <w:tcBorders>
              <w:top w:val="single" w:sz="8" w:color="CCEEFF"/>
            </w:tcBorders>
          </w:tcPr>
          <w:p>
            <w:pPr>
              <w:spacing w:after="0" w:line="183" w:lineRule="exact"/>
              <w:rPr>
                <w:sz w:val="20"/>
                <w:szCs w:val="20"/>
                <w:color w:val="auto"/>
              </w:rPr>
            </w:pPr>
            <w:r>
              <w:rPr>
                <w:rFonts w:ascii="Georgia" w:cs="Georgia" w:eastAsia="Georgia" w:hAnsi="Georgia"/>
                <w:sz w:val="18"/>
                <w:szCs w:val="18"/>
                <w:color w:val="auto"/>
              </w:rPr>
              <w:t>Net loss</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jc w:val="right"/>
              <w:spacing w:after="0" w:line="194" w:lineRule="exact"/>
              <w:rPr>
                <w:sz w:val="20"/>
                <w:szCs w:val="20"/>
                <w:color w:val="auto"/>
              </w:rPr>
            </w:pPr>
            <w:r>
              <w:rPr>
                <w:rFonts w:ascii="Georgia" w:cs="Georgia" w:eastAsia="Georgia" w:hAnsi="Georgia"/>
                <w:sz w:val="18"/>
                <w:szCs w:val="18"/>
                <w:color w:val="auto"/>
              </w:rPr>
              <w:t>-</w:t>
            </w: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gridSpan w:val="2"/>
          </w:tcPr>
          <w:p>
            <w:pPr>
              <w:jc w:val="right"/>
              <w:ind w:right="320"/>
              <w:spacing w:after="0" w:line="194" w:lineRule="exact"/>
              <w:rPr>
                <w:sz w:val="20"/>
                <w:szCs w:val="20"/>
                <w:color w:val="auto"/>
              </w:rPr>
            </w:pPr>
            <w:r>
              <w:rPr>
                <w:rFonts w:ascii="Georgia" w:cs="Georgia" w:eastAsia="Georgia" w:hAnsi="Georgia"/>
                <w:sz w:val="18"/>
                <w:szCs w:val="18"/>
                <w:color w:val="auto"/>
              </w:rPr>
              <w:t>-</w:t>
            </w: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CCEEFF"/>
            </w:tcBorders>
            <w:gridSpan w:val="2"/>
          </w:tcPr>
          <w:p>
            <w:pPr>
              <w:jc w:val="right"/>
              <w:ind w:right="320"/>
              <w:spacing w:after="0" w:line="194" w:lineRule="exact"/>
              <w:rPr>
                <w:sz w:val="20"/>
                <w:szCs w:val="20"/>
                <w:color w:val="auto"/>
              </w:rPr>
            </w:pPr>
            <w:r>
              <w:rPr>
                <w:rFonts w:ascii="Georgia" w:cs="Georgia" w:eastAsia="Georgia" w:hAnsi="Georgia"/>
                <w:sz w:val="18"/>
                <w:szCs w:val="18"/>
                <w:color w:val="auto"/>
              </w:rPr>
              <w:t>-</w:t>
            </w:r>
          </w:p>
        </w:tc>
        <w:tc>
          <w:tcPr>
            <w:tcW w:w="22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gridSpan w:val="2"/>
          </w:tcPr>
          <w:p>
            <w:pPr>
              <w:jc w:val="right"/>
              <w:ind w:right="320"/>
              <w:spacing w:after="0" w:line="194" w:lineRule="exact"/>
              <w:rPr>
                <w:sz w:val="20"/>
                <w:szCs w:val="20"/>
                <w:color w:val="auto"/>
              </w:rPr>
            </w:pPr>
            <w:r>
              <w:rPr>
                <w:rFonts w:ascii="Georgia" w:cs="Georgia" w:eastAsia="Georgia" w:hAnsi="Georgia"/>
                <w:sz w:val="18"/>
                <w:szCs w:val="18"/>
                <w:color w:val="auto"/>
              </w:rPr>
              <w:t>-</w:t>
            </w:r>
          </w:p>
        </w:tc>
        <w:tc>
          <w:tcPr>
            <w:tcW w:w="20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gridSpan w:val="2"/>
          </w:tcPr>
          <w:p>
            <w:pPr>
              <w:jc w:val="right"/>
              <w:ind w:right="240"/>
              <w:spacing w:after="0" w:line="194" w:lineRule="exact"/>
              <w:rPr>
                <w:sz w:val="20"/>
                <w:szCs w:val="20"/>
                <w:color w:val="auto"/>
              </w:rPr>
            </w:pPr>
            <w:r>
              <w:rPr>
                <w:rFonts w:ascii="Georgia" w:cs="Georgia" w:eastAsia="Georgia" w:hAnsi="Georgia"/>
                <w:sz w:val="18"/>
                <w:szCs w:val="18"/>
                <w:color w:val="auto"/>
              </w:rPr>
              <w:t>(4,597,723)</w:t>
            </w: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2"/>
          </w:tcPr>
          <w:p>
            <w:pPr>
              <w:jc w:val="right"/>
              <w:ind w:right="40"/>
              <w:spacing w:after="0" w:line="194" w:lineRule="exact"/>
              <w:rPr>
                <w:sz w:val="20"/>
                <w:szCs w:val="20"/>
                <w:color w:val="auto"/>
              </w:rPr>
            </w:pPr>
            <w:r>
              <w:rPr>
                <w:rFonts w:ascii="Georgia" w:cs="Georgia" w:eastAsia="Georgia" w:hAnsi="Georgia"/>
                <w:sz w:val="18"/>
                <w:szCs w:val="18"/>
                <w:color w:val="auto"/>
              </w:rPr>
              <w:t>(4,597,723)</w:t>
            </w:r>
          </w:p>
        </w:tc>
        <w:tc>
          <w:tcPr>
            <w:tcW w:w="0" w:type="dxa"/>
            <w:vAlign w:val="bottom"/>
          </w:tcPr>
          <w:p>
            <w:pPr>
              <w:spacing w:after="0"/>
              <w:rPr>
                <w:sz w:val="1"/>
                <w:szCs w:val="1"/>
                <w:color w:val="auto"/>
              </w:rPr>
            </w:pPr>
          </w:p>
        </w:tc>
      </w:tr>
      <w:tr>
        <w:trPr>
          <w:trHeight w:val="28"/>
        </w:trPr>
        <w:tc>
          <w:tcPr>
            <w:tcW w:w="194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Balance at December</w:t>
            </w: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940" w:type="dxa"/>
            <w:vAlign w:val="bottom"/>
            <w:vMerge w:val="continue"/>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Georgia" w:cs="Georgia" w:eastAsia="Georgia" w:hAnsi="Georgia"/>
                <w:sz w:val="18"/>
                <w:szCs w:val="18"/>
                <w:color w:val="auto"/>
              </w:rPr>
              <w:t>36,049</w:t>
            </w:r>
          </w:p>
        </w:tc>
        <w:tc>
          <w:tcPr>
            <w:tcW w:w="200" w:type="dxa"/>
            <w:vAlign w:val="bottom"/>
            <w:vMerge w:val="restart"/>
            <w:shd w:val="clear" w:color="auto" w:fill="CCEEFF"/>
          </w:tcPr>
          <w:p>
            <w:pPr>
              <w:spacing w:after="0"/>
              <w:rPr>
                <w:sz w:val="16"/>
                <w:szCs w:val="16"/>
                <w:color w:val="auto"/>
              </w:rPr>
            </w:pPr>
          </w:p>
        </w:tc>
        <w:tc>
          <w:tcPr>
            <w:tcW w:w="280" w:type="dxa"/>
            <w:vAlign w:val="bottom"/>
            <w:gridSpan w:val="2"/>
            <w:vMerge w:val="restart"/>
            <w:shd w:val="clear" w:color="auto" w:fill="CCEEFF"/>
          </w:tcPr>
          <w:p>
            <w:pPr>
              <w:ind w:left="120"/>
              <w:spacing w:after="0"/>
              <w:rPr>
                <w:sz w:val="20"/>
                <w:szCs w:val="20"/>
                <w:color w:val="auto"/>
              </w:rPr>
            </w:pPr>
            <w:r>
              <w:rPr>
                <w:rFonts w:ascii="Georgia" w:cs="Georgia" w:eastAsia="Georgia" w:hAnsi="Georgia"/>
                <w:sz w:val="18"/>
                <w:szCs w:val="18"/>
                <w:color w:val="auto"/>
              </w:rPr>
              <w:t>€</w:t>
            </w:r>
          </w:p>
        </w:tc>
        <w:tc>
          <w:tcPr>
            <w:tcW w:w="1400" w:type="dxa"/>
            <w:vAlign w:val="bottom"/>
            <w:gridSpan w:val="2"/>
            <w:vMerge w:val="restart"/>
            <w:shd w:val="clear" w:color="auto" w:fill="CCEEFF"/>
          </w:tcPr>
          <w:p>
            <w:pPr>
              <w:jc w:val="right"/>
              <w:ind w:right="320"/>
              <w:spacing w:after="0"/>
              <w:rPr>
                <w:sz w:val="20"/>
                <w:szCs w:val="20"/>
                <w:color w:val="auto"/>
              </w:rPr>
            </w:pPr>
            <w:r>
              <w:rPr>
                <w:rFonts w:ascii="Georgia" w:cs="Georgia" w:eastAsia="Georgia" w:hAnsi="Georgia"/>
                <w:sz w:val="18"/>
                <w:szCs w:val="18"/>
                <w:color w:val="auto"/>
              </w:rPr>
              <w:t>34,713,225</w:t>
            </w:r>
          </w:p>
        </w:tc>
        <w:tc>
          <w:tcPr>
            <w:tcW w:w="1560" w:type="dxa"/>
            <w:vAlign w:val="bottom"/>
            <w:gridSpan w:val="3"/>
            <w:vMerge w:val="restart"/>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22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w:t>
            </w:r>
          </w:p>
        </w:tc>
        <w:tc>
          <w:tcPr>
            <w:tcW w:w="1340" w:type="dxa"/>
            <w:vAlign w:val="bottom"/>
            <w:gridSpan w:val="2"/>
            <w:vMerge w:val="restart"/>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20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w:t>
            </w:r>
          </w:p>
        </w:tc>
        <w:tc>
          <w:tcPr>
            <w:tcW w:w="1360" w:type="dxa"/>
            <w:vAlign w:val="bottom"/>
            <w:gridSpan w:val="2"/>
            <w:vMerge w:val="restart"/>
            <w:shd w:val="clear" w:color="auto" w:fill="CCEEFF"/>
          </w:tcPr>
          <w:p>
            <w:pPr>
              <w:jc w:val="right"/>
              <w:ind w:right="240"/>
              <w:spacing w:after="0"/>
              <w:rPr>
                <w:sz w:val="20"/>
                <w:szCs w:val="20"/>
                <w:color w:val="auto"/>
              </w:rPr>
            </w:pPr>
            <w:r>
              <w:rPr>
                <w:rFonts w:ascii="Georgia" w:cs="Georgia" w:eastAsia="Georgia" w:hAnsi="Georgia"/>
                <w:sz w:val="18"/>
                <w:szCs w:val="18"/>
                <w:color w:val="auto"/>
              </w:rPr>
              <w:t>(15,898,461)</w:t>
            </w:r>
          </w:p>
        </w:tc>
        <w:tc>
          <w:tcPr>
            <w:tcW w:w="240" w:type="dxa"/>
            <w:vAlign w:val="bottom"/>
            <w:vMerge w:val="restart"/>
            <w:shd w:val="clear" w:color="auto" w:fill="CCEEFF"/>
          </w:tcPr>
          <w:p>
            <w:pPr>
              <w:ind w:left="20"/>
              <w:spacing w:after="0"/>
              <w:rPr>
                <w:sz w:val="20"/>
                <w:szCs w:val="20"/>
                <w:color w:val="auto"/>
              </w:rPr>
            </w:pPr>
            <w:r>
              <w:rPr>
                <w:rFonts w:ascii="Georgia" w:cs="Georgia" w:eastAsia="Georgia" w:hAnsi="Georgia"/>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Georgia" w:cs="Georgia" w:eastAsia="Georgia" w:hAnsi="Georgia"/>
                <w:sz w:val="18"/>
                <w:szCs w:val="18"/>
                <w:color w:val="auto"/>
              </w:rPr>
              <w:t>18,850,813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spacing w:after="0" w:line="192" w:lineRule="exact"/>
              <w:rPr>
                <w:sz w:val="20"/>
                <w:szCs w:val="20"/>
                <w:color w:val="auto"/>
              </w:rPr>
            </w:pPr>
            <w:r>
              <w:rPr>
                <w:rFonts w:ascii="Georgia" w:cs="Georgia" w:eastAsia="Georgia" w:hAnsi="Georgia"/>
                <w:sz w:val="18"/>
                <w:szCs w:val="18"/>
                <w:color w:val="auto"/>
              </w:rPr>
              <w:t>31, 2019</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560" w:type="dxa"/>
            <w:vAlign w:val="bottom"/>
            <w:gridSpan w:val="3"/>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940" w:type="dxa"/>
            <w:vAlign w:val="bottom"/>
            <w:tcBorders>
              <w:top w:val="single" w:sz="8" w:color="CCEEFF"/>
            </w:tcBorders>
          </w:tcPr>
          <w:p>
            <w:pPr>
              <w:spacing w:after="0" w:line="173" w:lineRule="exact"/>
              <w:rPr>
                <w:sz w:val="20"/>
                <w:szCs w:val="20"/>
                <w:color w:val="auto"/>
              </w:rPr>
            </w:pPr>
            <w:r>
              <w:rPr>
                <w:rFonts w:ascii="Georgia" w:cs="Georgia" w:eastAsia="Georgia" w:hAnsi="Georgia"/>
                <w:sz w:val="18"/>
                <w:szCs w:val="18"/>
                <w:color w:val="auto"/>
              </w:rPr>
              <w:t>Capital increase, net</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40" w:type="dxa"/>
            <w:vAlign w:val="bottom"/>
          </w:tcPr>
          <w:p>
            <w:pPr>
              <w:spacing w:after="0" w:line="203" w:lineRule="exact"/>
              <w:rPr>
                <w:sz w:val="20"/>
                <w:szCs w:val="20"/>
                <w:color w:val="auto"/>
              </w:rPr>
            </w:pPr>
            <w:r>
              <w:rPr>
                <w:rFonts w:ascii="Georgia" w:cs="Georgia" w:eastAsia="Georgia" w:hAnsi="Georgia"/>
                <w:sz w:val="18"/>
                <w:szCs w:val="18"/>
                <w:color w:val="auto"/>
              </w:rPr>
              <w:t>of issuance costs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Georgia" w:cs="Georgia" w:eastAsia="Georgia" w:hAnsi="Georgia"/>
                <w:sz w:val="18"/>
                <w:szCs w:val="18"/>
                <w:color w:val="auto"/>
              </w:rPr>
              <w:t>1,007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1,431,309</w:t>
            </w:r>
          </w:p>
        </w:tc>
        <w:tc>
          <w:tcPr>
            <w:tcW w:w="1560" w:type="dxa"/>
            <w:vAlign w:val="bottom"/>
            <w:gridSpan w:val="3"/>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Georgia" w:cs="Georgia" w:eastAsia="Georgia" w:hAnsi="Georgia"/>
                <w:sz w:val="18"/>
                <w:szCs w:val="18"/>
                <w:color w:val="auto"/>
              </w:rPr>
              <w:t>1,432,316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40" w:type="dxa"/>
            <w:vAlign w:val="bottom"/>
            <w:shd w:val="clear" w:color="auto" w:fill="CCEEFF"/>
          </w:tcPr>
          <w:p>
            <w:pPr>
              <w:spacing w:after="0" w:line="201" w:lineRule="exact"/>
              <w:rPr>
                <w:sz w:val="20"/>
                <w:szCs w:val="20"/>
                <w:color w:val="auto"/>
              </w:rPr>
            </w:pPr>
            <w:r>
              <w:rPr>
                <w:rFonts w:ascii="Georgia" w:cs="Georgia" w:eastAsia="Georgia" w:hAnsi="Georgia"/>
                <w:sz w:val="18"/>
                <w:szCs w:val="18"/>
                <w:color w:val="auto"/>
              </w:rPr>
              <w:t>Share-based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compensation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line="203" w:lineRule="exact"/>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460,194</w:t>
            </w:r>
          </w:p>
        </w:tc>
        <w:tc>
          <w:tcPr>
            <w:tcW w:w="1560" w:type="dxa"/>
            <w:vAlign w:val="bottom"/>
            <w:gridSpan w:val="3"/>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460,194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Georgia" w:cs="Georgia" w:eastAsia="Georgia" w:hAnsi="Georgia"/>
                <w:sz w:val="18"/>
                <w:szCs w:val="18"/>
                <w:color w:val="auto"/>
              </w:rPr>
              <w:t>Net loss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Georgia" w:cs="Georgia" w:eastAsia="Georgia" w:hAnsi="Georgia"/>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1560" w:type="dxa"/>
            <w:vAlign w:val="bottom"/>
            <w:gridSpan w:val="3"/>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Georgia" w:cs="Georgia" w:eastAsia="Georgia" w:hAnsi="Georgia"/>
                <w:sz w:val="18"/>
                <w:szCs w:val="18"/>
                <w:color w:val="auto"/>
              </w:rPr>
              <w:t>(5,592,014)</w:t>
            </w:r>
          </w:p>
        </w:tc>
        <w:tc>
          <w:tcPr>
            <w:tcW w:w="24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Georgia" w:cs="Georgia" w:eastAsia="Georgia" w:hAnsi="Georgia"/>
                <w:sz w:val="18"/>
                <w:szCs w:val="18"/>
                <w:color w:val="auto"/>
              </w:rPr>
              <w:t>(5,592,014)</w:t>
            </w:r>
          </w:p>
        </w:tc>
        <w:tc>
          <w:tcPr>
            <w:tcW w:w="0" w:type="dxa"/>
            <w:vAlign w:val="bottom"/>
          </w:tcPr>
          <w:p>
            <w:pPr>
              <w:spacing w:after="0"/>
              <w:rPr>
                <w:sz w:val="1"/>
                <w:szCs w:val="1"/>
                <w:color w:val="auto"/>
              </w:rPr>
            </w:pPr>
          </w:p>
        </w:tc>
      </w:tr>
      <w:tr>
        <w:trPr>
          <w:trHeight w:val="27"/>
        </w:trPr>
        <w:tc>
          <w:tcPr>
            <w:tcW w:w="194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Balance at December</w:t>
            </w: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940" w:type="dxa"/>
            <w:vAlign w:val="bottom"/>
            <w:vMerge w:val="continue"/>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Georgia" w:cs="Georgia" w:eastAsia="Georgia" w:hAnsi="Georgia"/>
                <w:sz w:val="18"/>
                <w:szCs w:val="18"/>
                <w:color w:val="auto"/>
              </w:rPr>
              <w:t>37,056</w:t>
            </w:r>
          </w:p>
        </w:tc>
        <w:tc>
          <w:tcPr>
            <w:tcW w:w="200" w:type="dxa"/>
            <w:vAlign w:val="bottom"/>
            <w:vMerge w:val="restart"/>
            <w:shd w:val="clear" w:color="auto" w:fill="CCEEFF"/>
          </w:tcPr>
          <w:p>
            <w:pPr>
              <w:spacing w:after="0"/>
              <w:rPr>
                <w:sz w:val="16"/>
                <w:szCs w:val="16"/>
                <w:color w:val="auto"/>
              </w:rPr>
            </w:pPr>
          </w:p>
        </w:tc>
        <w:tc>
          <w:tcPr>
            <w:tcW w:w="280" w:type="dxa"/>
            <w:vAlign w:val="bottom"/>
            <w:gridSpan w:val="2"/>
            <w:vMerge w:val="restart"/>
            <w:shd w:val="clear" w:color="auto" w:fill="CCEEFF"/>
          </w:tcPr>
          <w:p>
            <w:pPr>
              <w:ind w:left="120"/>
              <w:spacing w:after="0"/>
              <w:rPr>
                <w:sz w:val="20"/>
                <w:szCs w:val="20"/>
                <w:color w:val="auto"/>
              </w:rPr>
            </w:pPr>
            <w:r>
              <w:rPr>
                <w:rFonts w:ascii="Georgia" w:cs="Georgia" w:eastAsia="Georgia" w:hAnsi="Georgia"/>
                <w:sz w:val="18"/>
                <w:szCs w:val="18"/>
                <w:color w:val="auto"/>
              </w:rPr>
              <w:t>€</w:t>
            </w:r>
          </w:p>
        </w:tc>
        <w:tc>
          <w:tcPr>
            <w:tcW w:w="1400" w:type="dxa"/>
            <w:vAlign w:val="bottom"/>
            <w:gridSpan w:val="2"/>
            <w:vMerge w:val="restart"/>
            <w:shd w:val="clear" w:color="auto" w:fill="CCEEFF"/>
          </w:tcPr>
          <w:p>
            <w:pPr>
              <w:jc w:val="right"/>
              <w:ind w:right="320"/>
              <w:spacing w:after="0"/>
              <w:rPr>
                <w:sz w:val="20"/>
                <w:szCs w:val="20"/>
                <w:color w:val="auto"/>
              </w:rPr>
            </w:pPr>
            <w:r>
              <w:rPr>
                <w:rFonts w:ascii="Georgia" w:cs="Georgia" w:eastAsia="Georgia" w:hAnsi="Georgia"/>
                <w:sz w:val="18"/>
                <w:szCs w:val="18"/>
                <w:color w:val="auto"/>
              </w:rPr>
              <w:t>36,604,728</w:t>
            </w:r>
          </w:p>
        </w:tc>
        <w:tc>
          <w:tcPr>
            <w:tcW w:w="1560" w:type="dxa"/>
            <w:vAlign w:val="bottom"/>
            <w:gridSpan w:val="3"/>
            <w:vMerge w:val="restart"/>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22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w:t>
            </w:r>
          </w:p>
        </w:tc>
        <w:tc>
          <w:tcPr>
            <w:tcW w:w="1340" w:type="dxa"/>
            <w:vAlign w:val="bottom"/>
            <w:gridSpan w:val="2"/>
            <w:vMerge w:val="restart"/>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20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w:t>
            </w:r>
          </w:p>
        </w:tc>
        <w:tc>
          <w:tcPr>
            <w:tcW w:w="1360" w:type="dxa"/>
            <w:vAlign w:val="bottom"/>
            <w:gridSpan w:val="2"/>
            <w:vMerge w:val="restart"/>
            <w:shd w:val="clear" w:color="auto" w:fill="CCEEFF"/>
          </w:tcPr>
          <w:p>
            <w:pPr>
              <w:jc w:val="right"/>
              <w:ind w:right="240"/>
              <w:spacing w:after="0"/>
              <w:rPr>
                <w:sz w:val="20"/>
                <w:szCs w:val="20"/>
                <w:color w:val="auto"/>
              </w:rPr>
            </w:pPr>
            <w:r>
              <w:rPr>
                <w:rFonts w:ascii="Georgia" w:cs="Georgia" w:eastAsia="Georgia" w:hAnsi="Georgia"/>
                <w:sz w:val="18"/>
                <w:szCs w:val="18"/>
                <w:color w:val="auto"/>
              </w:rPr>
              <w:t>(21,490,475)</w:t>
            </w:r>
          </w:p>
        </w:tc>
        <w:tc>
          <w:tcPr>
            <w:tcW w:w="240" w:type="dxa"/>
            <w:vAlign w:val="bottom"/>
            <w:vMerge w:val="restart"/>
            <w:shd w:val="clear" w:color="auto" w:fill="CCEEFF"/>
          </w:tcPr>
          <w:p>
            <w:pPr>
              <w:ind w:left="20"/>
              <w:spacing w:after="0"/>
              <w:rPr>
                <w:sz w:val="20"/>
                <w:szCs w:val="20"/>
                <w:color w:val="auto"/>
              </w:rPr>
            </w:pPr>
            <w:r>
              <w:rPr>
                <w:rFonts w:ascii="Georgia" w:cs="Georgia" w:eastAsia="Georgia" w:hAnsi="Georgia"/>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Georgia" w:cs="Georgia" w:eastAsia="Georgia" w:hAnsi="Georgia"/>
                <w:sz w:val="18"/>
                <w:szCs w:val="18"/>
                <w:color w:val="auto"/>
              </w:rPr>
              <w:t>15,151,309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spacing w:after="0" w:line="192" w:lineRule="exact"/>
              <w:rPr>
                <w:sz w:val="20"/>
                <w:szCs w:val="20"/>
                <w:color w:val="auto"/>
              </w:rPr>
            </w:pPr>
            <w:r>
              <w:rPr>
                <w:rFonts w:ascii="Georgia" w:cs="Georgia" w:eastAsia="Georgia" w:hAnsi="Georgia"/>
                <w:sz w:val="18"/>
                <w:szCs w:val="18"/>
                <w:color w:val="auto"/>
              </w:rPr>
              <w:t>31, 2020</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560" w:type="dxa"/>
            <w:vAlign w:val="bottom"/>
            <w:gridSpan w:val="3"/>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940" w:type="dxa"/>
            <w:vAlign w:val="bottom"/>
            <w:tcBorders>
              <w:top w:val="single" w:sz="8" w:color="CCEEFF"/>
            </w:tcBorders>
          </w:tcPr>
          <w:p>
            <w:pPr>
              <w:spacing w:after="0" w:line="173" w:lineRule="exact"/>
              <w:rPr>
                <w:sz w:val="20"/>
                <w:szCs w:val="20"/>
                <w:color w:val="auto"/>
              </w:rPr>
            </w:pPr>
            <w:r>
              <w:rPr>
                <w:rFonts w:ascii="Georgia" w:cs="Georgia" w:eastAsia="Georgia" w:hAnsi="Georgia"/>
                <w:sz w:val="18"/>
                <w:szCs w:val="18"/>
                <w:color w:val="auto"/>
              </w:rPr>
              <w:t>Capital increase from</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Georgia" w:cs="Georgia" w:eastAsia="Georgia" w:hAnsi="Georgia"/>
                <w:sz w:val="18"/>
                <w:szCs w:val="18"/>
                <w:color w:val="auto"/>
              </w:rPr>
              <w:t>exercise of options 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40" w:type="dxa"/>
            <w:vAlign w:val="bottom"/>
          </w:tcPr>
          <w:p>
            <w:pPr>
              <w:spacing w:after="0" w:line="203" w:lineRule="exact"/>
              <w:rPr>
                <w:sz w:val="20"/>
                <w:szCs w:val="20"/>
                <w:color w:val="auto"/>
              </w:rPr>
            </w:pPr>
            <w:r>
              <w:rPr>
                <w:rFonts w:ascii="Georgia" w:cs="Georgia" w:eastAsia="Georgia" w:hAnsi="Georgia"/>
                <w:sz w:val="18"/>
                <w:szCs w:val="18"/>
                <w:color w:val="auto"/>
              </w:rPr>
              <w:t>Quota B</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00"/>
              <w:spacing w:after="0" w:line="203" w:lineRule="exact"/>
              <w:rPr>
                <w:sz w:val="20"/>
                <w:szCs w:val="20"/>
                <w:color w:val="auto"/>
              </w:rPr>
            </w:pPr>
            <w:r>
              <w:rPr>
                <w:rFonts w:ascii="Georgia" w:cs="Georgia" w:eastAsia="Georgia" w:hAnsi="Georgia"/>
                <w:sz w:val="18"/>
                <w:szCs w:val="18"/>
                <w:color w:val="auto"/>
              </w:rPr>
              <w:t>715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1560" w:type="dxa"/>
            <w:vAlign w:val="bottom"/>
            <w:gridSpan w:val="3"/>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Georgia" w:cs="Georgia" w:eastAsia="Georgia" w:hAnsi="Georgia"/>
                <w:sz w:val="18"/>
                <w:szCs w:val="18"/>
                <w:color w:val="auto"/>
              </w:rPr>
              <w:t>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40" w:type="dxa"/>
            <w:vAlign w:val="bottom"/>
            <w:shd w:val="clear" w:color="auto" w:fill="CCEEFF"/>
          </w:tcPr>
          <w:p>
            <w:pPr>
              <w:spacing w:after="0" w:line="201" w:lineRule="exact"/>
              <w:rPr>
                <w:sz w:val="20"/>
                <w:szCs w:val="20"/>
                <w:color w:val="auto"/>
              </w:rPr>
            </w:pPr>
            <w:r>
              <w:rPr>
                <w:rFonts w:ascii="Georgia" w:cs="Georgia" w:eastAsia="Georgia" w:hAnsi="Georgia"/>
                <w:sz w:val="18"/>
                <w:szCs w:val="18"/>
                <w:color w:val="auto"/>
              </w:rPr>
              <w:t>Share -based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compensation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line="203" w:lineRule="exact"/>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497,104</w:t>
            </w:r>
          </w:p>
        </w:tc>
        <w:tc>
          <w:tcPr>
            <w:tcW w:w="1560" w:type="dxa"/>
            <w:vAlign w:val="bottom"/>
            <w:gridSpan w:val="3"/>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497,104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Georgia" w:cs="Georgia" w:eastAsia="Georgia" w:hAnsi="Georgia"/>
                <w:sz w:val="18"/>
                <w:szCs w:val="18"/>
                <w:color w:val="auto"/>
              </w:rPr>
              <w:t>Quota B repurchased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Georgia" w:cs="Georgia" w:eastAsia="Georgia" w:hAnsi="Georgia"/>
                <w:sz w:val="18"/>
                <w:szCs w:val="18"/>
                <w:color w:val="auto"/>
              </w:rPr>
              <w:t>(172)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1560" w:type="dxa"/>
            <w:vAlign w:val="bottom"/>
            <w:gridSpan w:val="3"/>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Georgia" w:cs="Georgia" w:eastAsia="Georgia" w:hAnsi="Georgia"/>
                <w:sz w:val="18"/>
                <w:szCs w:val="18"/>
                <w:color w:val="auto"/>
              </w:rPr>
              <w:t>(172)</w:t>
            </w:r>
          </w:p>
        </w:tc>
        <w:tc>
          <w:tcPr>
            <w:tcW w:w="0" w:type="dxa"/>
            <w:vAlign w:val="bottom"/>
          </w:tcPr>
          <w:p>
            <w:pPr>
              <w:spacing w:after="0"/>
              <w:rPr>
                <w:sz w:val="1"/>
                <w:szCs w:val="1"/>
                <w:color w:val="auto"/>
              </w:rPr>
            </w:pPr>
          </w:p>
        </w:tc>
      </w:tr>
      <w:tr>
        <w:trPr>
          <w:trHeight w:val="199"/>
        </w:trPr>
        <w:tc>
          <w:tcPr>
            <w:tcW w:w="1940" w:type="dxa"/>
            <w:vAlign w:val="bottom"/>
            <w:shd w:val="clear" w:color="auto" w:fill="CCEEFF"/>
          </w:tcPr>
          <w:p>
            <w:pPr>
              <w:spacing w:after="0" w:line="200" w:lineRule="exact"/>
              <w:rPr>
                <w:sz w:val="20"/>
                <w:szCs w:val="20"/>
                <w:color w:val="auto"/>
              </w:rPr>
            </w:pPr>
            <w:r>
              <w:rPr>
                <w:rFonts w:ascii="Georgia" w:cs="Georgia" w:eastAsia="Georgia" w:hAnsi="Georgia"/>
                <w:sz w:val="18"/>
                <w:szCs w:val="18"/>
                <w:color w:val="auto"/>
              </w:rPr>
              <w:t>Corporate capital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adjustment from Srl to</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SpA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3" w:lineRule="exact"/>
              <w:rPr>
                <w:sz w:val="20"/>
                <w:szCs w:val="20"/>
                <w:color w:val="auto"/>
              </w:rPr>
            </w:pPr>
            <w:r>
              <w:rPr>
                <w:rFonts w:ascii="Georgia" w:cs="Georgia" w:eastAsia="Georgia" w:hAnsi="Georgia"/>
                <w:sz w:val="18"/>
                <w:szCs w:val="18"/>
                <w:color w:val="auto"/>
              </w:rPr>
              <w:t>(37,599)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1240" w:type="dxa"/>
            <w:vAlign w:val="bottom"/>
            <w:gridSpan w:val="2"/>
            <w:shd w:val="clear" w:color="auto" w:fill="CCEEFF"/>
          </w:tcPr>
          <w:p>
            <w:pPr>
              <w:jc w:val="right"/>
              <w:ind w:right="190"/>
              <w:spacing w:after="0" w:line="203" w:lineRule="exact"/>
              <w:rPr>
                <w:sz w:val="20"/>
                <w:szCs w:val="20"/>
                <w:color w:val="auto"/>
              </w:rPr>
            </w:pPr>
            <w:r>
              <w:rPr>
                <w:rFonts w:ascii="Georgia" w:cs="Georgia" w:eastAsia="Georgia" w:hAnsi="Georgia"/>
                <w:sz w:val="18"/>
                <w:szCs w:val="18"/>
                <w:color w:val="auto"/>
              </w:rPr>
              <w:t>11,279,700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37,599</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200" w:lineRule="exact"/>
              <w:rPr>
                <w:sz w:val="20"/>
                <w:szCs w:val="20"/>
                <w:color w:val="auto"/>
              </w:rPr>
            </w:pPr>
            <w:r>
              <w:rPr>
                <w:rFonts w:ascii="Georgia" w:cs="Georgia" w:eastAsia="Georgia" w:hAnsi="Georgia"/>
                <w:sz w:val="18"/>
                <w:szCs w:val="18"/>
                <w:color w:val="auto"/>
              </w:rPr>
              <w:t>Capital increase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40" w:type="dxa"/>
            <w:vAlign w:val="bottom"/>
          </w:tcPr>
          <w:p>
            <w:pPr>
              <w:spacing w:after="0" w:line="203" w:lineRule="exact"/>
              <w:rPr>
                <w:sz w:val="20"/>
                <w:szCs w:val="20"/>
                <w:color w:val="auto"/>
              </w:rPr>
            </w:pPr>
            <w:r>
              <w:rPr>
                <w:rFonts w:ascii="Georgia" w:cs="Georgia" w:eastAsia="Georgia" w:hAnsi="Georgia"/>
                <w:sz w:val="18"/>
                <w:szCs w:val="18"/>
                <w:color w:val="auto"/>
              </w:rPr>
              <w:t>related to SpA</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00"/>
              <w:spacing w:after="0" w:line="203" w:lineRule="exact"/>
              <w:rPr>
                <w:sz w:val="20"/>
                <w:szCs w:val="20"/>
                <w:color w:val="auto"/>
              </w:rPr>
            </w:pPr>
            <w:r>
              <w:rPr>
                <w:rFonts w:ascii="Georgia" w:cs="Georgia" w:eastAsia="Georgia" w:hAnsi="Georgia"/>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60"/>
              <w:spacing w:after="0" w:line="203" w:lineRule="exact"/>
              <w:rPr>
                <w:sz w:val="20"/>
                <w:szCs w:val="20"/>
                <w:color w:val="auto"/>
              </w:rPr>
            </w:pPr>
            <w:r>
              <w:rPr>
                <w:rFonts w:ascii="Georgia" w:cs="Georgia" w:eastAsia="Georgia" w:hAnsi="Georgia"/>
                <w:sz w:val="18"/>
                <w:szCs w:val="18"/>
                <w:color w:val="auto"/>
              </w:rPr>
              <w:t>(12,401)</w:t>
            </w:r>
          </w:p>
        </w:tc>
        <w:tc>
          <w:tcPr>
            <w:tcW w:w="1560" w:type="dxa"/>
            <w:vAlign w:val="bottom"/>
            <w:gridSpan w:val="3"/>
          </w:tcPr>
          <w:p>
            <w:pPr>
              <w:jc w:val="right"/>
              <w:ind w:right="320"/>
              <w:spacing w:after="0" w:line="203" w:lineRule="exact"/>
              <w:rPr>
                <w:sz w:val="20"/>
                <w:szCs w:val="20"/>
                <w:color w:val="auto"/>
              </w:rPr>
            </w:pPr>
            <w:r>
              <w:rPr>
                <w:rFonts w:ascii="Georgia" w:cs="Georgia" w:eastAsia="Georgia" w:hAnsi="Georgia"/>
                <w:sz w:val="18"/>
                <w:szCs w:val="18"/>
                <w:color w:val="auto"/>
              </w:rPr>
              <w:t>3,720,300</w:t>
            </w: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12,401</w:t>
            </w:r>
          </w:p>
        </w:tc>
        <w:tc>
          <w:tcPr>
            <w:tcW w:w="200" w:type="dxa"/>
            <w:vAlign w:val="bottom"/>
          </w:tcPr>
          <w:p>
            <w:pPr>
              <w:spacing w:after="0"/>
              <w:rPr>
                <w:sz w:val="17"/>
                <w:szCs w:val="17"/>
                <w:color w:val="auto"/>
              </w:rPr>
            </w:pPr>
          </w:p>
        </w:tc>
        <w:tc>
          <w:tcPr>
            <w:tcW w:w="136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Georgia" w:cs="Georgia" w:eastAsia="Georgia" w:hAnsi="Georgia"/>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40" w:type="dxa"/>
            <w:vAlign w:val="bottom"/>
            <w:shd w:val="clear" w:color="auto" w:fill="CCEEFF"/>
          </w:tcPr>
          <w:p>
            <w:pPr>
              <w:spacing w:after="0" w:line="201" w:lineRule="exact"/>
              <w:rPr>
                <w:sz w:val="20"/>
                <w:szCs w:val="20"/>
                <w:color w:val="auto"/>
              </w:rPr>
            </w:pPr>
            <w:r>
              <w:rPr>
                <w:rFonts w:ascii="Georgia" w:cs="Georgia" w:eastAsia="Georgia" w:hAnsi="Georgia"/>
                <w:sz w:val="18"/>
                <w:szCs w:val="18"/>
                <w:color w:val="auto"/>
              </w:rPr>
              <w:t>Conversion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adjustment from Srl to</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SpA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line="203" w:lineRule="exact"/>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line="203" w:lineRule="exact"/>
              <w:rPr>
                <w:sz w:val="20"/>
                <w:szCs w:val="20"/>
                <w:color w:val="auto"/>
              </w:rPr>
            </w:pPr>
            <w:r>
              <w:rPr>
                <w:rFonts w:ascii="Georgia" w:cs="Georgia" w:eastAsia="Georgia" w:hAnsi="Georgia"/>
                <w:sz w:val="18"/>
                <w:szCs w:val="18"/>
                <w:color w:val="auto"/>
              </w:rPr>
              <w:t>(37,089,431)</w:t>
            </w:r>
          </w:p>
        </w:tc>
        <w:tc>
          <w:tcPr>
            <w:tcW w:w="1560" w:type="dxa"/>
            <w:vAlign w:val="bottom"/>
            <w:gridSpan w:val="3"/>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37,089,431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Georgia" w:cs="Georgia" w:eastAsia="Georgia" w:hAnsi="Georgia"/>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200" w:lineRule="exact"/>
              <w:rPr>
                <w:sz w:val="20"/>
                <w:szCs w:val="20"/>
                <w:color w:val="auto"/>
              </w:rPr>
            </w:pPr>
            <w:r>
              <w:rPr>
                <w:rFonts w:ascii="Georgia" w:cs="Georgia" w:eastAsia="Georgia" w:hAnsi="Georgia"/>
                <w:sz w:val="18"/>
                <w:szCs w:val="18"/>
                <w:color w:val="auto"/>
              </w:rPr>
              <w:t>Capital increase from</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Georgia" w:cs="Georgia" w:eastAsia="Georgia" w:hAnsi="Georgia"/>
                <w:sz w:val="18"/>
                <w:szCs w:val="18"/>
                <w:color w:val="auto"/>
              </w:rPr>
              <w:t>IPO, net of issuance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40" w:type="dxa"/>
            <w:vAlign w:val="bottom"/>
          </w:tcPr>
          <w:p>
            <w:pPr>
              <w:spacing w:after="0" w:line="203" w:lineRule="exact"/>
              <w:rPr>
                <w:sz w:val="20"/>
                <w:szCs w:val="20"/>
                <w:color w:val="auto"/>
              </w:rPr>
            </w:pPr>
            <w:r>
              <w:rPr>
                <w:rFonts w:ascii="Georgia" w:cs="Georgia" w:eastAsia="Georgia" w:hAnsi="Georgia"/>
                <w:sz w:val="18"/>
                <w:szCs w:val="18"/>
                <w:color w:val="auto"/>
              </w:rPr>
              <w:t>costs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00"/>
              <w:spacing w:after="0" w:line="203" w:lineRule="exact"/>
              <w:rPr>
                <w:sz w:val="20"/>
                <w:szCs w:val="20"/>
                <w:color w:val="auto"/>
              </w:rPr>
            </w:pPr>
            <w:r>
              <w:rPr>
                <w:rFonts w:ascii="Georgia" w:cs="Georgia" w:eastAsia="Georgia" w:hAnsi="Georgia"/>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1560" w:type="dxa"/>
            <w:vAlign w:val="bottom"/>
            <w:gridSpan w:val="3"/>
          </w:tcPr>
          <w:p>
            <w:pPr>
              <w:jc w:val="right"/>
              <w:ind w:right="320"/>
              <w:spacing w:after="0" w:line="203" w:lineRule="exact"/>
              <w:rPr>
                <w:sz w:val="20"/>
                <w:szCs w:val="20"/>
                <w:color w:val="auto"/>
              </w:rPr>
            </w:pPr>
            <w:r>
              <w:rPr>
                <w:rFonts w:ascii="Georgia" w:cs="Georgia" w:eastAsia="Georgia" w:hAnsi="Georgia"/>
                <w:sz w:val="18"/>
                <w:szCs w:val="18"/>
                <w:color w:val="auto"/>
              </w:rPr>
              <w:t>3,216,858</w:t>
            </w: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28,741,559</w:t>
            </w:r>
          </w:p>
        </w:tc>
        <w:tc>
          <w:tcPr>
            <w:tcW w:w="200" w:type="dxa"/>
            <w:vAlign w:val="bottom"/>
          </w:tcPr>
          <w:p>
            <w:pPr>
              <w:spacing w:after="0"/>
              <w:rPr>
                <w:sz w:val="17"/>
                <w:szCs w:val="17"/>
                <w:color w:val="auto"/>
              </w:rPr>
            </w:pPr>
          </w:p>
        </w:tc>
        <w:tc>
          <w:tcPr>
            <w:tcW w:w="136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2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Georgia" w:cs="Georgia" w:eastAsia="Georgia" w:hAnsi="Georgia"/>
                <w:sz w:val="18"/>
                <w:szCs w:val="18"/>
                <w:color w:val="auto"/>
              </w:rPr>
              <w:t>28,741,559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rPr>
                <w:sz w:val="20"/>
                <w:szCs w:val="20"/>
                <w:color w:val="auto"/>
              </w:rPr>
            </w:pPr>
            <w:r>
              <w:rPr>
                <w:rFonts w:ascii="Georgia" w:cs="Georgia" w:eastAsia="Georgia" w:hAnsi="Georgia"/>
                <w:sz w:val="18"/>
                <w:szCs w:val="18"/>
                <w:color w:val="auto"/>
              </w:rPr>
              <w:t>Net loss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Georgia" w:cs="Georgia" w:eastAsia="Georgia" w:hAnsi="Georgia"/>
                <w:sz w:val="18"/>
                <w:szCs w:val="18"/>
                <w:color w:val="auto"/>
              </w:rPr>
              <w:t>(5,529,332)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Georgia" w:cs="Georgia" w:eastAsia="Georgia" w:hAnsi="Georgia"/>
                <w:sz w:val="18"/>
                <w:szCs w:val="18"/>
                <w:color w:val="auto"/>
              </w:rPr>
              <w:t>(5,529,332)</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vMerge w:val="restart"/>
          </w:tcPr>
          <w:p>
            <w:pPr>
              <w:spacing w:after="0" w:line="193" w:lineRule="exact"/>
              <w:rPr>
                <w:sz w:val="20"/>
                <w:szCs w:val="20"/>
                <w:color w:val="auto"/>
              </w:rPr>
            </w:pPr>
            <w:r>
              <w:rPr>
                <w:rFonts w:ascii="Georgia" w:cs="Georgia" w:eastAsia="Georgia" w:hAnsi="Georgia"/>
                <w:sz w:val="18"/>
                <w:szCs w:val="18"/>
                <w:color w:val="auto"/>
              </w:rPr>
              <w:t>Balance at December</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100" w:type="dxa"/>
            <w:vAlign w:val="bottom"/>
            <w:vMerge w:val="restart"/>
          </w:tcPr>
          <w:p>
            <w:pPr>
              <w:spacing w:after="0"/>
              <w:rPr>
                <w:sz w:val="15"/>
                <w:szCs w:val="15"/>
                <w:color w:val="auto"/>
              </w:rPr>
            </w:pPr>
          </w:p>
        </w:tc>
        <w:tc>
          <w:tcPr>
            <w:tcW w:w="180" w:type="dxa"/>
            <w:vAlign w:val="bottom"/>
            <w:vMerge w:val="restart"/>
          </w:tcPr>
          <w:p>
            <w:pPr>
              <w:spacing w:after="0"/>
              <w:rPr>
                <w:sz w:val="20"/>
                <w:szCs w:val="20"/>
                <w:color w:val="auto"/>
              </w:rPr>
            </w:pPr>
            <w:r>
              <w:rPr>
                <w:rFonts w:ascii="Georgia" w:cs="Georgia" w:eastAsia="Georgia" w:hAnsi="Georgia"/>
                <w:sz w:val="18"/>
                <w:szCs w:val="18"/>
                <w:color w:val="auto"/>
              </w:rPr>
              <w:t>€</w:t>
            </w:r>
          </w:p>
        </w:tc>
        <w:tc>
          <w:tcPr>
            <w:tcW w:w="1100" w:type="dxa"/>
            <w:vAlign w:val="bottom"/>
            <w:vMerge w:val="restart"/>
          </w:tcPr>
          <w:p>
            <w:pPr>
              <w:jc w:val="right"/>
              <w:spacing w:after="0"/>
              <w:rPr>
                <w:sz w:val="20"/>
                <w:szCs w:val="20"/>
                <w:color w:val="auto"/>
              </w:rPr>
            </w:pPr>
            <w:r>
              <w:rPr>
                <w:rFonts w:ascii="Georgia" w:cs="Georgia" w:eastAsia="Georgia" w:hAnsi="Georgia"/>
                <w:sz w:val="18"/>
                <w:szCs w:val="18"/>
                <w:color w:val="auto"/>
              </w:rPr>
              <w:t>-</w:t>
            </w:r>
          </w:p>
        </w:tc>
        <w:tc>
          <w:tcPr>
            <w:tcW w:w="200" w:type="dxa"/>
            <w:vAlign w:val="bottom"/>
            <w:vMerge w:val="restart"/>
          </w:tcPr>
          <w:p>
            <w:pPr>
              <w:spacing w:after="0"/>
              <w:rPr>
                <w:sz w:val="15"/>
                <w:szCs w:val="15"/>
                <w:color w:val="auto"/>
              </w:rPr>
            </w:pPr>
          </w:p>
        </w:tc>
        <w:tc>
          <w:tcPr>
            <w:tcW w:w="280" w:type="dxa"/>
            <w:vAlign w:val="bottom"/>
            <w:gridSpan w:val="2"/>
            <w:vMerge w:val="restart"/>
          </w:tcPr>
          <w:p>
            <w:pPr>
              <w:ind w:left="120"/>
              <w:spacing w:after="0"/>
              <w:rPr>
                <w:sz w:val="20"/>
                <w:szCs w:val="20"/>
                <w:color w:val="auto"/>
              </w:rPr>
            </w:pPr>
            <w:r>
              <w:rPr>
                <w:rFonts w:ascii="Georgia" w:cs="Georgia" w:eastAsia="Georgia" w:hAnsi="Georgia"/>
                <w:sz w:val="18"/>
                <w:szCs w:val="18"/>
                <w:color w:val="auto"/>
              </w:rPr>
              <w:t>€</w:t>
            </w:r>
          </w:p>
        </w:tc>
        <w:tc>
          <w:tcPr>
            <w:tcW w:w="1400" w:type="dxa"/>
            <w:vAlign w:val="bottom"/>
            <w:gridSpan w:val="2"/>
            <w:vMerge w:val="restart"/>
          </w:tcPr>
          <w:p>
            <w:pPr>
              <w:jc w:val="right"/>
              <w:ind w:right="320"/>
              <w:spacing w:after="0"/>
              <w:rPr>
                <w:sz w:val="20"/>
                <w:szCs w:val="20"/>
                <w:color w:val="auto"/>
              </w:rPr>
            </w:pPr>
            <w:r>
              <w:rPr>
                <w:rFonts w:ascii="Georgia" w:cs="Georgia" w:eastAsia="Georgia" w:hAnsi="Georgia"/>
                <w:sz w:val="18"/>
                <w:szCs w:val="18"/>
                <w:color w:val="auto"/>
              </w:rPr>
              <w:t>-</w:t>
            </w:r>
          </w:p>
        </w:tc>
        <w:tc>
          <w:tcPr>
            <w:tcW w:w="1560" w:type="dxa"/>
            <w:vAlign w:val="bottom"/>
            <w:gridSpan w:val="3"/>
            <w:vMerge w:val="restart"/>
          </w:tcPr>
          <w:p>
            <w:pPr>
              <w:jc w:val="right"/>
              <w:ind w:right="320"/>
              <w:spacing w:after="0"/>
              <w:rPr>
                <w:sz w:val="20"/>
                <w:szCs w:val="20"/>
                <w:color w:val="auto"/>
              </w:rPr>
            </w:pPr>
            <w:r>
              <w:rPr>
                <w:rFonts w:ascii="Georgia" w:cs="Georgia" w:eastAsia="Georgia" w:hAnsi="Georgia"/>
                <w:sz w:val="18"/>
                <w:szCs w:val="18"/>
                <w:color w:val="auto"/>
              </w:rPr>
              <w:t>18,216,858</w:t>
            </w:r>
          </w:p>
        </w:tc>
        <w:tc>
          <w:tcPr>
            <w:tcW w:w="220" w:type="dxa"/>
            <w:vAlign w:val="bottom"/>
            <w:vMerge w:val="restart"/>
          </w:tcPr>
          <w:p>
            <w:pPr>
              <w:spacing w:after="0"/>
              <w:rPr>
                <w:sz w:val="20"/>
                <w:szCs w:val="20"/>
                <w:color w:val="auto"/>
              </w:rPr>
            </w:pPr>
            <w:r>
              <w:rPr>
                <w:rFonts w:ascii="Georgia" w:cs="Georgia" w:eastAsia="Georgia" w:hAnsi="Georgia"/>
                <w:sz w:val="18"/>
                <w:szCs w:val="18"/>
                <w:color w:val="auto"/>
              </w:rPr>
              <w:t>€</w:t>
            </w:r>
          </w:p>
        </w:tc>
        <w:tc>
          <w:tcPr>
            <w:tcW w:w="1340" w:type="dxa"/>
            <w:vAlign w:val="bottom"/>
            <w:gridSpan w:val="2"/>
            <w:vMerge w:val="restart"/>
          </w:tcPr>
          <w:p>
            <w:pPr>
              <w:jc w:val="right"/>
              <w:ind w:right="320"/>
              <w:spacing w:after="0"/>
              <w:rPr>
                <w:sz w:val="20"/>
                <w:szCs w:val="20"/>
                <w:color w:val="auto"/>
              </w:rPr>
            </w:pPr>
            <w:r>
              <w:rPr>
                <w:rFonts w:ascii="Georgia" w:cs="Georgia" w:eastAsia="Georgia" w:hAnsi="Georgia"/>
                <w:sz w:val="18"/>
                <w:szCs w:val="18"/>
                <w:color w:val="auto"/>
              </w:rPr>
              <w:t>65,880,990</w:t>
            </w:r>
          </w:p>
        </w:tc>
        <w:tc>
          <w:tcPr>
            <w:tcW w:w="200" w:type="dxa"/>
            <w:vAlign w:val="bottom"/>
            <w:vMerge w:val="restart"/>
          </w:tcPr>
          <w:p>
            <w:pPr>
              <w:spacing w:after="0"/>
              <w:rPr>
                <w:sz w:val="20"/>
                <w:szCs w:val="20"/>
                <w:color w:val="auto"/>
              </w:rPr>
            </w:pPr>
            <w:r>
              <w:rPr>
                <w:rFonts w:ascii="Georgia" w:cs="Georgia" w:eastAsia="Georgia" w:hAnsi="Georgia"/>
                <w:sz w:val="18"/>
                <w:szCs w:val="18"/>
                <w:color w:val="auto"/>
              </w:rPr>
              <w:t>€</w:t>
            </w:r>
          </w:p>
        </w:tc>
        <w:tc>
          <w:tcPr>
            <w:tcW w:w="1360" w:type="dxa"/>
            <w:vAlign w:val="bottom"/>
            <w:gridSpan w:val="2"/>
            <w:vMerge w:val="restart"/>
          </w:tcPr>
          <w:p>
            <w:pPr>
              <w:jc w:val="right"/>
              <w:ind w:right="240"/>
              <w:spacing w:after="0"/>
              <w:rPr>
                <w:sz w:val="20"/>
                <w:szCs w:val="20"/>
                <w:color w:val="auto"/>
              </w:rPr>
            </w:pPr>
            <w:r>
              <w:rPr>
                <w:rFonts w:ascii="Georgia" w:cs="Georgia" w:eastAsia="Georgia" w:hAnsi="Georgia"/>
                <w:sz w:val="18"/>
                <w:szCs w:val="18"/>
                <w:color w:val="auto"/>
              </w:rPr>
              <w:t>(27,019,807)</w:t>
            </w:r>
          </w:p>
        </w:tc>
        <w:tc>
          <w:tcPr>
            <w:tcW w:w="240" w:type="dxa"/>
            <w:vAlign w:val="bottom"/>
            <w:vMerge w:val="restart"/>
          </w:tcPr>
          <w:p>
            <w:pPr>
              <w:ind w:left="20"/>
              <w:spacing w:after="0"/>
              <w:rPr>
                <w:sz w:val="20"/>
                <w:szCs w:val="20"/>
                <w:color w:val="auto"/>
              </w:rPr>
            </w:pPr>
            <w:r>
              <w:rPr>
                <w:rFonts w:ascii="Georgia" w:cs="Georgia" w:eastAsia="Georgia" w:hAnsi="Georgia"/>
                <w:sz w:val="18"/>
                <w:szCs w:val="18"/>
                <w:color w:val="auto"/>
              </w:rPr>
              <w:t>€</w:t>
            </w:r>
          </w:p>
        </w:tc>
        <w:tc>
          <w:tcPr>
            <w:tcW w:w="1020" w:type="dxa"/>
            <w:vAlign w:val="bottom"/>
            <w:vMerge w:val="restart"/>
          </w:tcPr>
          <w:p>
            <w:pPr>
              <w:jc w:val="right"/>
              <w:spacing w:after="0"/>
              <w:rPr>
                <w:sz w:val="20"/>
                <w:szCs w:val="20"/>
                <w:color w:val="auto"/>
              </w:rPr>
            </w:pPr>
            <w:r>
              <w:rPr>
                <w:rFonts w:ascii="Georgia" w:cs="Georgia" w:eastAsia="Georgia" w:hAnsi="Georgia"/>
                <w:sz w:val="18"/>
                <w:szCs w:val="18"/>
                <w:color w:val="auto"/>
              </w:rPr>
              <w:t>38,861,183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940" w:type="dxa"/>
            <w:vAlign w:val="bottom"/>
          </w:tcPr>
          <w:p>
            <w:pPr>
              <w:spacing w:after="0" w:line="192" w:lineRule="exact"/>
              <w:rPr>
                <w:sz w:val="20"/>
                <w:szCs w:val="20"/>
                <w:color w:val="auto"/>
              </w:rPr>
            </w:pPr>
            <w:r>
              <w:rPr>
                <w:rFonts w:ascii="Georgia" w:cs="Georgia" w:eastAsia="Georgia" w:hAnsi="Georgia"/>
                <w:sz w:val="18"/>
                <w:szCs w:val="18"/>
                <w:color w:val="auto"/>
              </w:rPr>
              <w:t>31, 2021</w:t>
            </w:r>
          </w:p>
        </w:tc>
        <w:tc>
          <w:tcPr>
            <w:tcW w:w="10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Georgia" w:cs="Georgia" w:eastAsia="Georgia" w:hAnsi="Georgia"/>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jc w:val="center"/>
        <w:spacing w:after="0"/>
        <w:rPr>
          <w:sz w:val="20"/>
          <w:szCs w:val="20"/>
          <w:color w:val="auto"/>
        </w:rPr>
      </w:pPr>
      <w:r>
        <w:rPr>
          <w:rFonts w:ascii="Georgia" w:cs="Georgia" w:eastAsia="Georgia" w:hAnsi="Georgia"/>
          <w:sz w:val="18"/>
          <w:szCs w:val="18"/>
          <w:b w:val="1"/>
          <w:bCs w:val="1"/>
          <w:i w:val="1"/>
          <w:iCs w:val="1"/>
          <w:color w:val="auto"/>
        </w:rPr>
        <w:t>Genenta Science S.p.A.</w:t>
      </w:r>
    </w:p>
    <w:p>
      <w:pPr>
        <w:jc w:val="center"/>
        <w:spacing w:after="0" w:line="237" w:lineRule="auto"/>
        <w:rPr>
          <w:sz w:val="20"/>
          <w:szCs w:val="20"/>
          <w:color w:val="auto"/>
        </w:rPr>
      </w:pPr>
      <w:r>
        <w:rPr>
          <w:rFonts w:ascii="Georgia" w:cs="Georgia" w:eastAsia="Georgia" w:hAnsi="Georgia"/>
          <w:sz w:val="18"/>
          <w:szCs w:val="18"/>
          <w:b w:val="1"/>
          <w:bCs w:val="1"/>
          <w:color w:val="auto"/>
        </w:rPr>
        <w:t>(formerly, Genenta Science S.r.l.)</w:t>
      </w:r>
    </w:p>
    <w:p>
      <w:pPr>
        <w:jc w:val="center"/>
        <w:spacing w:after="0"/>
        <w:rPr>
          <w:sz w:val="20"/>
          <w:szCs w:val="20"/>
          <w:color w:val="auto"/>
        </w:rPr>
      </w:pPr>
      <w:r>
        <w:rPr>
          <w:rFonts w:ascii="Georgia" w:cs="Georgia" w:eastAsia="Georgia" w:hAnsi="Georgia"/>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ind w:right="7"/>
              <w:spacing w:after="0"/>
              <w:rPr>
                <w:sz w:val="20"/>
                <w:szCs w:val="20"/>
                <w:color w:val="auto"/>
              </w:rPr>
            </w:pPr>
            <w:r>
              <w:rPr>
                <w:rFonts w:ascii="Georgia" w:cs="Georgia" w:eastAsia="Georgia" w:hAnsi="Georgia"/>
                <w:sz w:val="18"/>
                <w:szCs w:val="18"/>
                <w:b w:val="1"/>
                <w:bCs w:val="1"/>
                <w:color w:val="auto"/>
              </w:rPr>
              <w:t>At December 31,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Georgia" w:cs="Georgia" w:eastAsia="Georgia" w:hAnsi="Georgia"/>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Georgia" w:cs="Georgia" w:eastAsia="Georgia" w:hAnsi="Georgia"/>
                <w:sz w:val="18"/>
                <w:szCs w:val="18"/>
                <w:b w:val="1"/>
                <w:bCs w:val="1"/>
                <w:color w:val="auto"/>
              </w:rPr>
              <w:t>2019</w:t>
            </w:r>
          </w:p>
        </w:tc>
        <w:tc>
          <w:tcPr>
            <w:tcW w:w="120" w:type="dxa"/>
            <w:vAlign w:val="bottom"/>
          </w:tcPr>
          <w:p>
            <w:pPr>
              <w:spacing w:after="0"/>
              <w:rPr>
                <w:sz w:val="19"/>
                <w:szCs w:val="19"/>
                <w:color w:val="auto"/>
              </w:rPr>
            </w:pPr>
          </w:p>
        </w:tc>
      </w:tr>
      <w:tr>
        <w:trPr>
          <w:trHeight w:val="203"/>
        </w:trPr>
        <w:tc>
          <w:tcPr>
            <w:tcW w:w="6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67"/>
              <w:spacing w:after="0" w:line="202" w:lineRule="exact"/>
              <w:rPr>
                <w:sz w:val="20"/>
                <w:szCs w:val="20"/>
                <w:color w:val="auto"/>
              </w:rPr>
            </w:pPr>
            <w:r>
              <w:rPr>
                <w:rFonts w:ascii="Georgia" w:cs="Georgia" w:eastAsia="Georgia" w:hAnsi="Georgia"/>
                <w:sz w:val="18"/>
                <w:szCs w:val="18"/>
                <w:color w:val="auto"/>
                <w:w w:val="99"/>
              </w:rPr>
              <w:t>(in Euros)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Net loss</w:t>
            </w:r>
          </w:p>
        </w:tc>
        <w:tc>
          <w:tcPr>
            <w:tcW w:w="32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3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(5,529,332)</w:t>
            </w:r>
          </w:p>
        </w:tc>
        <w:tc>
          <w:tcPr>
            <w:tcW w:w="360" w:type="dxa"/>
            <w:vAlign w:val="bottom"/>
            <w:gridSpan w:val="2"/>
          </w:tcPr>
          <w:p>
            <w:pPr>
              <w:ind w:left="140"/>
              <w:spacing w:after="0" w:line="202" w:lineRule="exact"/>
              <w:rPr>
                <w:sz w:val="20"/>
                <w:szCs w:val="20"/>
                <w:color w:val="auto"/>
              </w:rPr>
            </w:pPr>
            <w:r>
              <w:rPr>
                <w:rFonts w:ascii="Georgia" w:cs="Georgia" w:eastAsia="Georgia" w:hAnsi="Georgia"/>
                <w:sz w:val="18"/>
                <w:szCs w:val="18"/>
                <w:color w:val="auto"/>
              </w:rPr>
              <w:t>€</w:t>
            </w:r>
          </w:p>
        </w:tc>
        <w:tc>
          <w:tcPr>
            <w:tcW w:w="144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(5,592,014)</w:t>
            </w:r>
          </w:p>
        </w:tc>
        <w:tc>
          <w:tcPr>
            <w:tcW w:w="460" w:type="dxa"/>
            <w:vAlign w:val="bottom"/>
            <w:gridSpan w:val="2"/>
          </w:tcPr>
          <w:p>
            <w:pPr>
              <w:ind w:left="120"/>
              <w:spacing w:after="0" w:line="202" w:lineRule="exact"/>
              <w:rPr>
                <w:sz w:val="20"/>
                <w:szCs w:val="20"/>
                <w:color w:val="auto"/>
              </w:rPr>
            </w:pPr>
            <w:r>
              <w:rPr>
                <w:rFonts w:ascii="Georgia" w:cs="Georgia" w:eastAsia="Georgia" w:hAnsi="Georgia"/>
                <w:sz w:val="18"/>
                <w:szCs w:val="18"/>
                <w:color w:val="auto"/>
              </w:rPr>
              <w:t>€</w:t>
            </w:r>
          </w:p>
        </w:tc>
        <w:tc>
          <w:tcPr>
            <w:tcW w:w="124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(4,597,723)</w:t>
            </w: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Adjustments to reconcile net loss to net cash used in 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Depreciation expense</w:t>
            </w:r>
          </w:p>
        </w:tc>
        <w:tc>
          <w:tcPr>
            <w:tcW w:w="320" w:type="dxa"/>
            <w:vAlign w:val="bottom"/>
          </w:tcPr>
          <w:p>
            <w:pPr>
              <w:spacing w:after="0"/>
              <w:rPr>
                <w:sz w:val="17"/>
                <w:szCs w:val="17"/>
                <w:color w:val="auto"/>
              </w:rPr>
            </w:pPr>
          </w:p>
        </w:tc>
        <w:tc>
          <w:tcPr>
            <w:tcW w:w="1340" w:type="dxa"/>
            <w:vAlign w:val="bottom"/>
            <w:gridSpan w:val="2"/>
          </w:tcPr>
          <w:p>
            <w:pPr>
              <w:jc w:val="right"/>
              <w:ind w:right="107"/>
              <w:spacing w:after="0" w:line="202" w:lineRule="exact"/>
              <w:rPr>
                <w:sz w:val="20"/>
                <w:szCs w:val="20"/>
                <w:color w:val="auto"/>
              </w:rPr>
            </w:pPr>
            <w:r>
              <w:rPr>
                <w:rFonts w:ascii="Georgia" w:cs="Georgia" w:eastAsia="Georgia" w:hAnsi="Georgia"/>
                <w:sz w:val="18"/>
                <w:szCs w:val="18"/>
                <w:color w:val="auto"/>
              </w:rPr>
              <w:t>4,889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7"/>
              <w:spacing w:after="0" w:line="202" w:lineRule="exact"/>
              <w:rPr>
                <w:sz w:val="20"/>
                <w:szCs w:val="20"/>
                <w:color w:val="auto"/>
              </w:rPr>
            </w:pPr>
            <w:r>
              <w:rPr>
                <w:rFonts w:ascii="Georgia" w:cs="Georgia" w:eastAsia="Georgia" w:hAnsi="Georgia"/>
                <w:sz w:val="18"/>
                <w:szCs w:val="18"/>
                <w:color w:val="auto"/>
              </w:rPr>
              <w:t>1,900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Retirement benefit obligation</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7"/>
              <w:spacing w:after="0" w:line="202" w:lineRule="exact"/>
              <w:rPr>
                <w:sz w:val="20"/>
                <w:szCs w:val="20"/>
                <w:color w:val="auto"/>
              </w:rPr>
            </w:pPr>
            <w:r>
              <w:rPr>
                <w:rFonts w:ascii="Georgia" w:cs="Georgia" w:eastAsia="Georgia" w:hAnsi="Georgia"/>
                <w:sz w:val="18"/>
                <w:szCs w:val="18"/>
                <w:color w:val="auto"/>
              </w:rPr>
              <w:t>13,231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7"/>
              <w:spacing w:after="0" w:line="202" w:lineRule="exact"/>
              <w:rPr>
                <w:sz w:val="20"/>
                <w:szCs w:val="20"/>
                <w:color w:val="auto"/>
              </w:rPr>
            </w:pPr>
            <w:r>
              <w:rPr>
                <w:rFonts w:ascii="Georgia" w:cs="Georgia" w:eastAsia="Georgia" w:hAnsi="Georgia"/>
                <w:sz w:val="18"/>
                <w:szCs w:val="18"/>
                <w:color w:val="auto"/>
              </w:rPr>
              <w:t>6,056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7"/>
              <w:spacing w:after="0" w:line="202" w:lineRule="exact"/>
              <w:rPr>
                <w:sz w:val="20"/>
                <w:szCs w:val="20"/>
                <w:color w:val="auto"/>
              </w:rPr>
            </w:pPr>
            <w:r>
              <w:rPr>
                <w:rFonts w:ascii="Georgia" w:cs="Georgia" w:eastAsia="Georgia" w:hAnsi="Georgia"/>
                <w:sz w:val="18"/>
                <w:szCs w:val="18"/>
                <w:color w:val="auto"/>
              </w:rPr>
              <w:t>4,867</w:t>
            </w: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Share-based compensation</w:t>
            </w:r>
          </w:p>
        </w:tc>
        <w:tc>
          <w:tcPr>
            <w:tcW w:w="320" w:type="dxa"/>
            <w:vAlign w:val="bottom"/>
          </w:tcPr>
          <w:p>
            <w:pPr>
              <w:spacing w:after="0"/>
              <w:rPr>
                <w:sz w:val="17"/>
                <w:szCs w:val="17"/>
                <w:color w:val="auto"/>
              </w:rPr>
            </w:pPr>
          </w:p>
        </w:tc>
        <w:tc>
          <w:tcPr>
            <w:tcW w:w="1340" w:type="dxa"/>
            <w:vAlign w:val="bottom"/>
            <w:gridSpan w:val="2"/>
          </w:tcPr>
          <w:p>
            <w:pPr>
              <w:jc w:val="right"/>
              <w:ind w:right="107"/>
              <w:spacing w:after="0" w:line="202" w:lineRule="exact"/>
              <w:rPr>
                <w:sz w:val="20"/>
                <w:szCs w:val="20"/>
                <w:color w:val="auto"/>
              </w:rPr>
            </w:pPr>
            <w:r>
              <w:rPr>
                <w:rFonts w:ascii="Georgia" w:cs="Georgia" w:eastAsia="Georgia" w:hAnsi="Georgia"/>
                <w:sz w:val="18"/>
                <w:szCs w:val="18"/>
                <w:color w:val="auto"/>
              </w:rPr>
              <w:t>497,104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7"/>
              <w:spacing w:after="0" w:line="202" w:lineRule="exact"/>
              <w:rPr>
                <w:sz w:val="20"/>
                <w:szCs w:val="20"/>
                <w:color w:val="auto"/>
              </w:rPr>
            </w:pPr>
            <w:r>
              <w:rPr>
                <w:rFonts w:ascii="Georgia" w:cs="Georgia" w:eastAsia="Georgia" w:hAnsi="Georgia"/>
                <w:sz w:val="18"/>
                <w:szCs w:val="18"/>
                <w:color w:val="auto"/>
              </w:rPr>
              <w:t>460,194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749,512</w:t>
            </w: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Changes in operating assets and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Prepaid expenses and other current assets</w:t>
            </w:r>
          </w:p>
        </w:tc>
        <w:tc>
          <w:tcPr>
            <w:tcW w:w="320" w:type="dxa"/>
            <w:vAlign w:val="bottom"/>
          </w:tcPr>
          <w:p>
            <w:pPr>
              <w:spacing w:after="0"/>
              <w:rPr>
                <w:sz w:val="17"/>
                <w:szCs w:val="17"/>
                <w:color w:val="auto"/>
              </w:rPr>
            </w:pPr>
          </w:p>
        </w:tc>
        <w:tc>
          <w:tcPr>
            <w:tcW w:w="13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(450,090)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(454,082)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151,091</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Other non-current assets</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7"/>
              <w:spacing w:after="0" w:line="202" w:lineRule="exact"/>
              <w:rPr>
                <w:sz w:val="20"/>
                <w:szCs w:val="20"/>
                <w:color w:val="auto"/>
              </w:rPr>
            </w:pPr>
            <w:r>
              <w:rPr>
                <w:rFonts w:ascii="Georgia" w:cs="Georgia" w:eastAsia="Georgia" w:hAnsi="Georgia"/>
                <w:sz w:val="18"/>
                <w:szCs w:val="18"/>
                <w:color w:val="auto"/>
              </w:rPr>
              <w:t>(295,597)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7"/>
              <w:spacing w:after="0" w:line="202" w:lineRule="exact"/>
              <w:rPr>
                <w:sz w:val="20"/>
                <w:szCs w:val="20"/>
                <w:color w:val="auto"/>
              </w:rPr>
            </w:pPr>
            <w:r>
              <w:rPr>
                <w:rFonts w:ascii="Georgia" w:cs="Georgia" w:eastAsia="Georgia" w:hAnsi="Georgia"/>
                <w:sz w:val="18"/>
                <w:szCs w:val="18"/>
                <w:color w:val="auto"/>
              </w:rPr>
              <w:t>(200,287)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(588,681)</w:t>
            </w: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Accounts payable</w:t>
            </w:r>
          </w:p>
        </w:tc>
        <w:tc>
          <w:tcPr>
            <w:tcW w:w="320" w:type="dxa"/>
            <w:vAlign w:val="bottom"/>
          </w:tcPr>
          <w:p>
            <w:pPr>
              <w:spacing w:after="0"/>
              <w:rPr>
                <w:sz w:val="17"/>
                <w:szCs w:val="17"/>
                <w:color w:val="auto"/>
              </w:rPr>
            </w:pPr>
          </w:p>
        </w:tc>
        <w:tc>
          <w:tcPr>
            <w:tcW w:w="13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(380,169)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7"/>
              <w:spacing w:after="0" w:line="202" w:lineRule="exact"/>
              <w:rPr>
                <w:sz w:val="20"/>
                <w:szCs w:val="20"/>
                <w:color w:val="auto"/>
              </w:rPr>
            </w:pPr>
            <w:r>
              <w:rPr>
                <w:rFonts w:ascii="Georgia" w:cs="Georgia" w:eastAsia="Georgia" w:hAnsi="Georgia"/>
                <w:sz w:val="18"/>
                <w:szCs w:val="18"/>
                <w:color w:val="auto"/>
              </w:rPr>
              <w:t>265,289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190,088</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Accounts payable - related party</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7"/>
              <w:spacing w:after="0" w:line="202" w:lineRule="exact"/>
              <w:rPr>
                <w:sz w:val="20"/>
                <w:szCs w:val="20"/>
                <w:color w:val="auto"/>
              </w:rPr>
            </w:pPr>
            <w:r>
              <w:rPr>
                <w:rFonts w:ascii="Georgia" w:cs="Georgia" w:eastAsia="Georgia" w:hAnsi="Georgia"/>
                <w:sz w:val="18"/>
                <w:szCs w:val="18"/>
                <w:color w:val="auto"/>
              </w:rPr>
              <w:t>15,020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7"/>
              <w:spacing w:after="0" w:line="202" w:lineRule="exact"/>
              <w:rPr>
                <w:sz w:val="20"/>
                <w:szCs w:val="20"/>
                <w:color w:val="auto"/>
              </w:rPr>
            </w:pPr>
            <w:r>
              <w:rPr>
                <w:rFonts w:ascii="Georgia" w:cs="Georgia" w:eastAsia="Georgia" w:hAnsi="Georgia"/>
                <w:sz w:val="18"/>
                <w:szCs w:val="18"/>
                <w:color w:val="auto"/>
              </w:rPr>
              <w:t>(282,714)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(217,670)</w:t>
            </w: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Accrued expenses</w:t>
            </w:r>
          </w:p>
        </w:tc>
        <w:tc>
          <w:tcPr>
            <w:tcW w:w="320" w:type="dxa"/>
            <w:vAlign w:val="bottom"/>
          </w:tcPr>
          <w:p>
            <w:pPr>
              <w:spacing w:after="0"/>
              <w:rPr>
                <w:sz w:val="17"/>
                <w:szCs w:val="17"/>
                <w:color w:val="auto"/>
              </w:rPr>
            </w:pPr>
          </w:p>
        </w:tc>
        <w:tc>
          <w:tcPr>
            <w:tcW w:w="1340" w:type="dxa"/>
            <w:vAlign w:val="bottom"/>
            <w:gridSpan w:val="2"/>
          </w:tcPr>
          <w:p>
            <w:pPr>
              <w:jc w:val="right"/>
              <w:ind w:right="107"/>
              <w:spacing w:after="0" w:line="202" w:lineRule="exact"/>
              <w:rPr>
                <w:sz w:val="20"/>
                <w:szCs w:val="20"/>
                <w:color w:val="auto"/>
              </w:rPr>
            </w:pPr>
            <w:r>
              <w:rPr>
                <w:rFonts w:ascii="Georgia" w:cs="Georgia" w:eastAsia="Georgia" w:hAnsi="Georgia"/>
                <w:sz w:val="18"/>
                <w:szCs w:val="18"/>
                <w:color w:val="auto"/>
              </w:rPr>
              <w:t>346,344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7"/>
              <w:spacing w:after="0" w:line="202" w:lineRule="exact"/>
              <w:rPr>
                <w:sz w:val="20"/>
                <w:szCs w:val="20"/>
                <w:color w:val="auto"/>
              </w:rPr>
            </w:pPr>
            <w:r>
              <w:rPr>
                <w:rFonts w:ascii="Georgia" w:cs="Georgia" w:eastAsia="Georgia" w:hAnsi="Georgia"/>
                <w:sz w:val="18"/>
                <w:szCs w:val="18"/>
                <w:color w:val="auto"/>
              </w:rPr>
              <w:t>38,263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133,797</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Accrued expenses - related party</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7"/>
              <w:spacing w:after="0" w:line="202" w:lineRule="exact"/>
              <w:rPr>
                <w:sz w:val="20"/>
                <w:szCs w:val="20"/>
                <w:color w:val="auto"/>
              </w:rPr>
            </w:pPr>
            <w:r>
              <w:rPr>
                <w:rFonts w:ascii="Georgia" w:cs="Georgia" w:eastAsia="Georgia" w:hAnsi="Georgia"/>
                <w:sz w:val="18"/>
                <w:szCs w:val="18"/>
                <w:color w:val="auto"/>
              </w:rPr>
              <w:t>(1,227,050)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7"/>
              <w:spacing w:after="0" w:line="202" w:lineRule="exact"/>
              <w:rPr>
                <w:sz w:val="20"/>
                <w:szCs w:val="20"/>
                <w:color w:val="auto"/>
              </w:rPr>
            </w:pPr>
            <w:r>
              <w:rPr>
                <w:rFonts w:ascii="Georgia" w:cs="Georgia" w:eastAsia="Georgia" w:hAnsi="Georgia"/>
                <w:sz w:val="18"/>
                <w:szCs w:val="18"/>
                <w:color w:val="auto"/>
              </w:rPr>
              <w:t>(292,429)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7"/>
              <w:spacing w:after="0" w:line="202" w:lineRule="exact"/>
              <w:rPr>
                <w:sz w:val="20"/>
                <w:szCs w:val="20"/>
                <w:color w:val="auto"/>
              </w:rPr>
            </w:pPr>
            <w:r>
              <w:rPr>
                <w:rFonts w:ascii="Georgia" w:cs="Georgia" w:eastAsia="Georgia" w:hAnsi="Georgia"/>
                <w:sz w:val="18"/>
                <w:szCs w:val="18"/>
                <w:color w:val="auto"/>
              </w:rPr>
              <w:t>1,666,295</w:t>
            </w:r>
          </w:p>
        </w:tc>
      </w:tr>
      <w:tr>
        <w:trPr>
          <w:trHeight w:val="223"/>
        </w:trPr>
        <w:tc>
          <w:tcPr>
            <w:tcW w:w="6080" w:type="dxa"/>
            <w:vAlign w:val="bottom"/>
          </w:tcPr>
          <w:p>
            <w:pPr>
              <w:ind w:left="180"/>
              <w:spacing w:after="0" w:line="203" w:lineRule="exact"/>
              <w:rPr>
                <w:sz w:val="20"/>
                <w:szCs w:val="20"/>
                <w:color w:val="auto"/>
              </w:rPr>
            </w:pPr>
            <w:r>
              <w:rPr>
                <w:rFonts w:ascii="Georgia" w:cs="Georgia" w:eastAsia="Georgia" w:hAnsi="Georgia"/>
                <w:sz w:val="18"/>
                <w:szCs w:val="18"/>
                <w:color w:val="auto"/>
              </w:rPr>
              <w:t>Other current liabilities</w:t>
            </w:r>
          </w:p>
        </w:tc>
        <w:tc>
          <w:tcPr>
            <w:tcW w:w="320" w:type="dxa"/>
            <w:vAlign w:val="bottom"/>
          </w:tcPr>
          <w:p>
            <w:pPr>
              <w:spacing w:after="0"/>
              <w:rPr>
                <w:sz w:val="19"/>
                <w:szCs w:val="19"/>
                <w:color w:val="auto"/>
              </w:rPr>
            </w:pPr>
          </w:p>
        </w:tc>
        <w:tc>
          <w:tcPr>
            <w:tcW w:w="1340" w:type="dxa"/>
            <w:vAlign w:val="bottom"/>
            <w:gridSpan w:val="2"/>
          </w:tcPr>
          <w:p>
            <w:pPr>
              <w:jc w:val="right"/>
              <w:ind w:right="107"/>
              <w:spacing w:after="0"/>
              <w:rPr>
                <w:sz w:val="20"/>
                <w:szCs w:val="20"/>
                <w:color w:val="auto"/>
              </w:rPr>
            </w:pPr>
            <w:r>
              <w:rPr>
                <w:rFonts w:ascii="Georgia" w:cs="Georgia" w:eastAsia="Georgia" w:hAnsi="Georgia"/>
                <w:sz w:val="18"/>
                <w:szCs w:val="18"/>
                <w:color w:val="auto"/>
              </w:rPr>
              <w:t>47,476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7"/>
              <w:spacing w:after="0"/>
              <w:rPr>
                <w:sz w:val="20"/>
                <w:szCs w:val="20"/>
                <w:color w:val="auto"/>
              </w:rPr>
            </w:pPr>
            <w:r>
              <w:rPr>
                <w:rFonts w:ascii="Georgia" w:cs="Georgia" w:eastAsia="Georgia" w:hAnsi="Georgia"/>
                <w:sz w:val="18"/>
                <w:szCs w:val="18"/>
                <w:color w:val="auto"/>
              </w:rPr>
              <w:t>5,243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7"/>
              <w:spacing w:after="0"/>
              <w:rPr>
                <w:sz w:val="20"/>
                <w:szCs w:val="20"/>
                <w:color w:val="auto"/>
              </w:rPr>
            </w:pPr>
            <w:r>
              <w:rPr>
                <w:rFonts w:ascii="Georgia" w:cs="Georgia" w:eastAsia="Georgia" w:hAnsi="Georgia"/>
                <w:sz w:val="18"/>
                <w:szCs w:val="18"/>
                <w:color w:val="auto"/>
              </w:rPr>
              <w:t>18,237</w:t>
            </w:r>
          </w:p>
        </w:tc>
      </w:tr>
      <w:tr>
        <w:trPr>
          <w:trHeight w:val="223"/>
        </w:trPr>
        <w:tc>
          <w:tcPr>
            <w:tcW w:w="60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Georgia" w:cs="Georgia" w:eastAsia="Georgia" w:hAnsi="Georgia"/>
                <w:sz w:val="18"/>
                <w:szCs w:val="18"/>
                <w:color w:val="auto"/>
              </w:rPr>
              <w:t>Net cash used in operating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(6,958,174</w:t>
            </w:r>
          </w:p>
        </w:tc>
        <w:tc>
          <w:tcPr>
            <w:tcW w:w="180" w:type="dxa"/>
            <w:vAlign w:val="bottom"/>
            <w:tcBorders>
              <w:top w:val="single" w:sz="8" w:color="CCEEFF"/>
              <w:bottom w:val="single" w:sz="8" w:color="CCEEFF"/>
            </w:tcBorders>
            <w:shd w:val="clear" w:color="auto" w:fill="CCEEFF"/>
          </w:tcPr>
          <w:p>
            <w:pPr>
              <w:jc w:val="right"/>
              <w:ind w:right="47"/>
              <w:spacing w:after="0"/>
              <w:rPr>
                <w:sz w:val="20"/>
                <w:szCs w:val="20"/>
                <w:color w:val="auto"/>
              </w:rPr>
            </w:pPr>
            <w:r>
              <w:rPr>
                <w:rFonts w:ascii="Georgia" w:cs="Georgia" w:eastAsia="Georgia" w:hAnsi="Georgia"/>
                <w:sz w:val="15"/>
                <w:szCs w:val="15"/>
                <w:color w:val="auto"/>
                <w:w w:val="70"/>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67"/>
              <w:spacing w:after="0"/>
              <w:rPr>
                <w:sz w:val="20"/>
                <w:szCs w:val="20"/>
                <w:color w:val="auto"/>
              </w:rPr>
            </w:pPr>
            <w:r>
              <w:rPr>
                <w:rFonts w:ascii="Georgia" w:cs="Georgia" w:eastAsia="Georgia" w:hAnsi="Georgia"/>
                <w:sz w:val="15"/>
                <w:szCs w:val="15"/>
                <w:color w:val="auto"/>
                <w:w w:val="70"/>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(2,490,187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Georgia" w:cs="Georgia" w:eastAsia="Georgia" w:hAnsi="Georgia"/>
                <w:sz w:val="15"/>
                <w:szCs w:val="15"/>
                <w:color w:val="auto"/>
                <w:w w:val="70"/>
              </w:rPr>
              <w:t>)</w:t>
            </w:r>
          </w:p>
        </w:tc>
      </w:tr>
      <w:tr>
        <w:trPr>
          <w:trHeight w:val="188"/>
        </w:trPr>
        <w:tc>
          <w:tcPr>
            <w:tcW w:w="6080" w:type="dxa"/>
            <w:vAlign w:val="bottom"/>
          </w:tcPr>
          <w:p>
            <w:pPr>
              <w:spacing w:after="0" w:line="187" w:lineRule="exact"/>
              <w:rPr>
                <w:sz w:val="20"/>
                <w:szCs w:val="20"/>
                <w:color w:val="auto"/>
              </w:rPr>
            </w:pPr>
            <w:r>
              <w:rPr>
                <w:rFonts w:ascii="Georgia" w:cs="Georgia" w:eastAsia="Georgia" w:hAnsi="Georgia"/>
                <w:sz w:val="18"/>
                <w:szCs w:val="18"/>
                <w:b w:val="1"/>
                <w:bCs w:val="1"/>
                <w:color w:val="auto"/>
              </w:rPr>
              <w:t>Cash flows from investing activities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6"/>
        </w:trPr>
        <w:tc>
          <w:tcPr>
            <w:tcW w:w="6080" w:type="dxa"/>
            <w:vAlign w:val="bottom"/>
            <w:shd w:val="clear" w:color="auto" w:fill="CCEEFF"/>
          </w:tcPr>
          <w:p>
            <w:pPr>
              <w:ind w:left="180"/>
              <w:spacing w:after="0"/>
              <w:rPr>
                <w:sz w:val="20"/>
                <w:szCs w:val="20"/>
                <w:color w:val="auto"/>
              </w:rPr>
            </w:pPr>
            <w:r>
              <w:rPr>
                <w:rFonts w:ascii="Georgia" w:cs="Georgia" w:eastAsia="Georgia" w:hAnsi="Georgia"/>
                <w:sz w:val="18"/>
                <w:szCs w:val="18"/>
                <w:color w:val="auto"/>
              </w:rPr>
              <w:t>Purchases of property and equipment</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7"/>
              <w:spacing w:after="0"/>
              <w:rPr>
                <w:sz w:val="20"/>
                <w:szCs w:val="20"/>
                <w:color w:val="auto"/>
              </w:rPr>
            </w:pPr>
            <w:r>
              <w:rPr>
                <w:rFonts w:ascii="Georgia" w:cs="Georgia" w:eastAsia="Georgia" w:hAnsi="Georgia"/>
                <w:sz w:val="18"/>
                <w:szCs w:val="18"/>
                <w:color w:val="auto"/>
              </w:rPr>
              <w:t>(9,009)</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7"/>
              <w:spacing w:after="0"/>
              <w:rPr>
                <w:sz w:val="20"/>
                <w:szCs w:val="20"/>
                <w:color w:val="auto"/>
              </w:rPr>
            </w:pPr>
            <w:r>
              <w:rPr>
                <w:rFonts w:ascii="Georgia" w:cs="Georgia" w:eastAsia="Georgia" w:hAnsi="Georgia"/>
                <w:sz w:val="18"/>
                <w:szCs w:val="18"/>
                <w:color w:val="auto"/>
              </w:rPr>
              <w:t>(20,871)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7"/>
              <w:spacing w:after="0"/>
              <w:rPr>
                <w:sz w:val="20"/>
                <w:szCs w:val="20"/>
                <w:color w:val="auto"/>
              </w:rPr>
            </w:pPr>
            <w:r>
              <w:rPr>
                <w:rFonts w:ascii="Georgia" w:cs="Georgia" w:eastAsia="Georgia" w:hAnsi="Georgia"/>
                <w:sz w:val="18"/>
                <w:szCs w:val="18"/>
                <w:color w:val="auto"/>
              </w:rPr>
              <w:t>-</w:t>
            </w:r>
          </w:p>
        </w:tc>
      </w:tr>
      <w:tr>
        <w:trPr>
          <w:trHeight w:val="198"/>
        </w:trPr>
        <w:tc>
          <w:tcPr>
            <w:tcW w:w="6080" w:type="dxa"/>
            <w:vAlign w:val="bottom"/>
            <w:tcBorders>
              <w:top w:val="single" w:sz="8" w:color="CCEEFF"/>
              <w:bottom w:val="single" w:sz="8" w:color="CCEEFF"/>
            </w:tcBorders>
          </w:tcPr>
          <w:p>
            <w:pPr>
              <w:spacing w:after="0" w:line="183" w:lineRule="exact"/>
              <w:rPr>
                <w:sz w:val="20"/>
                <w:szCs w:val="20"/>
                <w:color w:val="auto"/>
              </w:rPr>
            </w:pPr>
            <w:r>
              <w:rPr>
                <w:rFonts w:ascii="Georgia" w:cs="Georgia" w:eastAsia="Georgia" w:hAnsi="Georgia"/>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(9,009</w:t>
            </w:r>
          </w:p>
        </w:tc>
        <w:tc>
          <w:tcPr>
            <w:tcW w:w="180" w:type="dxa"/>
            <w:vAlign w:val="bottom"/>
            <w:tcBorders>
              <w:top w:val="single" w:sz="8" w:color="CCEEFF"/>
              <w:bottom w:val="single" w:sz="8" w:color="CCEEFF"/>
            </w:tcBorders>
          </w:tcPr>
          <w:p>
            <w:pPr>
              <w:jc w:val="right"/>
              <w:ind w:right="47"/>
              <w:spacing w:after="0"/>
              <w:rPr>
                <w:sz w:val="20"/>
                <w:szCs w:val="20"/>
                <w:color w:val="auto"/>
              </w:rPr>
            </w:pPr>
            <w:r>
              <w:rPr>
                <w:rFonts w:ascii="Georgia" w:cs="Georgia" w:eastAsia="Georgia" w:hAnsi="Georgia"/>
                <w:sz w:val="15"/>
                <w:szCs w:val="15"/>
                <w:color w:val="auto"/>
                <w:w w:val="70"/>
              </w:rPr>
              <w:t>)</w:t>
            </w:r>
          </w:p>
        </w:tc>
        <w:tc>
          <w:tcPr>
            <w:tcW w:w="14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(20,871</w:t>
            </w:r>
          </w:p>
        </w:tc>
        <w:tc>
          <w:tcPr>
            <w:tcW w:w="200" w:type="dxa"/>
            <w:vAlign w:val="bottom"/>
            <w:tcBorders>
              <w:top w:val="single" w:sz="8" w:color="CCEEFF"/>
              <w:bottom w:val="single" w:sz="8" w:color="CCEEFF"/>
            </w:tcBorders>
          </w:tcPr>
          <w:p>
            <w:pPr>
              <w:jc w:val="right"/>
              <w:ind w:right="67"/>
              <w:spacing w:after="0"/>
              <w:rPr>
                <w:sz w:val="20"/>
                <w:szCs w:val="20"/>
                <w:color w:val="auto"/>
              </w:rPr>
            </w:pPr>
            <w:r>
              <w:rPr>
                <w:rFonts w:ascii="Georgia" w:cs="Georgia" w:eastAsia="Georgia" w:hAnsi="Georgia"/>
                <w:sz w:val="15"/>
                <w:szCs w:val="15"/>
                <w:color w:val="auto"/>
                <w:w w:val="70"/>
              </w:rPr>
              <w:t>)</w:t>
            </w:r>
          </w:p>
        </w:tc>
        <w:tc>
          <w:tcPr>
            <w:tcW w:w="120" w:type="dxa"/>
            <w:vAlign w:val="bottom"/>
            <w:tcBorders>
              <w:top w:val="single" w:sz="8" w:color="CCEEFF"/>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120" w:type="dxa"/>
            <w:vAlign w:val="bottom"/>
            <w:tcBorders>
              <w:top w:val="single" w:sz="8" w:color="CCEEFF"/>
              <w:bottom w:val="single" w:sz="8" w:color="CCEEFF"/>
            </w:tcBorders>
          </w:tcPr>
          <w:p>
            <w:pPr>
              <w:spacing w:after="0"/>
              <w:rPr>
                <w:sz w:val="17"/>
                <w:szCs w:val="17"/>
                <w:color w:val="auto"/>
              </w:rPr>
            </w:pPr>
          </w:p>
        </w:tc>
      </w:tr>
      <w:tr>
        <w:trPr>
          <w:trHeight w:val="203"/>
        </w:trPr>
        <w:tc>
          <w:tcPr>
            <w:tcW w:w="6080" w:type="dxa"/>
            <w:vAlign w:val="bottom"/>
            <w:shd w:val="clear" w:color="auto" w:fill="CCEEFF"/>
          </w:tcPr>
          <w:p>
            <w:pPr>
              <w:spacing w:after="0" w:line="200" w:lineRule="exact"/>
              <w:rPr>
                <w:sz w:val="20"/>
                <w:szCs w:val="20"/>
                <w:color w:val="auto"/>
              </w:rPr>
            </w:pPr>
            <w:r>
              <w:rPr>
                <w:rFonts w:ascii="Georgia" w:cs="Georgia" w:eastAsia="Georgia" w:hAnsi="Georgia"/>
                <w:sz w:val="18"/>
                <w:szCs w:val="18"/>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Net proceeds from IPO</w:t>
            </w:r>
          </w:p>
        </w:tc>
        <w:tc>
          <w:tcPr>
            <w:tcW w:w="320" w:type="dxa"/>
            <w:vAlign w:val="bottom"/>
          </w:tcPr>
          <w:p>
            <w:pPr>
              <w:spacing w:after="0"/>
              <w:rPr>
                <w:sz w:val="17"/>
                <w:szCs w:val="17"/>
                <w:color w:val="auto"/>
              </w:rPr>
            </w:pPr>
          </w:p>
        </w:tc>
        <w:tc>
          <w:tcPr>
            <w:tcW w:w="1340" w:type="dxa"/>
            <w:vAlign w:val="bottom"/>
            <w:gridSpan w:val="2"/>
          </w:tcPr>
          <w:p>
            <w:pPr>
              <w:jc w:val="right"/>
              <w:ind w:right="107"/>
              <w:spacing w:after="0" w:line="202" w:lineRule="exact"/>
              <w:rPr>
                <w:sz w:val="20"/>
                <w:szCs w:val="20"/>
                <w:color w:val="auto"/>
              </w:rPr>
            </w:pPr>
            <w:r>
              <w:rPr>
                <w:rFonts w:ascii="Georgia" w:cs="Georgia" w:eastAsia="Georgia" w:hAnsi="Georgia"/>
                <w:sz w:val="18"/>
                <w:szCs w:val="18"/>
                <w:color w:val="auto"/>
              </w:rPr>
              <w:t>28,741,559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7"/>
              <w:spacing w:after="0" w:line="202" w:lineRule="exact"/>
              <w:rPr>
                <w:sz w:val="20"/>
                <w:szCs w:val="20"/>
                <w:color w:val="auto"/>
              </w:rPr>
            </w:pPr>
            <w:r>
              <w:rPr>
                <w:rFonts w:ascii="Georgia" w:cs="Georgia" w:eastAsia="Georgia" w:hAnsi="Georgia"/>
                <w:sz w:val="18"/>
                <w:szCs w:val="18"/>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Proceeds from the exercise of stock options</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7"/>
              <w:spacing w:after="0" w:line="202" w:lineRule="exact"/>
              <w:rPr>
                <w:sz w:val="20"/>
                <w:szCs w:val="20"/>
                <w:color w:val="auto"/>
              </w:rPr>
            </w:pPr>
            <w:r>
              <w:rPr>
                <w:rFonts w:ascii="Georgia" w:cs="Georgia" w:eastAsia="Georgia" w:hAnsi="Georgia"/>
                <w:sz w:val="18"/>
                <w:szCs w:val="18"/>
                <w:color w:val="auto"/>
              </w:rPr>
              <w:t>543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7"/>
              <w:spacing w:after="0" w:line="202" w:lineRule="exact"/>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7"/>
              <w:spacing w:after="0" w:line="202" w:lineRule="exact"/>
              <w:rPr>
                <w:sz w:val="20"/>
                <w:szCs w:val="20"/>
                <w:color w:val="auto"/>
              </w:rPr>
            </w:pPr>
            <w:r>
              <w:rPr>
                <w:rFonts w:ascii="Georgia" w:cs="Georgia" w:eastAsia="Georgia" w:hAnsi="Georgia"/>
                <w:sz w:val="18"/>
                <w:szCs w:val="18"/>
                <w:color w:val="auto"/>
              </w:rPr>
              <w:t>-</w:t>
            </w:r>
          </w:p>
        </w:tc>
      </w:tr>
      <w:tr>
        <w:trPr>
          <w:trHeight w:val="202"/>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Proceeds from capital increase</w:t>
            </w:r>
          </w:p>
        </w:tc>
        <w:tc>
          <w:tcPr>
            <w:tcW w:w="320" w:type="dxa"/>
            <w:vAlign w:val="bottom"/>
          </w:tcPr>
          <w:p>
            <w:pPr>
              <w:spacing w:after="0"/>
              <w:rPr>
                <w:sz w:val="17"/>
                <w:szCs w:val="17"/>
                <w:color w:val="auto"/>
              </w:rPr>
            </w:pPr>
          </w:p>
        </w:tc>
        <w:tc>
          <w:tcPr>
            <w:tcW w:w="1340" w:type="dxa"/>
            <w:vAlign w:val="bottom"/>
            <w:gridSpan w:val="2"/>
          </w:tcPr>
          <w:p>
            <w:pPr>
              <w:jc w:val="right"/>
              <w:ind w:right="107"/>
              <w:spacing w:after="0" w:line="202" w:lineRule="exact"/>
              <w:rPr>
                <w:sz w:val="20"/>
                <w:szCs w:val="20"/>
                <w:color w:val="auto"/>
              </w:rPr>
            </w:pPr>
            <w:r>
              <w:rPr>
                <w:rFonts w:ascii="Georgia" w:cs="Georgia" w:eastAsia="Georgia" w:hAnsi="Georgia"/>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7"/>
              <w:spacing w:after="0" w:line="202" w:lineRule="exact"/>
              <w:rPr>
                <w:sz w:val="20"/>
                <w:szCs w:val="20"/>
                <w:color w:val="auto"/>
              </w:rPr>
            </w:pPr>
            <w:r>
              <w:rPr>
                <w:rFonts w:ascii="Georgia" w:cs="Georgia" w:eastAsia="Georgia" w:hAnsi="Georgia"/>
                <w:sz w:val="18"/>
                <w:szCs w:val="18"/>
                <w:color w:val="auto"/>
              </w:rPr>
              <w:t>1,500,436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15,086,708</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Georgia" w:cs="Georgia" w:eastAsia="Georgia" w:hAnsi="Georgia"/>
                <w:sz w:val="18"/>
                <w:szCs w:val="18"/>
                <w:color w:val="auto"/>
              </w:rPr>
              <w:t>Issuance costs</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7"/>
              <w:spacing w:after="0" w:line="202" w:lineRule="exact"/>
              <w:rPr>
                <w:sz w:val="20"/>
                <w:szCs w:val="20"/>
                <w:color w:val="auto"/>
              </w:rPr>
            </w:pPr>
            <w:r>
              <w:rPr>
                <w:rFonts w:ascii="Georgia" w:cs="Georgia" w:eastAsia="Georgia" w:hAnsi="Georgia"/>
                <w:sz w:val="18"/>
                <w:szCs w:val="18"/>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7"/>
              <w:spacing w:after="0" w:line="202" w:lineRule="exact"/>
              <w:rPr>
                <w:sz w:val="20"/>
                <w:szCs w:val="20"/>
                <w:color w:val="auto"/>
              </w:rPr>
            </w:pPr>
            <w:r>
              <w:rPr>
                <w:rFonts w:ascii="Georgia" w:cs="Georgia" w:eastAsia="Georgia" w:hAnsi="Georgia"/>
                <w:sz w:val="18"/>
                <w:szCs w:val="18"/>
                <w:color w:val="auto"/>
              </w:rPr>
              <w:t>(68,120)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(318,506)</w:t>
            </w:r>
          </w:p>
        </w:tc>
      </w:tr>
      <w:tr>
        <w:trPr>
          <w:trHeight w:val="203"/>
        </w:trPr>
        <w:tc>
          <w:tcPr>
            <w:tcW w:w="6080" w:type="dxa"/>
            <w:vAlign w:val="bottom"/>
          </w:tcPr>
          <w:p>
            <w:pPr>
              <w:ind w:left="180"/>
              <w:spacing w:after="0" w:line="202" w:lineRule="exact"/>
              <w:rPr>
                <w:sz w:val="20"/>
                <w:szCs w:val="20"/>
                <w:color w:val="auto"/>
              </w:rPr>
            </w:pPr>
            <w:r>
              <w:rPr>
                <w:rFonts w:ascii="Georgia" w:cs="Georgia" w:eastAsia="Georgia" w:hAnsi="Georgia"/>
                <w:sz w:val="18"/>
                <w:szCs w:val="18"/>
                <w:color w:val="auto"/>
              </w:rPr>
              <w:t>Prepaid offering costs</w:t>
            </w:r>
          </w:p>
        </w:tc>
        <w:tc>
          <w:tcPr>
            <w:tcW w:w="320" w:type="dxa"/>
            <w:vAlign w:val="bottom"/>
          </w:tcPr>
          <w:p>
            <w:pPr>
              <w:spacing w:after="0"/>
              <w:rPr>
                <w:sz w:val="17"/>
                <w:szCs w:val="17"/>
                <w:color w:val="auto"/>
              </w:rPr>
            </w:pPr>
          </w:p>
        </w:tc>
        <w:tc>
          <w:tcPr>
            <w:tcW w:w="1340" w:type="dxa"/>
            <w:vAlign w:val="bottom"/>
            <w:gridSpan w:val="2"/>
          </w:tcPr>
          <w:p>
            <w:pPr>
              <w:jc w:val="right"/>
              <w:ind w:right="107"/>
              <w:spacing w:after="0" w:line="202" w:lineRule="exact"/>
              <w:rPr>
                <w:sz w:val="20"/>
                <w:szCs w:val="20"/>
                <w:color w:val="auto"/>
              </w:rPr>
            </w:pPr>
            <w:r>
              <w:rPr>
                <w:rFonts w:ascii="Georgia" w:cs="Georgia" w:eastAsia="Georgia" w:hAnsi="Georgia"/>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7"/>
              <w:spacing w:after="0" w:line="202" w:lineRule="exact"/>
              <w:rPr>
                <w:sz w:val="20"/>
                <w:szCs w:val="20"/>
                <w:color w:val="auto"/>
              </w:rPr>
            </w:pPr>
            <w:r>
              <w:rPr>
                <w:rFonts w:ascii="Georgia" w:cs="Georgia" w:eastAsia="Georgia" w:hAnsi="Georgia"/>
                <w:sz w:val="18"/>
                <w:szCs w:val="18"/>
                <w:color w:val="auto"/>
              </w:rPr>
              <w:t>(43,000)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7"/>
              <w:spacing w:after="0" w:line="202" w:lineRule="exact"/>
              <w:rPr>
                <w:sz w:val="20"/>
                <w:szCs w:val="20"/>
                <w:color w:val="auto"/>
              </w:rPr>
            </w:pPr>
            <w:r>
              <w:rPr>
                <w:rFonts w:ascii="Georgia" w:cs="Georgia" w:eastAsia="Georgia" w:hAnsi="Georgia"/>
                <w:sz w:val="18"/>
                <w:szCs w:val="18"/>
                <w:color w:val="auto"/>
              </w:rPr>
              <w:t>-</w:t>
            </w:r>
          </w:p>
        </w:tc>
      </w:tr>
      <w:tr>
        <w:trPr>
          <w:trHeight w:val="235"/>
        </w:trPr>
        <w:tc>
          <w:tcPr>
            <w:tcW w:w="608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Net cash provided by financing activities</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7"/>
              <w:spacing w:after="0"/>
              <w:rPr>
                <w:sz w:val="20"/>
                <w:szCs w:val="20"/>
                <w:color w:val="auto"/>
              </w:rPr>
            </w:pPr>
            <w:r>
              <w:rPr>
                <w:rFonts w:ascii="Georgia" w:cs="Georgia" w:eastAsia="Georgia" w:hAnsi="Georgia"/>
                <w:sz w:val="18"/>
                <w:szCs w:val="18"/>
                <w:color w:val="auto"/>
              </w:rPr>
              <w:t>28,742,102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7"/>
              <w:spacing w:after="0"/>
              <w:rPr>
                <w:sz w:val="20"/>
                <w:szCs w:val="20"/>
                <w:color w:val="auto"/>
              </w:rPr>
            </w:pPr>
            <w:r>
              <w:rPr>
                <w:rFonts w:ascii="Georgia" w:cs="Georgia" w:eastAsia="Georgia" w:hAnsi="Georgia"/>
                <w:sz w:val="18"/>
                <w:szCs w:val="18"/>
                <w:color w:val="auto"/>
              </w:rPr>
              <w:t>1,389,316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7"/>
              <w:spacing w:after="0"/>
              <w:rPr>
                <w:sz w:val="20"/>
                <w:szCs w:val="20"/>
                <w:color w:val="auto"/>
              </w:rPr>
            </w:pPr>
            <w:r>
              <w:rPr>
                <w:rFonts w:ascii="Georgia" w:cs="Georgia" w:eastAsia="Georgia" w:hAnsi="Georgia"/>
                <w:sz w:val="18"/>
                <w:szCs w:val="18"/>
                <w:color w:val="auto"/>
              </w:rPr>
              <w:t>14,768,202</w:t>
            </w:r>
          </w:p>
        </w:tc>
      </w:tr>
      <w:tr>
        <w:trPr>
          <w:trHeight w:val="191"/>
        </w:trPr>
        <w:tc>
          <w:tcPr>
            <w:tcW w:w="6080" w:type="dxa"/>
            <w:vAlign w:val="bottom"/>
            <w:tcBorders>
              <w:top w:val="single" w:sz="8" w:color="CCEEFF"/>
            </w:tcBorders>
          </w:tcPr>
          <w:p>
            <w:pPr>
              <w:spacing w:after="0" w:line="188" w:lineRule="exact"/>
              <w:rPr>
                <w:sz w:val="20"/>
                <w:szCs w:val="20"/>
                <w:color w:val="auto"/>
              </w:rPr>
            </w:pPr>
            <w:r>
              <w:rPr>
                <w:rFonts w:ascii="Georgia" w:cs="Georgia" w:eastAsia="Georgia" w:hAnsi="Georgia"/>
                <w:sz w:val="18"/>
                <w:szCs w:val="18"/>
                <w:b w:val="1"/>
                <w:bCs w:val="1"/>
                <w:color w:val="auto"/>
              </w:rPr>
              <w:t>Net increase (decrease) in cash and cash equivalents</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21,774,919</w:t>
            </w: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(4,676,136)</w:t>
            </w: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12,278,015</w:t>
            </w:r>
          </w:p>
        </w:tc>
        <w:tc>
          <w:tcPr>
            <w:tcW w:w="120" w:type="dxa"/>
            <w:vAlign w:val="bottom"/>
            <w:tcBorders>
              <w:top w:val="single" w:sz="8" w:color="CCEEFF"/>
            </w:tcBorders>
          </w:tcPr>
          <w:p>
            <w:pPr>
              <w:spacing w:after="0"/>
              <w:rPr>
                <w:sz w:val="16"/>
                <w:szCs w:val="16"/>
                <w:color w:val="auto"/>
              </w:rPr>
            </w:pPr>
          </w:p>
        </w:tc>
      </w:tr>
      <w:tr>
        <w:trPr>
          <w:trHeight w:val="235"/>
        </w:trPr>
        <w:tc>
          <w:tcPr>
            <w:tcW w:w="6080" w:type="dxa"/>
            <w:vAlign w:val="bottom"/>
            <w:tcBorders>
              <w:bottom w:val="single" w:sz="8" w:color="CCEEFF"/>
            </w:tcBorders>
            <w:shd w:val="clear" w:color="auto" w:fill="CCEEFF"/>
          </w:tcPr>
          <w:p>
            <w:pPr>
              <w:spacing w:after="0" w:line="203" w:lineRule="exact"/>
              <w:rPr>
                <w:sz w:val="20"/>
                <w:szCs w:val="20"/>
                <w:color w:val="auto"/>
              </w:rPr>
            </w:pPr>
            <w:r>
              <w:rPr>
                <w:rFonts w:ascii="Georgia" w:cs="Georgia" w:eastAsia="Georgia" w:hAnsi="Georgia"/>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15,465,243</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20,141,379</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7,863,364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tcPr>
          <w:p>
            <w:pPr>
              <w:spacing w:after="0" w:line="183" w:lineRule="exact"/>
              <w:rPr>
                <w:sz w:val="20"/>
                <w:szCs w:val="20"/>
                <w:color w:val="auto"/>
              </w:rPr>
            </w:pPr>
            <w:r>
              <w:rPr>
                <w:rFonts w:ascii="Georgia" w:cs="Georgia" w:eastAsia="Georgia" w:hAnsi="Georgia"/>
                <w:sz w:val="18"/>
                <w:szCs w:val="18"/>
                <w:b w:val="1"/>
                <w:bCs w:val="1"/>
                <w:color w:val="auto"/>
              </w:rPr>
              <w:t>Cash and cash equivalents at end of period</w:t>
            </w:r>
          </w:p>
        </w:tc>
        <w:tc>
          <w:tcPr>
            <w:tcW w:w="32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340" w:type="dxa"/>
            <w:vAlign w:val="bottom"/>
            <w:gridSpan w:val="2"/>
          </w:tcPr>
          <w:p>
            <w:pPr>
              <w:jc w:val="right"/>
              <w:ind w:right="107"/>
              <w:spacing w:after="0" w:line="203" w:lineRule="exact"/>
              <w:rPr>
                <w:sz w:val="20"/>
                <w:szCs w:val="20"/>
                <w:color w:val="auto"/>
              </w:rPr>
            </w:pPr>
            <w:r>
              <w:rPr>
                <w:rFonts w:ascii="Georgia" w:cs="Georgia" w:eastAsia="Georgia" w:hAnsi="Georgia"/>
                <w:sz w:val="18"/>
                <w:szCs w:val="18"/>
                <w:color w:val="auto"/>
              </w:rPr>
              <w:t>37,240,162</w:t>
            </w:r>
          </w:p>
        </w:tc>
        <w:tc>
          <w:tcPr>
            <w:tcW w:w="360" w:type="dxa"/>
            <w:vAlign w:val="bottom"/>
            <w:gridSpan w:val="2"/>
          </w:tcPr>
          <w:p>
            <w:pPr>
              <w:ind w:left="140"/>
              <w:spacing w:after="0" w:line="203" w:lineRule="exact"/>
              <w:rPr>
                <w:sz w:val="20"/>
                <w:szCs w:val="20"/>
                <w:color w:val="auto"/>
              </w:rPr>
            </w:pPr>
            <w:r>
              <w:rPr>
                <w:rFonts w:ascii="Georgia" w:cs="Georgia" w:eastAsia="Georgia" w:hAnsi="Georgia"/>
                <w:sz w:val="18"/>
                <w:szCs w:val="18"/>
                <w:color w:val="auto"/>
              </w:rPr>
              <w:t>€</w:t>
            </w:r>
          </w:p>
        </w:tc>
        <w:tc>
          <w:tcPr>
            <w:tcW w:w="1440" w:type="dxa"/>
            <w:vAlign w:val="bottom"/>
            <w:gridSpan w:val="2"/>
          </w:tcPr>
          <w:p>
            <w:pPr>
              <w:jc w:val="right"/>
              <w:ind w:right="127"/>
              <w:spacing w:after="0" w:line="203" w:lineRule="exact"/>
              <w:rPr>
                <w:sz w:val="20"/>
                <w:szCs w:val="20"/>
                <w:color w:val="auto"/>
              </w:rPr>
            </w:pPr>
            <w:r>
              <w:rPr>
                <w:rFonts w:ascii="Georgia" w:cs="Georgia" w:eastAsia="Georgia" w:hAnsi="Georgia"/>
                <w:sz w:val="18"/>
                <w:szCs w:val="18"/>
                <w:color w:val="auto"/>
              </w:rPr>
              <w:t>15,465,243</w:t>
            </w:r>
          </w:p>
        </w:tc>
        <w:tc>
          <w:tcPr>
            <w:tcW w:w="460" w:type="dxa"/>
            <w:vAlign w:val="bottom"/>
            <w:gridSpan w:val="2"/>
          </w:tcPr>
          <w:p>
            <w:pPr>
              <w:ind w:left="120"/>
              <w:spacing w:after="0" w:line="203" w:lineRule="exact"/>
              <w:rPr>
                <w:sz w:val="20"/>
                <w:szCs w:val="20"/>
                <w:color w:val="auto"/>
              </w:rPr>
            </w:pPr>
            <w:r>
              <w:rPr>
                <w:rFonts w:ascii="Georgia" w:cs="Georgia" w:eastAsia="Georgia" w:hAnsi="Georgia"/>
                <w:sz w:val="18"/>
                <w:szCs w:val="18"/>
                <w:color w:val="auto"/>
              </w:rPr>
              <w:t>€</w:t>
            </w:r>
          </w:p>
        </w:tc>
        <w:tc>
          <w:tcPr>
            <w:tcW w:w="1240" w:type="dxa"/>
            <w:vAlign w:val="bottom"/>
            <w:gridSpan w:val="2"/>
          </w:tcPr>
          <w:p>
            <w:pPr>
              <w:jc w:val="right"/>
              <w:ind w:right="47"/>
              <w:spacing w:after="0" w:line="203" w:lineRule="exact"/>
              <w:rPr>
                <w:sz w:val="20"/>
                <w:szCs w:val="20"/>
                <w:color w:val="auto"/>
              </w:rPr>
            </w:pPr>
            <w:r>
              <w:rPr>
                <w:rFonts w:ascii="Georgia" w:cs="Georgia" w:eastAsia="Georgia" w:hAnsi="Georgia"/>
                <w:sz w:val="18"/>
                <w:szCs w:val="18"/>
                <w:color w:val="auto"/>
              </w:rPr>
              <w:t>20,141,379</w:t>
            </w:r>
          </w:p>
        </w:tc>
      </w:tr>
      <w:tr>
        <w:trPr>
          <w:trHeight w:val="154"/>
        </w:trPr>
        <w:tc>
          <w:tcPr>
            <w:tcW w:w="6080" w:type="dxa"/>
            <w:vAlign w:val="bottom"/>
            <w:tcBorders>
              <w:top w:val="single" w:sz="8" w:color="CCEEFF"/>
            </w:tcBorders>
            <w:shd w:val="clear" w:color="auto" w:fill="CCEEFF"/>
          </w:tcPr>
          <w:p>
            <w:pPr>
              <w:spacing w:after="0" w:line="154" w:lineRule="exact"/>
              <w:rPr>
                <w:sz w:val="20"/>
                <w:szCs w:val="20"/>
                <w:color w:val="auto"/>
              </w:rPr>
            </w:pPr>
            <w:r>
              <w:rPr>
                <w:rFonts w:ascii="Georgia" w:cs="Georgia" w:eastAsia="Georgia" w:hAnsi="Georgia"/>
                <w:sz w:val="18"/>
                <w:szCs w:val="18"/>
                <w:b w:val="1"/>
                <w:bCs w:val="1"/>
                <w:color w:val="auto"/>
              </w:rPr>
              <w:t>SUPPLEMENTAL DISCLOSURE OF NON-CASH FINANCING</w:t>
            </w: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226"/>
        </w:trPr>
        <w:tc>
          <w:tcPr>
            <w:tcW w:w="6080" w:type="dxa"/>
            <w:vAlign w:val="bottom"/>
            <w:tcBorders>
              <w:bottom w:val="single" w:sz="8" w:color="CCEEFF"/>
            </w:tcBorders>
            <w:shd w:val="clear" w:color="auto" w:fill="CCEEFF"/>
          </w:tcPr>
          <w:p>
            <w:pPr>
              <w:spacing w:after="0" w:line="203" w:lineRule="exact"/>
              <w:rPr>
                <w:sz w:val="20"/>
                <w:szCs w:val="20"/>
                <w:color w:val="auto"/>
              </w:rPr>
            </w:pPr>
            <w:r>
              <w:rPr>
                <w:rFonts w:ascii="Georgia" w:cs="Georgia" w:eastAsia="Georgia" w:hAnsi="Georgia"/>
                <w:sz w:val="18"/>
                <w:szCs w:val="18"/>
                <w:b w:val="1"/>
                <w:bCs w:val="1"/>
                <w:color w:val="auto"/>
              </w:rPr>
              <w:t>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68"/>
        </w:trPr>
        <w:tc>
          <w:tcPr>
            <w:tcW w:w="6080" w:type="dxa"/>
            <w:vAlign w:val="bottom"/>
          </w:tcPr>
          <w:p>
            <w:pPr>
              <w:spacing w:after="0" w:line="203" w:lineRule="exact"/>
              <w:rPr>
                <w:sz w:val="20"/>
                <w:szCs w:val="20"/>
                <w:color w:val="auto"/>
              </w:rPr>
            </w:pPr>
            <w:r>
              <w:rPr>
                <w:rFonts w:ascii="Georgia" w:cs="Georgia" w:eastAsia="Georgia" w:hAnsi="Georgia"/>
                <w:sz w:val="18"/>
                <w:szCs w:val="18"/>
                <w:b w:val="1"/>
                <w:bCs w:val="1"/>
                <w:color w:val="auto"/>
              </w:rPr>
              <w:t>Non-cash financing activities: accrued IPO offering costs</w:t>
            </w:r>
          </w:p>
        </w:tc>
        <w:tc>
          <w:tcPr>
            <w:tcW w:w="320" w:type="dxa"/>
            <w:vAlign w:val="bottom"/>
          </w:tcPr>
          <w:p>
            <w:pPr>
              <w:spacing w:after="0"/>
              <w:rPr>
                <w:sz w:val="20"/>
                <w:szCs w:val="20"/>
                <w:color w:val="auto"/>
              </w:rPr>
            </w:pPr>
            <w:r>
              <w:rPr>
                <w:rFonts w:ascii="Georgia" w:cs="Georgia" w:eastAsia="Georgia" w:hAnsi="Georgia"/>
                <w:sz w:val="18"/>
                <w:szCs w:val="18"/>
                <w:color w:val="auto"/>
              </w:rPr>
              <w:t>€</w:t>
            </w:r>
          </w:p>
        </w:tc>
        <w:tc>
          <w:tcPr>
            <w:tcW w:w="1340" w:type="dxa"/>
            <w:vAlign w:val="bottom"/>
            <w:gridSpan w:val="2"/>
          </w:tcPr>
          <w:p>
            <w:pPr>
              <w:jc w:val="right"/>
              <w:ind w:right="107"/>
              <w:spacing w:after="0"/>
              <w:rPr>
                <w:sz w:val="20"/>
                <w:szCs w:val="20"/>
                <w:color w:val="auto"/>
              </w:rPr>
            </w:pPr>
            <w:r>
              <w:rPr>
                <w:rFonts w:ascii="Georgia" w:cs="Georgia" w:eastAsia="Georgia" w:hAnsi="Georgia"/>
                <w:sz w:val="18"/>
                <w:szCs w:val="18"/>
                <w:color w:val="auto"/>
              </w:rPr>
              <w:t>170,825</w:t>
            </w:r>
          </w:p>
        </w:tc>
        <w:tc>
          <w:tcPr>
            <w:tcW w:w="360" w:type="dxa"/>
            <w:vAlign w:val="bottom"/>
            <w:gridSpan w:val="2"/>
          </w:tcPr>
          <w:p>
            <w:pPr>
              <w:ind w:left="140"/>
              <w:spacing w:after="0"/>
              <w:rPr>
                <w:sz w:val="20"/>
                <w:szCs w:val="20"/>
                <w:color w:val="auto"/>
              </w:rPr>
            </w:pPr>
            <w:r>
              <w:rPr>
                <w:rFonts w:ascii="Georgia" w:cs="Georgia" w:eastAsia="Georgia" w:hAnsi="Georgia"/>
                <w:sz w:val="18"/>
                <w:szCs w:val="18"/>
                <w:color w:val="auto"/>
              </w:rPr>
              <w:t>€</w:t>
            </w:r>
          </w:p>
        </w:tc>
        <w:tc>
          <w:tcPr>
            <w:tcW w:w="1440" w:type="dxa"/>
            <w:vAlign w:val="bottom"/>
            <w:gridSpan w:val="2"/>
          </w:tcPr>
          <w:p>
            <w:pPr>
              <w:jc w:val="right"/>
              <w:ind w:right="127"/>
              <w:spacing w:after="0"/>
              <w:rPr>
                <w:sz w:val="20"/>
                <w:szCs w:val="20"/>
                <w:color w:val="auto"/>
              </w:rPr>
            </w:pPr>
            <w:r>
              <w:rPr>
                <w:rFonts w:ascii="Georgia" w:cs="Georgia" w:eastAsia="Georgia" w:hAnsi="Georgia"/>
                <w:sz w:val="18"/>
                <w:szCs w:val="18"/>
                <w:color w:val="auto"/>
              </w:rPr>
              <w:t>-</w:t>
            </w:r>
          </w:p>
        </w:tc>
        <w:tc>
          <w:tcPr>
            <w:tcW w:w="460" w:type="dxa"/>
            <w:vAlign w:val="bottom"/>
            <w:gridSpan w:val="2"/>
          </w:tcPr>
          <w:p>
            <w:pPr>
              <w:ind w:left="120"/>
              <w:spacing w:after="0"/>
              <w:rPr>
                <w:sz w:val="20"/>
                <w:szCs w:val="20"/>
                <w:color w:val="auto"/>
              </w:rPr>
            </w:pPr>
            <w:r>
              <w:rPr>
                <w:rFonts w:ascii="Georgia" w:cs="Georgia" w:eastAsia="Georgia" w:hAnsi="Georgia"/>
                <w:sz w:val="18"/>
                <w:szCs w:val="18"/>
                <w:color w:val="auto"/>
              </w:rPr>
              <w:t>€</w:t>
            </w:r>
          </w:p>
        </w:tc>
        <w:tc>
          <w:tcPr>
            <w:tcW w:w="1240" w:type="dxa"/>
            <w:vAlign w:val="bottom"/>
            <w:gridSpan w:val="2"/>
          </w:tcPr>
          <w:p>
            <w:pPr>
              <w:jc w:val="right"/>
              <w:ind w:right="47"/>
              <w:spacing w:after="0"/>
              <w:rPr>
                <w:sz w:val="20"/>
                <w:szCs w:val="20"/>
                <w:color w:val="auto"/>
              </w:rPr>
            </w:pPr>
            <w:r>
              <w:rPr>
                <w:rFonts w:ascii="Georgia" w:cs="Georgia" w:eastAsia="Georgia" w:hAnsi="Georgia"/>
                <w:sz w:val="18"/>
                <w:szCs w:val="18"/>
                <w:color w:val="auto"/>
              </w:rPr>
              <w:t>-</w:t>
            </w:r>
          </w:p>
        </w:tc>
      </w:tr>
      <w:tr>
        <w:trPr>
          <w:trHeight w:val="154"/>
        </w:trPr>
        <w:tc>
          <w:tcPr>
            <w:tcW w:w="6080" w:type="dxa"/>
            <w:vAlign w:val="bottom"/>
            <w:tcBorders>
              <w:top w:val="single" w:sz="8" w:color="CCEEFF"/>
            </w:tcBorders>
            <w:shd w:val="clear" w:color="auto" w:fill="CCEEFF"/>
          </w:tcPr>
          <w:p>
            <w:pPr>
              <w:spacing w:after="0" w:line="154" w:lineRule="exact"/>
              <w:rPr>
                <w:sz w:val="20"/>
                <w:szCs w:val="20"/>
                <w:color w:val="auto"/>
              </w:rPr>
            </w:pPr>
            <w:r>
              <w:rPr>
                <w:rFonts w:ascii="Georgia" w:cs="Georgia" w:eastAsia="Georgia" w:hAnsi="Georgia"/>
                <w:sz w:val="18"/>
                <w:szCs w:val="18"/>
                <w:b w:val="1"/>
                <w:bCs w:val="1"/>
                <w:color w:val="auto"/>
              </w:rPr>
              <w:t>Non-cash financing activities: deferred offering costs accrued</w:t>
            </w: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231"/>
        </w:trPr>
        <w:tc>
          <w:tcPr>
            <w:tcW w:w="6080" w:type="dxa"/>
            <w:vAlign w:val="bottom"/>
            <w:shd w:val="clear" w:color="auto" w:fill="CCEEFF"/>
          </w:tcPr>
          <w:p>
            <w:pPr>
              <w:spacing w:after="0" w:line="203" w:lineRule="exact"/>
              <w:rPr>
                <w:sz w:val="20"/>
                <w:szCs w:val="20"/>
                <w:color w:val="auto"/>
              </w:rPr>
            </w:pPr>
            <w:r>
              <w:rPr>
                <w:rFonts w:ascii="Georgia" w:cs="Georgia" w:eastAsia="Georgia" w:hAnsi="Georgia"/>
                <w:sz w:val="18"/>
                <w:szCs w:val="18"/>
                <w:b w:val="1"/>
                <w:bCs w:val="1"/>
                <w:color w:val="auto"/>
              </w:rPr>
              <w:t>at year end</w:t>
            </w:r>
          </w:p>
        </w:tc>
        <w:tc>
          <w:tcPr>
            <w:tcW w:w="32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340" w:type="dxa"/>
            <w:vAlign w:val="bottom"/>
            <w:gridSpan w:val="2"/>
            <w:shd w:val="clear" w:color="auto" w:fill="CCEEFF"/>
          </w:tcPr>
          <w:p>
            <w:pPr>
              <w:jc w:val="right"/>
              <w:ind w:right="107"/>
              <w:spacing w:after="0"/>
              <w:rPr>
                <w:sz w:val="20"/>
                <w:szCs w:val="20"/>
                <w:color w:val="auto"/>
              </w:rPr>
            </w:pPr>
            <w:r>
              <w:rPr>
                <w:rFonts w:ascii="Georgia" w:cs="Georgia" w:eastAsia="Georgia" w:hAnsi="Georgia"/>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Georgia" w:cs="Georgia" w:eastAsia="Georgia" w:hAnsi="Georgia"/>
                <w:sz w:val="18"/>
                <w:szCs w:val="18"/>
                <w:color w:val="auto"/>
              </w:rPr>
              <w:t>€</w:t>
            </w:r>
          </w:p>
        </w:tc>
        <w:tc>
          <w:tcPr>
            <w:tcW w:w="1440" w:type="dxa"/>
            <w:vAlign w:val="bottom"/>
            <w:gridSpan w:val="2"/>
            <w:shd w:val="clear" w:color="auto" w:fill="CCEEFF"/>
          </w:tcPr>
          <w:p>
            <w:pPr>
              <w:jc w:val="right"/>
              <w:ind w:right="127"/>
              <w:spacing w:after="0"/>
              <w:rPr>
                <w:sz w:val="20"/>
                <w:szCs w:val="20"/>
                <w:color w:val="auto"/>
              </w:rPr>
            </w:pPr>
            <w:r>
              <w:rPr>
                <w:rFonts w:ascii="Georgia" w:cs="Georgia" w:eastAsia="Georgia" w:hAnsi="Georgia"/>
                <w:sz w:val="18"/>
                <w:szCs w:val="18"/>
                <w:color w:val="auto"/>
              </w:rPr>
              <w:t>113,733</w:t>
            </w:r>
          </w:p>
        </w:tc>
        <w:tc>
          <w:tcPr>
            <w:tcW w:w="460" w:type="dxa"/>
            <w:vAlign w:val="bottom"/>
            <w:gridSpan w:val="2"/>
            <w:shd w:val="clear" w:color="auto" w:fill="CCEEFF"/>
          </w:tcPr>
          <w:p>
            <w:pPr>
              <w:ind w:left="120"/>
              <w:spacing w:after="0"/>
              <w:rPr>
                <w:sz w:val="20"/>
                <w:szCs w:val="20"/>
                <w:color w:val="auto"/>
              </w:rPr>
            </w:pPr>
            <w:r>
              <w:rPr>
                <w:rFonts w:ascii="Georgia" w:cs="Georgia" w:eastAsia="Georgia" w:hAnsi="Georgia"/>
                <w:sz w:val="18"/>
                <w:szCs w:val="18"/>
                <w:color w:val="auto"/>
              </w:rPr>
              <w:t>€</w:t>
            </w:r>
          </w:p>
        </w:tc>
        <w:tc>
          <w:tcPr>
            <w:tcW w:w="11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120" w:type="dxa"/>
            <w:vAlign w:val="bottom"/>
            <w:shd w:val="clear" w:color="auto" w:fill="CCEEFF"/>
          </w:tcPr>
          <w:p>
            <w:pPr>
              <w:spacing w:after="0"/>
              <w:rPr>
                <w:sz w:val="20"/>
                <w:szCs w:val="20"/>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Georgia" w:cs="Georgia" w:eastAsia="Georgia" w:hAnsi="Georgia"/>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center"/>
        <w:ind w:right="-19"/>
        <w:spacing w:after="0"/>
        <w:rPr>
          <w:sz w:val="20"/>
          <w:szCs w:val="20"/>
          <w:color w:val="auto"/>
        </w:rPr>
      </w:pPr>
      <w:r>
        <w:rPr>
          <w:rFonts w:ascii="Georgia" w:cs="Georgia" w:eastAsia="Georgia" w:hAnsi="Georgia"/>
          <w:sz w:val="18"/>
          <w:szCs w:val="18"/>
          <w:b w:val="1"/>
          <w:bCs w:val="1"/>
          <w:i w:val="1"/>
          <w:iCs w:val="1"/>
          <w:color w:val="auto"/>
        </w:rPr>
        <w:t>Genenta Science S.p.A.</w:t>
      </w:r>
    </w:p>
    <w:p>
      <w:pPr>
        <w:jc w:val="center"/>
        <w:ind w:right="-19"/>
        <w:spacing w:after="0" w:line="237" w:lineRule="auto"/>
        <w:rPr>
          <w:sz w:val="20"/>
          <w:szCs w:val="20"/>
          <w:color w:val="auto"/>
        </w:rPr>
      </w:pPr>
      <w:r>
        <w:rPr>
          <w:rFonts w:ascii="Georgia" w:cs="Georgia" w:eastAsia="Georgia" w:hAnsi="Georgia"/>
          <w:sz w:val="18"/>
          <w:szCs w:val="18"/>
          <w:b w:val="1"/>
          <w:bCs w:val="1"/>
          <w:color w:val="auto"/>
        </w:rPr>
        <w:t>(formerly Genenta Science S.r.l.)</w:t>
      </w:r>
    </w:p>
    <w:p>
      <w:pPr>
        <w:jc w:val="center"/>
        <w:ind w:right="-19"/>
        <w:spacing w:after="0"/>
        <w:rPr>
          <w:sz w:val="20"/>
          <w:szCs w:val="20"/>
          <w:color w:val="auto"/>
        </w:rPr>
      </w:pPr>
      <w:r>
        <w:rPr>
          <w:rFonts w:ascii="Georgia" w:cs="Georgia" w:eastAsia="Georgia" w:hAnsi="Georgia"/>
          <w:sz w:val="18"/>
          <w:szCs w:val="18"/>
          <w:b w:val="1"/>
          <w:bCs w:val="1"/>
          <w:color w:val="auto"/>
        </w:rPr>
        <w:t>Notes to the Consolidated Financial Statements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 Nature of business and history</w:t>
      </w:r>
    </w:p>
    <w:p>
      <w:pPr>
        <w:spacing w:after="0" w:line="202" w:lineRule="exact"/>
        <w:rPr>
          <w:sz w:val="20"/>
          <w:szCs w:val="20"/>
          <w:color w:val="auto"/>
        </w:rPr>
      </w:pPr>
    </w:p>
    <w:p>
      <w:pPr>
        <w:ind w:right="40" w:firstLine="647"/>
        <w:spacing w:after="0" w:line="237" w:lineRule="auto"/>
        <w:rPr>
          <w:sz w:val="20"/>
          <w:szCs w:val="20"/>
          <w:color w:val="auto"/>
        </w:rPr>
      </w:pPr>
      <w:r>
        <w:rPr>
          <w:rFonts w:ascii="Georgia" w:cs="Georgia" w:eastAsia="Georgia" w:hAnsi="Georgia"/>
          <w:sz w:val="18"/>
          <w:szCs w:val="18"/>
          <w:color w:val="auto"/>
        </w:rPr>
        <w:t>Genenta Science S.p.A. (the “Company” or “Genenta” - formerly Genenta Science S.r.l. “società a responsabilità limitata,” similar to a Limited Liability Company in the United States) converted to an Italian corporation (“società per azioni”, or “S.p.A.”) in June 2021, which is similar to a C corporation in the United States. The Company was founded in Milan, Italy by San Raffaele Hospital (“OSR”), Pierluigi Paracchi, Luigi Naldini and Bernhard Gentner, and was incorporated in July 2014. On May 20, 2021, the quotaholders (owners of the Company) resolved that the Company convert from an S.r.l. to an S.p.A. and determined that the outstanding quota be converted to 15 million common shares at no par value. (See Note 10. Quotaholder’s and stockholder’s equity.) New Bylaws were adopted, two new Board members were appointed, and the existing Board of Directors and Board of Statutory Advisors were re-appointed. The registered office remained located in Milan, Italy. The Company’s reporting currency is Euros (“EUR”). In May 2021, the Company formed a wholly owned, Delaware incorporated subsidiary, Genenta Science, Inc., intended for future operations in the United States (“US Subsidiary”). The US Subsidiary operates in US Dollars (“USD”).</w:t>
      </w:r>
    </w:p>
    <w:p>
      <w:pPr>
        <w:spacing w:after="0" w:line="208" w:lineRule="exact"/>
        <w:rPr>
          <w:sz w:val="20"/>
          <w:szCs w:val="20"/>
          <w:color w:val="auto"/>
        </w:rPr>
      </w:pPr>
    </w:p>
    <w:p>
      <w:pPr>
        <w:ind w:right="140" w:firstLine="647"/>
        <w:spacing w:after="0" w:line="237" w:lineRule="auto"/>
        <w:rPr>
          <w:sz w:val="20"/>
          <w:szCs w:val="20"/>
          <w:color w:val="auto"/>
        </w:rPr>
      </w:pPr>
      <w:r>
        <w:rPr>
          <w:rFonts w:ascii="Georgia" w:cs="Georgia" w:eastAsia="Georgia" w:hAnsi="Georgia"/>
          <w:sz w:val="18"/>
          <w:szCs w:val="18"/>
          <w:color w:val="auto"/>
        </w:rPr>
        <w:t>On December 15, 2021, the Company completed an initial public offering (“IPO”) of its shares and was listed on the Nasdaq Stock Capital Market. Through the IPO, 3,120,114 new ordinary shares with no par value were issued. 720,114 ordinary shares were subscribed by the Company’s existing shareholders through a Reserved Offering, while 2,400,000 American Depository Shares (“ADS”) were directly placed on the market. Subsequently, on December 27, 2021, the Company’s underwriter exercised a portion of its “green shoe” allotment for an additional 96,744 ADS. The total number of shares outstanding resulting at December 31, 2021 was 18,216,858. Through the IPO, approximately €29 million was raised net of listing costs (approximately €3.9 million).</w:t>
      </w:r>
    </w:p>
    <w:p>
      <w:pPr>
        <w:spacing w:after="0" w:line="206" w:lineRule="exact"/>
        <w:rPr>
          <w:sz w:val="20"/>
          <w:szCs w:val="20"/>
          <w:color w:val="auto"/>
        </w:rPr>
      </w:pPr>
    </w:p>
    <w:p>
      <w:pPr>
        <w:ind w:right="200" w:firstLine="647"/>
        <w:spacing w:after="0" w:line="237" w:lineRule="auto"/>
        <w:rPr>
          <w:sz w:val="20"/>
          <w:szCs w:val="20"/>
          <w:color w:val="auto"/>
        </w:rPr>
      </w:pPr>
      <w:r>
        <w:rPr>
          <w:rFonts w:ascii="Georgia" w:cs="Georgia" w:eastAsia="Georgia" w:hAnsi="Georgia"/>
          <w:sz w:val="18"/>
          <w:szCs w:val="18"/>
          <w:color w:val="auto"/>
        </w:rPr>
        <w:t>Genenta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clinical trial in the United States to study Temferon™ in other cancers, possibly liver cancer.</w:t>
      </w:r>
    </w:p>
    <w:p>
      <w:pPr>
        <w:spacing w:after="0" w:line="205" w:lineRule="exact"/>
        <w:rPr>
          <w:sz w:val="20"/>
          <w:szCs w:val="20"/>
          <w:color w:val="auto"/>
        </w:rPr>
      </w:pPr>
    </w:p>
    <w:p>
      <w:pPr>
        <w:ind w:right="80" w:firstLine="647"/>
        <w:spacing w:after="0" w:line="237" w:lineRule="auto"/>
        <w:rPr>
          <w:sz w:val="20"/>
          <w:szCs w:val="20"/>
          <w:color w:val="auto"/>
        </w:rPr>
      </w:pPr>
      <w:r>
        <w:rPr>
          <w:rFonts w:ascii="Georgia" w:cs="Georgia" w:eastAsia="Georgia" w:hAnsi="Georgia"/>
          <w:sz w:val="18"/>
          <w:szCs w:val="18"/>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Liquidity and risks</w:t>
      </w:r>
    </w:p>
    <w:p>
      <w:pPr>
        <w:spacing w:after="0" w:line="202"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The Company has incurred losses since its inception, including a net loss of €5.5 million, €5.5 million and €4.6 million for the years ended December 31, 2021, December 31, 2020, and December 31, 2019, respectively. In addition, as of December 31, 2021, the Company had an accumulated deficit of €27.0 million. The Company has primarily funded these losses through the proceeds from sales of convertible debt and equity quotas, prior to the Company’s conversion into an S.p.A. and its IPO. Although the Company has incurred recurring losses and expects to continue to incur losses for the foreseeable future, the Company expects that its existing cash and cash equivalents on hand as of December 31, 2021 of €37.2 million will be sufficient to fund current planned operations and capital expenditure requirements for at least the next twelve months from the filing date of these consolidated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46" w:name="page147"/>
    <w:bookmarkEnd w:id="146"/>
    <w:p>
      <w:pPr>
        <w:ind w:right="40" w:firstLine="648"/>
        <w:spacing w:after="0" w:line="237" w:lineRule="auto"/>
        <w:rPr>
          <w:sz w:val="20"/>
          <w:szCs w:val="20"/>
          <w:color w:val="auto"/>
        </w:rPr>
      </w:pPr>
      <w:r>
        <w:rPr>
          <w:rFonts w:ascii="Georgia" w:cs="Georgia" w:eastAsia="Georgia" w:hAnsi="Georgia"/>
          <w:sz w:val="18"/>
          <w:szCs w:val="18"/>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207" w:lineRule="exact"/>
        <w:rPr>
          <w:sz w:val="20"/>
          <w:szCs w:val="20"/>
          <w:color w:val="auto"/>
        </w:rPr>
      </w:pPr>
    </w:p>
    <w:p>
      <w:pPr>
        <w:ind w:right="80" w:firstLine="648"/>
        <w:spacing w:after="0" w:line="237" w:lineRule="auto"/>
        <w:rPr>
          <w:sz w:val="20"/>
          <w:szCs w:val="20"/>
          <w:color w:val="auto"/>
        </w:rPr>
      </w:pPr>
      <w:r>
        <w:rPr>
          <w:rFonts w:ascii="Georgia" w:cs="Georgia" w:eastAsia="Georgia" w:hAnsi="Georgia"/>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205" w:lineRule="exact"/>
        <w:rPr>
          <w:sz w:val="20"/>
          <w:szCs w:val="20"/>
          <w:color w:val="auto"/>
        </w:rPr>
      </w:pPr>
    </w:p>
    <w:p>
      <w:pPr>
        <w:ind w:right="160" w:firstLine="648"/>
        <w:spacing w:after="0" w:line="253" w:lineRule="auto"/>
        <w:rPr>
          <w:sz w:val="20"/>
          <w:szCs w:val="20"/>
          <w:color w:val="auto"/>
        </w:rPr>
      </w:pPr>
      <w:r>
        <w:rPr>
          <w:rFonts w:ascii="Georgia" w:cs="Georgia" w:eastAsia="Georgia" w:hAnsi="Georgia"/>
          <w:sz w:val="17"/>
          <w:szCs w:val="17"/>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remain uncertain. The Company has not experienced significant interruptions related to COVID-19 or its variants. The Company may find it difficult to enroll patients in its clinical trials, which could delay or prevent the Company from proceeding with clinical trials of its product candidates. The Company continues to closely monitor this evolving situation and the potential impact on the Company.</w:t>
      </w:r>
    </w:p>
    <w:p>
      <w:pPr>
        <w:spacing w:after="0" w:line="19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Quantitative and qualitative disclosure about market risk</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The Company is exposed to market risks in the ordinary course of its business. Market risk represents the risk of loss that may impact the Company’s financial position due to adverse changes in financial market prices and rates. The Company’s current investment policy is conservative due to the need to support operations and, therefore, the Company invests available cash mainly in bank deposits with reputable banks that have a credit rating of at least A-. Accordingly, a substantial majority of the Company’s cash and cash equivalents is held in deposits that bear a small amount of interest. Given the current low rates of interest the Company receives, the Company will not be adversely affected if such rates are reduced. The Company’s market risk exposure is primarily a result of foreign currency exchange rates, which is discussed in detail in the following paragraph.</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Foreign currency exchange risk</w:t>
      </w:r>
    </w:p>
    <w:p>
      <w:pPr>
        <w:spacing w:after="0" w:line="200" w:lineRule="exact"/>
        <w:rPr>
          <w:sz w:val="20"/>
          <w:szCs w:val="20"/>
          <w:color w:val="auto"/>
        </w:rPr>
      </w:pPr>
    </w:p>
    <w:p>
      <w:pPr>
        <w:spacing w:after="0" w:line="204" w:lineRule="exact"/>
        <w:rPr>
          <w:sz w:val="20"/>
          <w:szCs w:val="20"/>
          <w:color w:val="auto"/>
        </w:rPr>
      </w:pPr>
    </w:p>
    <w:p>
      <w:pPr>
        <w:ind w:right="40" w:firstLine="648"/>
        <w:spacing w:after="0" w:line="237" w:lineRule="auto"/>
        <w:rPr>
          <w:sz w:val="20"/>
          <w:szCs w:val="20"/>
          <w:color w:val="auto"/>
        </w:rPr>
      </w:pPr>
      <w:r>
        <w:rPr>
          <w:rFonts w:ascii="Georgia" w:cs="Georgia" w:eastAsia="Georgia" w:hAnsi="Georgia"/>
          <w:sz w:val="18"/>
          <w:szCs w:val="18"/>
          <w:color w:val="auto"/>
        </w:rPr>
        <w:t>The Company’s results of operations and cash flow may be subject to fluctuations due to changes in foreign currency exchange rates. A portion of the Company’s liquid assets and expenses are denominated in EUR; however, a portion are denominated in USD. (At December 31, 2021, the Company maintained USD25.7 million in cash and cash equivalents.) Changes in the USD/EUR exchange rate could increase/decrease our operating expenses, especially as more costs are incurred in the United States or, as USD are exchanged for EUR to cover European operating costs. As the Company continues to grow its business, the Company’s results of operations and cash flows might be subject to significant fluctuations due to changes in foreign currency exchange rates, which could adversely impact the Company’s results of operations.</w:t>
      </w:r>
    </w:p>
    <w:p>
      <w:pPr>
        <w:spacing w:after="0" w:line="206" w:lineRule="exact"/>
        <w:rPr>
          <w:sz w:val="20"/>
          <w:szCs w:val="20"/>
          <w:color w:val="auto"/>
        </w:rPr>
      </w:pPr>
    </w:p>
    <w:p>
      <w:pPr>
        <w:ind w:right="420" w:firstLine="648"/>
        <w:spacing w:after="0" w:line="237" w:lineRule="auto"/>
        <w:rPr>
          <w:sz w:val="20"/>
          <w:szCs w:val="20"/>
          <w:color w:val="auto"/>
        </w:rPr>
      </w:pPr>
      <w:r>
        <w:rPr>
          <w:rFonts w:ascii="Georgia" w:cs="Georgia" w:eastAsia="Georgia" w:hAnsi="Georgia"/>
          <w:sz w:val="18"/>
          <w:szCs w:val="18"/>
          <w:color w:val="auto"/>
        </w:rPr>
        <w:t>Currently, the Company does not hedge its foreign currency exchange risk. In the future, the Company may enter into formal currency hedging transactions to decrease the risk of financial exposure from fluctuations in the exchange rates of its principal operating currencies. These measures, however, may not adequately protect the Company from the material adverse effects of such fluctuations.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47" w:name="page148"/>
    <w:bookmarkEnd w:id="147"/>
    <w:p>
      <w:pPr>
        <w:spacing w:after="0"/>
        <w:rPr>
          <w:sz w:val="20"/>
          <w:szCs w:val="20"/>
          <w:color w:val="auto"/>
        </w:rPr>
      </w:pPr>
      <w:r>
        <w:rPr>
          <w:rFonts w:ascii="Georgia" w:cs="Georgia" w:eastAsia="Georgia" w:hAnsi="Georgia"/>
          <w:sz w:val="18"/>
          <w:szCs w:val="18"/>
          <w:b w:val="1"/>
          <w:bCs w:val="1"/>
          <w:color w:val="auto"/>
        </w:rPr>
        <w:t>2. Summary of significant accounting policies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of presentation</w:t>
      </w:r>
    </w:p>
    <w:p>
      <w:pPr>
        <w:spacing w:after="0" w:line="202" w:lineRule="exact"/>
        <w:rPr>
          <w:sz w:val="20"/>
          <w:szCs w:val="20"/>
          <w:color w:val="auto"/>
        </w:rPr>
      </w:pPr>
    </w:p>
    <w:p>
      <w:pPr>
        <w:ind w:right="200" w:firstLine="647"/>
        <w:spacing w:after="0" w:line="237" w:lineRule="auto"/>
        <w:rPr>
          <w:sz w:val="20"/>
          <w:szCs w:val="20"/>
          <w:color w:val="auto"/>
        </w:rPr>
      </w:pPr>
      <w:r>
        <w:rPr>
          <w:rFonts w:ascii="Georgia" w:cs="Georgia" w:eastAsia="Georgia" w:hAnsi="Georgia"/>
          <w:sz w:val="18"/>
          <w:szCs w:val="18"/>
          <w:color w:val="auto"/>
        </w:rPr>
        <w:t>The accompanying consolidated financial statements have been prepared in accordance with U.S. accounting principles generally accepted in the United States of America (“U.S. GAAP”) for consolidated financial information and with the instructions to Form 20-F and Article 10 of Regulation S-X promulgated by the Securities and Exchange Commission (“SEC”).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206" w:lineRule="exact"/>
        <w:rPr>
          <w:sz w:val="20"/>
          <w:szCs w:val="20"/>
          <w:color w:val="auto"/>
        </w:rPr>
      </w:pPr>
    </w:p>
    <w:p>
      <w:pPr>
        <w:ind w:right="240" w:firstLine="647"/>
        <w:spacing w:after="0" w:line="237" w:lineRule="auto"/>
        <w:rPr>
          <w:sz w:val="20"/>
          <w:szCs w:val="20"/>
          <w:color w:val="auto"/>
        </w:rPr>
      </w:pPr>
      <w:r>
        <w:rPr>
          <w:rFonts w:ascii="Georgia" w:cs="Georgia" w:eastAsia="Georgia" w:hAnsi="Georgia"/>
          <w:sz w:val="18"/>
          <w:szCs w:val="18"/>
          <w:color w:val="auto"/>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Principles of consolidation</w:t>
      </w:r>
    </w:p>
    <w:p>
      <w:pPr>
        <w:spacing w:after="0" w:line="202" w:lineRule="exact"/>
        <w:rPr>
          <w:sz w:val="20"/>
          <w:szCs w:val="20"/>
          <w:color w:val="auto"/>
        </w:rPr>
      </w:pPr>
    </w:p>
    <w:p>
      <w:pPr>
        <w:ind w:right="520" w:firstLine="648"/>
        <w:spacing w:after="0" w:line="237" w:lineRule="auto"/>
        <w:rPr>
          <w:sz w:val="20"/>
          <w:szCs w:val="20"/>
          <w:color w:val="auto"/>
        </w:rPr>
      </w:pPr>
      <w:r>
        <w:rPr>
          <w:rFonts w:ascii="Georgia" w:cs="Georgia" w:eastAsia="Georgia" w:hAnsi="Georgia"/>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Use of estimates</w:t>
      </w:r>
    </w:p>
    <w:p>
      <w:pPr>
        <w:spacing w:after="0" w:line="202" w:lineRule="exact"/>
        <w:rPr>
          <w:sz w:val="20"/>
          <w:szCs w:val="20"/>
          <w:color w:val="auto"/>
        </w:rPr>
      </w:pPr>
    </w:p>
    <w:p>
      <w:pPr>
        <w:ind w:right="20" w:firstLine="647"/>
        <w:spacing w:after="0" w:line="237" w:lineRule="auto"/>
        <w:rPr>
          <w:sz w:val="20"/>
          <w:szCs w:val="20"/>
          <w:color w:val="auto"/>
        </w:rPr>
      </w:pPr>
      <w:r>
        <w:rPr>
          <w:rFonts w:ascii="Georgia" w:cs="Georgia" w:eastAsia="Georgia" w:hAnsi="Georgia"/>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Cash and cash equivalents</w:t>
      </w:r>
    </w:p>
    <w:p>
      <w:pPr>
        <w:spacing w:after="0" w:line="202" w:lineRule="exact"/>
        <w:rPr>
          <w:sz w:val="20"/>
          <w:szCs w:val="20"/>
          <w:color w:val="auto"/>
        </w:rPr>
      </w:pPr>
    </w:p>
    <w:p>
      <w:pPr>
        <w:ind w:right="80" w:firstLine="647"/>
        <w:spacing w:after="0" w:line="237" w:lineRule="auto"/>
        <w:rPr>
          <w:sz w:val="20"/>
          <w:szCs w:val="20"/>
          <w:color w:val="auto"/>
        </w:rPr>
      </w:pPr>
      <w:r>
        <w:rPr>
          <w:rFonts w:ascii="Georgia" w:cs="Georgia" w:eastAsia="Georgia" w:hAnsi="Georgia"/>
          <w:sz w:val="18"/>
          <w:szCs w:val="18"/>
          <w:color w:val="auto"/>
        </w:rPr>
        <w:t>The Company considers all highly liquid investments purchased with original maturities of 90 days or less at acquisition to be cash equivalents, which amounts may at times exceed federally insured limits. The Company has not experienced any losses on such accounts and does not believe it is exposed to any significant credit risk.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3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center"/>
              <w:ind w:left="630"/>
              <w:spacing w:after="0"/>
              <w:rPr>
                <w:sz w:val="20"/>
                <w:szCs w:val="20"/>
                <w:color w:val="auto"/>
              </w:rPr>
            </w:pPr>
            <w:r>
              <w:rPr>
                <w:rFonts w:ascii="Georgia" w:cs="Georgia" w:eastAsia="Georgia" w:hAnsi="Georgia"/>
                <w:sz w:val="18"/>
                <w:szCs w:val="18"/>
                <w:b w:val="1"/>
                <w:bCs w:val="1"/>
                <w:color w:val="auto"/>
                <w:w w:val="99"/>
              </w:rPr>
              <w:t>At December 31,</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Georgia" w:cs="Georgia" w:eastAsia="Georgia" w:hAnsi="Georgia"/>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Georgia" w:cs="Georgia" w:eastAsia="Georgia" w:hAnsi="Georgia"/>
                <w:sz w:val="18"/>
                <w:szCs w:val="18"/>
                <w:b w:val="1"/>
                <w:bCs w:val="1"/>
                <w:color w:val="auto"/>
                <w:w w:val="96"/>
              </w:rPr>
              <w:t>2020</w:t>
            </w:r>
          </w:p>
        </w:tc>
        <w:tc>
          <w:tcPr>
            <w:tcW w:w="80" w:type="dxa"/>
            <w:vAlign w:val="bottom"/>
          </w:tcPr>
          <w:p>
            <w:pPr>
              <w:spacing w:after="0"/>
              <w:rPr>
                <w:sz w:val="19"/>
                <w:szCs w:val="19"/>
                <w:color w:val="auto"/>
              </w:rPr>
            </w:pPr>
          </w:p>
        </w:tc>
      </w:tr>
      <w:tr>
        <w:trPr>
          <w:trHeight w:val="203"/>
        </w:trPr>
        <w:tc>
          <w:tcPr>
            <w:tcW w:w="3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3"/>
          </w:tcPr>
          <w:p>
            <w:pPr>
              <w:jc w:val="center"/>
              <w:ind w:left="650"/>
              <w:spacing w:after="0" w:line="202" w:lineRule="exact"/>
              <w:rPr>
                <w:sz w:val="20"/>
                <w:szCs w:val="20"/>
                <w:color w:val="auto"/>
              </w:rPr>
            </w:pPr>
            <w:r>
              <w:rPr>
                <w:rFonts w:ascii="Georgia" w:cs="Georgia" w:eastAsia="Georgia" w:hAnsi="Georgia"/>
                <w:sz w:val="18"/>
                <w:szCs w:val="18"/>
                <w:color w:val="auto"/>
                <w:w w:val="99"/>
              </w:rPr>
              <w:t>(in Euros)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7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Cash in bank</w:t>
            </w:r>
          </w:p>
        </w:tc>
        <w:tc>
          <w:tcPr>
            <w:tcW w:w="1800" w:type="dxa"/>
            <w:vAlign w:val="bottom"/>
            <w:gridSpan w:val="2"/>
            <w:shd w:val="clear" w:color="auto" w:fill="CCEEFF"/>
          </w:tcPr>
          <w:p>
            <w:pPr>
              <w:ind w:left="1420"/>
              <w:spacing w:after="0" w:line="202" w:lineRule="exact"/>
              <w:rPr>
                <w:sz w:val="20"/>
                <w:szCs w:val="20"/>
                <w:color w:val="auto"/>
              </w:rPr>
            </w:pPr>
            <w:r>
              <w:rPr>
                <w:rFonts w:ascii="Georgia" w:cs="Georgia" w:eastAsia="Georgia" w:hAnsi="Georgia"/>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37,236,089</w:t>
            </w:r>
          </w:p>
        </w:tc>
        <w:tc>
          <w:tcPr>
            <w:tcW w:w="860" w:type="dxa"/>
            <w:vAlign w:val="bottom"/>
            <w:gridSpan w:val="2"/>
            <w:shd w:val="clear" w:color="auto" w:fill="CCEEFF"/>
          </w:tcPr>
          <w:p>
            <w:pPr>
              <w:ind w:left="240"/>
              <w:spacing w:after="0" w:line="202" w:lineRule="exact"/>
              <w:rPr>
                <w:sz w:val="20"/>
                <w:szCs w:val="20"/>
                <w:color w:val="auto"/>
              </w:rPr>
            </w:pPr>
            <w:r>
              <w:rPr>
                <w:rFonts w:ascii="Georgia" w:cs="Georgia" w:eastAsia="Georgia" w:hAnsi="Georgia"/>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15,462,805</w:t>
            </w:r>
          </w:p>
        </w:tc>
        <w:tc>
          <w:tcPr>
            <w:tcW w:w="80" w:type="dxa"/>
            <w:vAlign w:val="bottom"/>
            <w:shd w:val="clear" w:color="auto" w:fill="CCEEFF"/>
          </w:tcPr>
          <w:p>
            <w:pPr>
              <w:spacing w:after="0"/>
              <w:rPr>
                <w:sz w:val="17"/>
                <w:szCs w:val="17"/>
                <w:color w:val="auto"/>
              </w:rPr>
            </w:pPr>
          </w:p>
        </w:tc>
      </w:tr>
      <w:tr>
        <w:trPr>
          <w:trHeight w:val="223"/>
        </w:trPr>
        <w:tc>
          <w:tcPr>
            <w:tcW w:w="3760" w:type="dxa"/>
            <w:vAlign w:val="bottom"/>
            <w:tcBorders>
              <w:bottom w:val="single" w:sz="8" w:color="CCEEFF"/>
            </w:tcBorders>
          </w:tcPr>
          <w:p>
            <w:pPr>
              <w:spacing w:after="0" w:line="203" w:lineRule="exact"/>
              <w:rPr>
                <w:sz w:val="20"/>
                <w:szCs w:val="20"/>
                <w:color w:val="auto"/>
              </w:rPr>
            </w:pPr>
            <w:r>
              <w:rPr>
                <w:rFonts w:ascii="Georgia" w:cs="Georgia" w:eastAsia="Georgia" w:hAnsi="Georgia"/>
                <w:sz w:val="18"/>
                <w:szCs w:val="18"/>
                <w:color w:val="auto"/>
              </w:rPr>
              <w:t>Cash in hand &amp; prepaid cards</w:t>
            </w:r>
          </w:p>
        </w:tc>
        <w:tc>
          <w:tcPr>
            <w:tcW w:w="14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4,073</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2,438</w:t>
            </w:r>
          </w:p>
        </w:tc>
        <w:tc>
          <w:tcPr>
            <w:tcW w:w="80" w:type="dxa"/>
            <w:vAlign w:val="bottom"/>
            <w:tcBorders>
              <w:bottom w:val="single" w:sz="8" w:color="CCEEFF"/>
            </w:tcBorders>
          </w:tcPr>
          <w:p>
            <w:pPr>
              <w:spacing w:after="0"/>
              <w:rPr>
                <w:sz w:val="19"/>
                <w:szCs w:val="19"/>
                <w:color w:val="auto"/>
              </w:rPr>
            </w:pPr>
          </w:p>
        </w:tc>
      </w:tr>
      <w:tr>
        <w:trPr>
          <w:trHeight w:val="215"/>
        </w:trPr>
        <w:tc>
          <w:tcPr>
            <w:tcW w:w="3760" w:type="dxa"/>
            <w:vAlign w:val="bottom"/>
            <w:shd w:val="clear" w:color="auto" w:fill="CCEEFF"/>
          </w:tcPr>
          <w:p>
            <w:pPr>
              <w:spacing w:after="0" w:line="190" w:lineRule="exact"/>
              <w:rPr>
                <w:sz w:val="20"/>
                <w:szCs w:val="20"/>
                <w:color w:val="auto"/>
              </w:rPr>
            </w:pPr>
            <w:r>
              <w:rPr>
                <w:rFonts w:ascii="Georgia" w:cs="Georgia" w:eastAsia="Georgia" w:hAnsi="Georgia"/>
                <w:sz w:val="18"/>
                <w:szCs w:val="18"/>
                <w:color w:val="auto"/>
              </w:rPr>
              <w:t>Total</w:t>
            </w:r>
          </w:p>
        </w:tc>
        <w:tc>
          <w:tcPr>
            <w:tcW w:w="1800" w:type="dxa"/>
            <w:vAlign w:val="bottom"/>
            <w:gridSpan w:val="2"/>
            <w:shd w:val="clear" w:color="auto" w:fill="CCEEFF"/>
          </w:tcPr>
          <w:p>
            <w:pPr>
              <w:ind w:left="1420"/>
              <w:spacing w:after="0"/>
              <w:rPr>
                <w:sz w:val="20"/>
                <w:szCs w:val="20"/>
                <w:color w:val="auto"/>
              </w:rPr>
            </w:pPr>
            <w:r>
              <w:rPr>
                <w:rFonts w:ascii="Georgia" w:cs="Georgia" w:eastAsia="Georgia" w:hAnsi="Georgia"/>
                <w:sz w:val="18"/>
                <w:szCs w:val="18"/>
                <w:color w:val="auto"/>
              </w:rPr>
              <w:t>€</w:t>
            </w:r>
          </w:p>
        </w:tc>
        <w:tc>
          <w:tcPr>
            <w:tcW w:w="13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37,240,162</w:t>
            </w:r>
          </w:p>
        </w:tc>
        <w:tc>
          <w:tcPr>
            <w:tcW w:w="860" w:type="dxa"/>
            <w:vAlign w:val="bottom"/>
            <w:gridSpan w:val="2"/>
            <w:shd w:val="clear" w:color="auto" w:fill="CCEEFF"/>
          </w:tcPr>
          <w:p>
            <w:pPr>
              <w:ind w:left="240"/>
              <w:spacing w:after="0"/>
              <w:rPr>
                <w:sz w:val="20"/>
                <w:szCs w:val="20"/>
                <w:color w:val="auto"/>
              </w:rPr>
            </w:pPr>
            <w:r>
              <w:rPr>
                <w:rFonts w:ascii="Georgia" w:cs="Georgia" w:eastAsia="Georgia" w:hAnsi="Georgia"/>
                <w:sz w:val="18"/>
                <w:szCs w:val="18"/>
                <w:color w:val="auto"/>
              </w:rPr>
              <w:t>€</w:t>
            </w:r>
          </w:p>
        </w:tc>
        <w:tc>
          <w:tcPr>
            <w:tcW w:w="11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15,465,243</w:t>
            </w:r>
          </w:p>
        </w:tc>
        <w:tc>
          <w:tcPr>
            <w:tcW w:w="80" w:type="dxa"/>
            <w:vAlign w:val="bottom"/>
            <w:shd w:val="clear" w:color="auto" w:fill="CCEEFF"/>
          </w:tcPr>
          <w:p>
            <w:pPr>
              <w:spacing w:after="0"/>
              <w:rPr>
                <w:sz w:val="18"/>
                <w:szCs w:val="18"/>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Net loss and comprehensive loss</w:t>
      </w:r>
    </w:p>
    <w:p>
      <w:pPr>
        <w:spacing w:after="0" w:line="202" w:lineRule="exact"/>
        <w:rPr>
          <w:sz w:val="20"/>
          <w:szCs w:val="20"/>
          <w:color w:val="auto"/>
        </w:rPr>
      </w:pPr>
    </w:p>
    <w:p>
      <w:pPr>
        <w:jc w:val="both"/>
        <w:ind w:firstLine="648"/>
        <w:spacing w:after="0" w:line="237" w:lineRule="auto"/>
        <w:rPr>
          <w:sz w:val="20"/>
          <w:szCs w:val="20"/>
          <w:color w:val="auto"/>
        </w:rPr>
      </w:pPr>
      <w:r>
        <w:rPr>
          <w:rFonts w:ascii="Georgia" w:cs="Georgia" w:eastAsia="Georgia" w:hAnsi="Georgia"/>
          <w:sz w:val="18"/>
          <w:szCs w:val="18"/>
          <w:color w:val="auto"/>
        </w:rPr>
        <w:t>Comprehensive loss is defined as the change in equity during a period from transactions and other events and circumstances from non-owner sources. ASC 220 Comprehensive Income requires that an entity records all components of comprehensive (loss) income, net of their related tax effects, in its financial statements in the period in which they are recognized. For the years ended December 31, 2021, 2020 and 2019, the comprehensive loss was equal to net loss.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Net loss per share</w:t>
      </w:r>
    </w:p>
    <w:p>
      <w:pPr>
        <w:spacing w:after="0" w:line="202" w:lineRule="exact"/>
        <w:rPr>
          <w:sz w:val="20"/>
          <w:szCs w:val="20"/>
          <w:color w:val="auto"/>
        </w:rPr>
      </w:pPr>
    </w:p>
    <w:p>
      <w:pPr>
        <w:ind w:right="20" w:firstLine="647"/>
        <w:spacing w:after="0" w:line="237" w:lineRule="auto"/>
        <w:rPr>
          <w:sz w:val="20"/>
          <w:szCs w:val="20"/>
          <w:color w:val="auto"/>
        </w:rPr>
      </w:pPr>
      <w:r>
        <w:rPr>
          <w:rFonts w:ascii="Georgia" w:cs="Georgia" w:eastAsia="Georgia" w:hAnsi="Georgia"/>
          <w:sz w:val="18"/>
          <w:szCs w:val="18"/>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prior year financial statements because the Company determined it is not a meaningful or material disclosure due to the Company’s capital structure at the time. Net loss per share has not been presented at December 31, 2020 and 2019, since the Company was an S.r.l. at the time, and maintained classes of quota (similar to membership interests in a limited liability company in the United States) rather than shares, which it now has post-conversion to an S.p.A., (similar to a C-corporation in the United States). The quotas represented percentage ownership in the Company and not actual shares. The Company did not believe that representing net loss per quota was a meaningful measurement.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jc w:val="both"/>
        <w:ind w:right="440" w:firstLine="647"/>
        <w:spacing w:after="0" w:line="237" w:lineRule="auto"/>
        <w:rPr>
          <w:sz w:val="20"/>
          <w:szCs w:val="20"/>
          <w:color w:val="auto"/>
        </w:rPr>
      </w:pPr>
      <w:r>
        <w:rPr>
          <w:rFonts w:ascii="Georgia" w:cs="Georgia" w:eastAsia="Georgia" w:hAnsi="Georgia"/>
          <w:sz w:val="18"/>
          <w:szCs w:val="18"/>
          <w:color w:val="auto"/>
        </w:rPr>
        <w:t>The EPS calculation was applied, after the increase in capital to €50,000 required to be an S.p.A. by Italian law. The Company’s stockholders authorized 59.7 million ordinary common shares. The Company has 18,216,858 common shares issued and outstanding at December 31, 2021 with 2.7 million common shares reserved for the Company’s Equity Incentive Plan 2021–2025. The Company has no outstanding options. Diluted EPS is not relevant at December 31, 2021, as the effect of common share equivalents, in the form of 23,502 underwriters’ common share warrants, would have been anti-dilutive. (See Note 10. Quotaholders’ and stockholders’ equity and Note 11. Share-based compensation.)</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Foreign currency translation</w:t>
      </w:r>
    </w:p>
    <w:p>
      <w:pPr>
        <w:spacing w:after="0" w:line="202" w:lineRule="exact"/>
        <w:rPr>
          <w:sz w:val="20"/>
          <w:szCs w:val="20"/>
          <w:color w:val="auto"/>
        </w:rPr>
      </w:pPr>
    </w:p>
    <w:p>
      <w:pPr>
        <w:ind w:right="20" w:firstLine="647"/>
        <w:spacing w:after="0" w:line="237" w:lineRule="auto"/>
        <w:rPr>
          <w:sz w:val="20"/>
          <w:szCs w:val="20"/>
          <w:color w:val="auto"/>
        </w:rPr>
      </w:pPr>
      <w:r>
        <w:rPr>
          <w:rFonts w:ascii="Georgia" w:cs="Georgia" w:eastAsia="Georgia" w:hAnsi="Georgia"/>
          <w:sz w:val="18"/>
          <w:szCs w:val="18"/>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For financial reporting purposes, the assets and liabilities of the US Subsidiary are translated into EUR using exchange rates in effect at the balance sheet date. The net loss of the US Subsidiary is translated into EUR using average exchange rates in effect during the reporting period. The resulting currency translation impact is recorded in Stockholders’ equity as a cumulative translation adjustment. For 2021, the currency translation impact was insignificant. During the periods ended December 31, 2021, and 2020, foreign exchange gains and losses were also insignificant.</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Emerging growth company status</w:t>
      </w:r>
    </w:p>
    <w:p>
      <w:pPr>
        <w:spacing w:after="0" w:line="202"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Fair value measurements</w:t>
      </w:r>
    </w:p>
    <w:p>
      <w:pPr>
        <w:spacing w:after="0" w:line="202" w:lineRule="exact"/>
        <w:rPr>
          <w:sz w:val="20"/>
          <w:szCs w:val="20"/>
          <w:color w:val="auto"/>
        </w:rPr>
      </w:pPr>
    </w:p>
    <w:p>
      <w:pPr>
        <w:ind w:right="100" w:firstLine="647"/>
        <w:spacing w:after="0" w:line="237" w:lineRule="auto"/>
        <w:rPr>
          <w:sz w:val="20"/>
          <w:szCs w:val="20"/>
          <w:color w:val="auto"/>
        </w:rPr>
      </w:pPr>
      <w:r>
        <w:rPr>
          <w:rFonts w:ascii="Georgia" w:cs="Georgia" w:eastAsia="Georgia" w:hAnsi="Georgia"/>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204" w:lineRule="exact"/>
        <w:rPr>
          <w:sz w:val="20"/>
          <w:szCs w:val="20"/>
          <w:color w:val="auto"/>
        </w:rPr>
      </w:pPr>
    </w:p>
    <w:p>
      <w:pPr>
        <w:ind w:left="660" w:hanging="328"/>
        <w:spacing w:after="0"/>
        <w:tabs>
          <w:tab w:leader="none" w:pos="660" w:val="left"/>
        </w:tabs>
        <w:numPr>
          <w:ilvl w:val="0"/>
          <w:numId w:val="102"/>
        </w:numPr>
        <w:rPr>
          <w:rFonts w:ascii="Georgia" w:cs="Georgia" w:eastAsia="Georgia" w:hAnsi="Georgia"/>
          <w:sz w:val="18"/>
          <w:szCs w:val="18"/>
          <w:color w:val="auto"/>
        </w:rPr>
      </w:pPr>
      <w:r>
        <w:rPr>
          <w:rFonts w:ascii="Georgia" w:cs="Georgia" w:eastAsia="Georgia" w:hAnsi="Georgia"/>
          <w:sz w:val="18"/>
          <w:szCs w:val="18"/>
          <w:color w:val="auto"/>
        </w:rPr>
        <w:t>Level 1 — Quoted prices in active markets for identical assets or liabilities.</w:t>
      </w:r>
    </w:p>
    <w:p>
      <w:pPr>
        <w:spacing w:after="0" w:line="201"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102"/>
        </w:numPr>
        <w:rPr>
          <w:rFonts w:ascii="Georgia" w:cs="Georgia" w:eastAsia="Georgia" w:hAnsi="Georgia"/>
          <w:sz w:val="18"/>
          <w:szCs w:val="18"/>
          <w:color w:val="auto"/>
        </w:rPr>
      </w:pPr>
      <w:r>
        <w:rPr>
          <w:rFonts w:ascii="Georgia" w:cs="Georgia" w:eastAsia="Georgia" w:hAnsi="Georgia"/>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04" w:lineRule="exact"/>
        <w:rPr>
          <w:rFonts w:ascii="Georgia" w:cs="Georgia" w:eastAsia="Georgia" w:hAnsi="Georgia"/>
          <w:sz w:val="18"/>
          <w:szCs w:val="18"/>
          <w:color w:val="auto"/>
        </w:rPr>
      </w:pPr>
    </w:p>
    <w:p>
      <w:pPr>
        <w:ind w:left="660" w:right="240" w:hanging="328"/>
        <w:spacing w:after="0" w:line="237" w:lineRule="auto"/>
        <w:tabs>
          <w:tab w:leader="none" w:pos="660" w:val="left"/>
        </w:tabs>
        <w:numPr>
          <w:ilvl w:val="0"/>
          <w:numId w:val="102"/>
        </w:numPr>
        <w:rPr>
          <w:rFonts w:ascii="Georgia" w:cs="Georgia" w:eastAsia="Georgia" w:hAnsi="Georgia"/>
          <w:sz w:val="18"/>
          <w:szCs w:val="18"/>
          <w:color w:val="auto"/>
        </w:rPr>
      </w:pPr>
      <w:r>
        <w:rPr>
          <w:rFonts w:ascii="Georgia" w:cs="Georgia" w:eastAsia="Georgia" w:hAnsi="Georgia"/>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4" w:lineRule="exact"/>
        <w:rPr>
          <w:sz w:val="20"/>
          <w:szCs w:val="20"/>
          <w:color w:val="auto"/>
        </w:rPr>
      </w:pPr>
    </w:p>
    <w:p>
      <w:pPr>
        <w:ind w:right="40" w:firstLine="647"/>
        <w:spacing w:after="0" w:line="237" w:lineRule="auto"/>
        <w:rPr>
          <w:sz w:val="20"/>
          <w:szCs w:val="20"/>
          <w:color w:val="auto"/>
        </w:rPr>
      </w:pPr>
      <w:r>
        <w:rPr>
          <w:rFonts w:ascii="Georgia" w:cs="Georgia" w:eastAsia="Georgia" w:hAnsi="Georgia"/>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49" w:name="page150"/>
    <w:bookmarkEnd w:id="149"/>
    <w:p>
      <w:pPr>
        <w:ind w:right="300" w:firstLine="647"/>
        <w:spacing w:after="0" w:line="237" w:lineRule="auto"/>
        <w:rPr>
          <w:sz w:val="20"/>
          <w:szCs w:val="20"/>
          <w:color w:val="auto"/>
        </w:rPr>
      </w:pPr>
      <w:r>
        <w:rPr>
          <w:rFonts w:ascii="Georgia" w:cs="Georgia" w:eastAsia="Georgia" w:hAnsi="Georgia"/>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Segment information</w:t>
      </w:r>
    </w:p>
    <w:p>
      <w:pPr>
        <w:spacing w:after="0" w:line="202"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Tax credit on investments in research and development</w:t>
      </w:r>
    </w:p>
    <w:p>
      <w:pPr>
        <w:spacing w:after="0" w:line="202" w:lineRule="exact"/>
        <w:rPr>
          <w:sz w:val="20"/>
          <w:szCs w:val="20"/>
          <w:color w:val="auto"/>
        </w:rPr>
      </w:pPr>
    </w:p>
    <w:p>
      <w:pPr>
        <w:ind w:right="40" w:firstLine="647"/>
        <w:spacing w:after="0" w:line="237" w:lineRule="auto"/>
        <w:rPr>
          <w:sz w:val="20"/>
          <w:szCs w:val="20"/>
          <w:color w:val="auto"/>
        </w:rPr>
      </w:pPr>
      <w:r>
        <w:rPr>
          <w:rFonts w:ascii="Georgia" w:cs="Georgia" w:eastAsia="Georgia" w:hAnsi="Georgia"/>
          <w:sz w:val="18"/>
          <w:szCs w:val="18"/>
          <w:color w:val="auto"/>
        </w:rPr>
        <w:t>In line with the legislation in force at December 31, 2021,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R&amp;D activities, the tax credit is equal to 20% in FY 2021 (12% in FY 2020) of the eligible costs incurred, with a maximum annual amount of €4.0 million in FY 2021 (€3.0 million for FY 2020).</w:t>
      </w:r>
    </w:p>
    <w:p>
      <w:pPr>
        <w:spacing w:after="0" w:line="205" w:lineRule="exact"/>
        <w:rPr>
          <w:sz w:val="20"/>
          <w:szCs w:val="20"/>
          <w:color w:val="auto"/>
        </w:rPr>
      </w:pPr>
    </w:p>
    <w:p>
      <w:pPr>
        <w:ind w:right="120" w:firstLine="647"/>
        <w:spacing w:after="0" w:line="237" w:lineRule="auto"/>
        <w:rPr>
          <w:sz w:val="20"/>
          <w:szCs w:val="20"/>
          <w:color w:val="auto"/>
        </w:rPr>
      </w:pPr>
      <w:r>
        <w:rPr>
          <w:rFonts w:ascii="Georgia" w:cs="Georgia" w:eastAsia="Georgia" w:hAnsi="Georgia"/>
          <w:sz w:val="18"/>
          <w:szCs w:val="18"/>
          <w:color w:val="auto"/>
        </w:rPr>
        <w:t>The eligible activities consist of fundamental research, industrial research, and experimental development as defined respectively of the letters m), q) and j) of point 15, par. 1.3 of the Communication no. 198/2014 of the European Commission.</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To determine the cost basis of the benefit, the following expenses are eligible:</w:t>
      </w:r>
    </w:p>
    <w:p>
      <w:pPr>
        <w:spacing w:after="0" w:line="200" w:lineRule="exact"/>
        <w:rPr>
          <w:sz w:val="20"/>
          <w:szCs w:val="20"/>
          <w:color w:val="auto"/>
        </w:rPr>
      </w:pPr>
    </w:p>
    <w:p>
      <w:pPr>
        <w:ind w:left="660" w:hanging="328"/>
        <w:spacing w:after="0"/>
        <w:tabs>
          <w:tab w:leader="none" w:pos="660" w:val="left"/>
        </w:tabs>
        <w:numPr>
          <w:ilvl w:val="0"/>
          <w:numId w:val="103"/>
        </w:numPr>
        <w:rPr>
          <w:rFonts w:ascii="Georgia" w:cs="Georgia" w:eastAsia="Georgia" w:hAnsi="Georgia"/>
          <w:sz w:val="18"/>
          <w:szCs w:val="18"/>
          <w:color w:val="auto"/>
        </w:rPr>
      </w:pPr>
      <w:r>
        <w:rPr>
          <w:rFonts w:ascii="Georgia" w:cs="Georgia" w:eastAsia="Georgia" w:hAnsi="Georgia"/>
          <w:sz w:val="18"/>
          <w:szCs w:val="18"/>
          <w:color w:val="auto"/>
        </w:rPr>
        <w:t>Personnel costs;</w:t>
      </w:r>
    </w:p>
    <w:p>
      <w:pPr>
        <w:spacing w:after="0" w:line="201" w:lineRule="exact"/>
        <w:rPr>
          <w:rFonts w:ascii="Georgia" w:cs="Georgia" w:eastAsia="Georgia" w:hAnsi="Georgia"/>
          <w:sz w:val="18"/>
          <w:szCs w:val="18"/>
          <w:color w:val="auto"/>
        </w:rPr>
      </w:pPr>
    </w:p>
    <w:p>
      <w:pPr>
        <w:ind w:left="660" w:right="160" w:hanging="328"/>
        <w:spacing w:after="0" w:line="237" w:lineRule="auto"/>
        <w:tabs>
          <w:tab w:leader="none" w:pos="660" w:val="left"/>
        </w:tabs>
        <w:numPr>
          <w:ilvl w:val="0"/>
          <w:numId w:val="103"/>
        </w:numPr>
        <w:rPr>
          <w:rFonts w:ascii="Georgia" w:cs="Georgia" w:eastAsia="Georgia" w:hAnsi="Georgia"/>
          <w:sz w:val="18"/>
          <w:szCs w:val="18"/>
          <w:color w:val="auto"/>
        </w:rPr>
      </w:pPr>
      <w:r>
        <w:rPr>
          <w:rFonts w:ascii="Georgia" w:cs="Georgia" w:eastAsia="Georgia" w:hAnsi="Georgia"/>
          <w:sz w:val="18"/>
          <w:szCs w:val="18"/>
          <w:color w:val="auto"/>
        </w:rPr>
        <w:t>Depreciation charges, costs of the financial or simple lease and other expenses related to movable tangible assets and software used in research and development projects;</w:t>
      </w:r>
    </w:p>
    <w:p>
      <w:pPr>
        <w:spacing w:after="0" w:line="203" w:lineRule="exact"/>
        <w:rPr>
          <w:rFonts w:ascii="Georgia" w:cs="Georgia" w:eastAsia="Georgia" w:hAnsi="Georgia"/>
          <w:sz w:val="18"/>
          <w:szCs w:val="18"/>
          <w:color w:val="auto"/>
        </w:rPr>
      </w:pPr>
    </w:p>
    <w:p>
      <w:pPr>
        <w:ind w:left="660" w:right="400" w:hanging="328"/>
        <w:spacing w:after="0" w:line="237" w:lineRule="auto"/>
        <w:tabs>
          <w:tab w:leader="none" w:pos="660" w:val="left"/>
        </w:tabs>
        <w:numPr>
          <w:ilvl w:val="0"/>
          <w:numId w:val="103"/>
        </w:numPr>
        <w:rPr>
          <w:rFonts w:ascii="Georgia" w:cs="Georgia" w:eastAsia="Georgia" w:hAnsi="Georgia"/>
          <w:sz w:val="18"/>
          <w:szCs w:val="18"/>
          <w:color w:val="auto"/>
        </w:rPr>
      </w:pPr>
      <w:r>
        <w:rPr>
          <w:rFonts w:ascii="Georgia" w:cs="Georgia" w:eastAsia="Georgia" w:hAnsi="Georgia"/>
          <w:sz w:val="18"/>
          <w:szCs w:val="18"/>
          <w:color w:val="auto"/>
        </w:rPr>
        <w:t>Expenses for extra-euro research contracts concerning the direct execution of eligible research and development activities by the provider;</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03"/>
        </w:numPr>
        <w:rPr>
          <w:rFonts w:ascii="Georgia" w:cs="Georgia" w:eastAsia="Georgia" w:hAnsi="Georgia"/>
          <w:sz w:val="18"/>
          <w:szCs w:val="18"/>
          <w:color w:val="auto"/>
        </w:rPr>
      </w:pPr>
      <w:r>
        <w:rPr>
          <w:rFonts w:ascii="Georgia" w:cs="Georgia" w:eastAsia="Georgia" w:hAnsi="Georgia"/>
          <w:sz w:val="18"/>
          <w:szCs w:val="18"/>
          <w:color w:val="auto"/>
        </w:rPr>
        <w:t>Depreciation charges;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03"/>
        </w:numPr>
        <w:rPr>
          <w:rFonts w:ascii="Georgia" w:cs="Georgia" w:eastAsia="Georgia" w:hAnsi="Georgia"/>
          <w:sz w:val="18"/>
          <w:szCs w:val="18"/>
          <w:color w:val="auto"/>
        </w:rPr>
      </w:pPr>
      <w:r>
        <w:rPr>
          <w:rFonts w:ascii="Georgia" w:cs="Georgia" w:eastAsia="Georgia" w:hAnsi="Georgia"/>
          <w:sz w:val="18"/>
          <w:szCs w:val="18"/>
          <w:color w:val="auto"/>
        </w:rPr>
        <w:t>Expenses for consulting services and equivalent services related to eligible research and development activities;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03"/>
        </w:numPr>
        <w:rPr>
          <w:rFonts w:ascii="Georgia" w:cs="Georgia" w:eastAsia="Georgia" w:hAnsi="Georgia"/>
          <w:sz w:val="18"/>
          <w:szCs w:val="18"/>
          <w:color w:val="auto"/>
        </w:rPr>
      </w:pPr>
      <w:r>
        <w:rPr>
          <w:rFonts w:ascii="Georgia" w:cs="Georgia" w:eastAsia="Georgia" w:hAnsi="Georgia"/>
          <w:sz w:val="18"/>
          <w:szCs w:val="18"/>
          <w:color w:val="auto"/>
        </w:rPr>
        <w:t>Expenses for materials, supplies, and other similar products used in research and development projects.</w:t>
      </w:r>
    </w:p>
    <w:p>
      <w:pPr>
        <w:spacing w:after="0" w:line="202" w:lineRule="exact"/>
        <w:rPr>
          <w:sz w:val="20"/>
          <w:szCs w:val="20"/>
          <w:color w:val="auto"/>
        </w:rPr>
      </w:pPr>
    </w:p>
    <w:p>
      <w:pPr>
        <w:ind w:right="100" w:firstLine="647"/>
        <w:spacing w:after="0" w:line="237" w:lineRule="auto"/>
        <w:rPr>
          <w:sz w:val="20"/>
          <w:szCs w:val="20"/>
          <w:color w:val="auto"/>
        </w:rPr>
      </w:pPr>
      <w:r>
        <w:rPr>
          <w:rFonts w:ascii="Georgia" w:cs="Georgia" w:eastAsia="Georgia" w:hAnsi="Georgia"/>
          <w:sz w:val="18"/>
          <w:szCs w:val="18"/>
          <w:color w:val="auto"/>
        </w:rPr>
        <w:t xml:space="preserve">The Company, by analogy, accounts for this receivable in accordance with International Accounting Standards (IAS) 20, </w:t>
      </w:r>
      <w:r>
        <w:rPr>
          <w:rFonts w:ascii="Georgia" w:cs="Georgia" w:eastAsia="Georgia" w:hAnsi="Georgia"/>
          <w:sz w:val="18"/>
          <w:szCs w:val="18"/>
          <w:i w:val="1"/>
          <w:iCs w:val="1"/>
          <w:color w:val="auto"/>
        </w:rPr>
        <w:t>Accounting</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for Government Grants and Disclosure of Government Assistance</w:t>
      </w:r>
      <w:r>
        <w:rPr>
          <w:rFonts w:ascii="Georgia" w:cs="Georgia" w:eastAsia="Georgia" w:hAnsi="Georgia"/>
          <w:sz w:val="18"/>
          <w:szCs w:val="18"/>
          <w:color w:val="auto"/>
        </w:rPr>
        <w:t>. The receivable is recognized when there is reasonable assurance that: (1)</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the recipient will comply with the relevant conditions; and, (2) the grant will be received. The Company has elected to present it net of the related expenditure on the consolidated statements of operations and comprehensive loss.</w:t>
      </w:r>
    </w:p>
    <w:p>
      <w:pPr>
        <w:spacing w:after="0" w:line="205" w:lineRule="exact"/>
        <w:rPr>
          <w:sz w:val="20"/>
          <w:szCs w:val="20"/>
          <w:color w:val="auto"/>
        </w:rPr>
      </w:pPr>
    </w:p>
    <w:p>
      <w:pPr>
        <w:ind w:right="320" w:firstLine="647"/>
        <w:spacing w:after="0" w:line="237" w:lineRule="auto"/>
        <w:rPr>
          <w:sz w:val="20"/>
          <w:szCs w:val="20"/>
          <w:color w:val="auto"/>
        </w:rPr>
      </w:pPr>
      <w:r>
        <w:rPr>
          <w:rFonts w:ascii="Georgia" w:cs="Georgia" w:eastAsia="Georgia" w:hAnsi="Georgia"/>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50" w:name="page151"/>
    <w:bookmarkEnd w:id="150"/>
    <w:p>
      <w:pPr>
        <w:spacing w:after="0"/>
        <w:rPr>
          <w:sz w:val="20"/>
          <w:szCs w:val="20"/>
          <w:color w:val="auto"/>
        </w:rPr>
      </w:pPr>
      <w:r>
        <w:rPr>
          <w:rFonts w:ascii="Georgia" w:cs="Georgia" w:eastAsia="Georgia" w:hAnsi="Georgia"/>
          <w:sz w:val="18"/>
          <w:szCs w:val="18"/>
          <w:b w:val="1"/>
          <w:bCs w:val="1"/>
          <w:i w:val="1"/>
          <w:iCs w:val="1"/>
          <w:color w:val="auto"/>
        </w:rPr>
        <w:t>Share-based compensation</w:t>
      </w:r>
    </w:p>
    <w:p>
      <w:pPr>
        <w:spacing w:after="0" w:line="202"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w:t>
      </w:r>
    </w:p>
    <w:p>
      <w:pPr>
        <w:spacing w:after="0" w:line="205"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In May 2021, the Company’s shareholders adopted the Company’s Equity Incentive Plan 2021–2025; however, through December 31, 2021, no options has been granted and there were no outstanding options. (See Note 11. Share-based compensation.)</w:t>
      </w:r>
    </w:p>
    <w:p>
      <w:pPr>
        <w:spacing w:after="0" w:line="204" w:lineRule="exact"/>
        <w:rPr>
          <w:sz w:val="20"/>
          <w:szCs w:val="20"/>
          <w:color w:val="auto"/>
        </w:rPr>
      </w:pPr>
    </w:p>
    <w:p>
      <w:pPr>
        <w:ind w:right="80" w:firstLine="648"/>
        <w:spacing w:after="0" w:line="237" w:lineRule="auto"/>
        <w:rPr>
          <w:sz w:val="20"/>
          <w:szCs w:val="20"/>
          <w:color w:val="auto"/>
        </w:rPr>
      </w:pPr>
      <w:r>
        <w:rPr>
          <w:rFonts w:ascii="Georgia" w:cs="Georgia" w:eastAsia="Georgia" w:hAnsi="Georgia"/>
          <w:sz w:val="18"/>
          <w:szCs w:val="18"/>
          <w:color w:val="auto"/>
        </w:rPr>
        <w:t>The Company measures share-based awards granted to recipients based on the fair value on the date of the grant and recognizes compensation expense for those awards over the requisite service period(s), which is the vesting period of the respective award. Forfeitures were accounted for as they occurred. The measurement date for option awards was the date of the grant. 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205" w:lineRule="exact"/>
        <w:rPr>
          <w:sz w:val="20"/>
          <w:szCs w:val="20"/>
          <w:color w:val="auto"/>
        </w:rPr>
      </w:pPr>
    </w:p>
    <w:p>
      <w:pPr>
        <w:ind w:right="100" w:firstLine="647"/>
        <w:spacing w:after="0" w:line="237" w:lineRule="auto"/>
        <w:rPr>
          <w:sz w:val="20"/>
          <w:szCs w:val="20"/>
          <w:color w:val="auto"/>
        </w:rPr>
      </w:pPr>
      <w:r>
        <w:rPr>
          <w:rFonts w:ascii="Georgia" w:cs="Georgia" w:eastAsia="Georgia" w:hAnsi="Georgia"/>
          <w:sz w:val="18"/>
          <w:szCs w:val="18"/>
          <w:color w:val="auto"/>
        </w:rPr>
        <w:t>With the adoption of ASU No. 2018-07, Compensation— 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Representative warrants</w:t>
      </w:r>
    </w:p>
    <w:p>
      <w:pPr>
        <w:spacing w:after="0" w:line="202" w:lineRule="exact"/>
        <w:rPr>
          <w:sz w:val="20"/>
          <w:szCs w:val="20"/>
          <w:color w:val="auto"/>
        </w:rPr>
      </w:pPr>
    </w:p>
    <w:p>
      <w:pPr>
        <w:ind w:right="120" w:firstLine="648"/>
        <w:spacing w:after="0" w:line="237" w:lineRule="auto"/>
        <w:rPr>
          <w:sz w:val="20"/>
          <w:szCs w:val="20"/>
          <w:color w:val="auto"/>
        </w:rPr>
      </w:pPr>
      <w:r>
        <w:rPr>
          <w:rFonts w:ascii="Georgia" w:cs="Georgia" w:eastAsia="Georgia" w:hAnsi="Georgia"/>
          <w:sz w:val="18"/>
          <w:szCs w:val="18"/>
          <w:color w:val="auto"/>
        </w:rPr>
        <w:t>Upon the closing of the Company’s IPO, the Company agreed to issue warrants to the underwriters of the offering (“Warrants”) to purchase a number of ADSs up to 4% of the total number of ADSs sold in this public offering. The Warrants are exercisable at a per share exercise price equal to 125% of the public offering price (i.e., $14.375) per ADS sold in the IPO. The Warrants are exercisable at any time and from time to time, in whole or in part, during the four and one-half-year period commencing six months from the deemed effective date of the registration statement (i.e., June 13, 2022).</w:t>
      </w:r>
    </w:p>
    <w:p>
      <w:pPr>
        <w:spacing w:after="0" w:line="205" w:lineRule="exact"/>
        <w:rPr>
          <w:sz w:val="20"/>
          <w:szCs w:val="20"/>
          <w:color w:val="auto"/>
        </w:rPr>
      </w:pPr>
    </w:p>
    <w:p>
      <w:pPr>
        <w:ind w:right="120" w:firstLine="648"/>
        <w:spacing w:after="0" w:line="237" w:lineRule="auto"/>
        <w:rPr>
          <w:sz w:val="20"/>
          <w:szCs w:val="20"/>
          <w:color w:val="auto"/>
        </w:rPr>
      </w:pPr>
      <w:r>
        <w:rPr>
          <w:rFonts w:ascii="Georgia" w:cs="Georgia" w:eastAsia="Georgia" w:hAnsi="Georgia"/>
          <w:sz w:val="18"/>
          <w:szCs w:val="18"/>
          <w:color w:val="auto"/>
        </w:rPr>
        <w:t>The Warrants will provide for adjustment in the number and price of the Warrants and the ADSs underlying such Warrants in the event of recapitalization, merger, stock split or other structural transaction, or a future financing undertaken by the Company. The Warrants were evaluated under applicable guidance and accordingly classified as equity in the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1" w:name="page152"/>
    <w:bookmarkEnd w:id="151"/>
    <w:p>
      <w:pPr>
        <w:spacing w:after="0"/>
        <w:rPr>
          <w:sz w:val="20"/>
          <w:szCs w:val="20"/>
          <w:color w:val="auto"/>
        </w:rPr>
      </w:pPr>
      <w:r>
        <w:rPr>
          <w:rFonts w:ascii="Georgia" w:cs="Georgia" w:eastAsia="Georgia" w:hAnsi="Georgia"/>
          <w:sz w:val="18"/>
          <w:szCs w:val="18"/>
          <w:b w:val="1"/>
          <w:bCs w:val="1"/>
          <w:i w:val="1"/>
          <w:iCs w:val="1"/>
          <w:color w:val="auto"/>
        </w:rPr>
        <w:t>Property and equipment</w:t>
      </w:r>
    </w:p>
    <w:p>
      <w:pPr>
        <w:spacing w:after="0" w:line="202" w:lineRule="exact"/>
        <w:rPr>
          <w:sz w:val="20"/>
          <w:szCs w:val="20"/>
          <w:color w:val="auto"/>
        </w:rPr>
      </w:pPr>
    </w:p>
    <w:p>
      <w:pPr>
        <w:jc w:val="both"/>
        <w:ind w:right="140" w:firstLine="647"/>
        <w:spacing w:after="0" w:line="237" w:lineRule="auto"/>
        <w:rPr>
          <w:sz w:val="20"/>
          <w:szCs w:val="20"/>
          <w:color w:val="auto"/>
        </w:rPr>
      </w:pPr>
      <w:r>
        <w:rPr>
          <w:rFonts w:ascii="Georgia" w:cs="Georgia" w:eastAsia="Georgia" w:hAnsi="Georgia"/>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203" w:lineRule="exact"/>
        <w:rPr>
          <w:sz w:val="20"/>
          <w:szCs w:val="20"/>
          <w:color w:val="auto"/>
        </w:rPr>
      </w:pPr>
    </w:p>
    <w:p>
      <w:pPr>
        <w:ind w:left="660" w:hanging="328"/>
        <w:spacing w:after="0"/>
        <w:tabs>
          <w:tab w:leader="none" w:pos="660" w:val="left"/>
        </w:tabs>
        <w:numPr>
          <w:ilvl w:val="0"/>
          <w:numId w:val="104"/>
        </w:numPr>
        <w:rPr>
          <w:rFonts w:ascii="Georgia" w:cs="Georgia" w:eastAsia="Georgia" w:hAnsi="Georgia"/>
          <w:sz w:val="18"/>
          <w:szCs w:val="18"/>
          <w:color w:val="auto"/>
        </w:rPr>
      </w:pPr>
      <w:r>
        <w:rPr>
          <w:rFonts w:ascii="Georgia" w:cs="Georgia" w:eastAsia="Georgia" w:hAnsi="Georgia"/>
          <w:sz w:val="18"/>
          <w:szCs w:val="18"/>
          <w:color w:val="auto"/>
        </w:rPr>
        <w:t>Equipment &amp; Furniture: 15 years;</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04"/>
        </w:numPr>
        <w:rPr>
          <w:rFonts w:ascii="Georgia" w:cs="Georgia" w:eastAsia="Georgia" w:hAnsi="Georgia"/>
          <w:sz w:val="18"/>
          <w:szCs w:val="18"/>
          <w:color w:val="auto"/>
        </w:rPr>
      </w:pPr>
      <w:r>
        <w:rPr>
          <w:rFonts w:ascii="Georgia" w:cs="Georgia" w:eastAsia="Georgia" w:hAnsi="Georgia"/>
          <w:sz w:val="18"/>
          <w:szCs w:val="18"/>
          <w:color w:val="auto"/>
        </w:rPr>
        <w:t>Electronic office equipment: 10 years; and,</w:t>
      </w:r>
    </w:p>
    <w:p>
      <w:pPr>
        <w:spacing w:after="0" w:line="200" w:lineRule="exact"/>
        <w:rPr>
          <w:rFonts w:ascii="Georgia" w:cs="Georgia" w:eastAsia="Georgia" w:hAnsi="Georgia"/>
          <w:sz w:val="18"/>
          <w:szCs w:val="18"/>
          <w:color w:val="auto"/>
        </w:rPr>
      </w:pPr>
    </w:p>
    <w:p>
      <w:pPr>
        <w:ind w:left="660" w:hanging="328"/>
        <w:spacing w:after="0"/>
        <w:tabs>
          <w:tab w:leader="none" w:pos="660" w:val="left"/>
        </w:tabs>
        <w:numPr>
          <w:ilvl w:val="0"/>
          <w:numId w:val="104"/>
        </w:numPr>
        <w:rPr>
          <w:rFonts w:ascii="Georgia" w:cs="Georgia" w:eastAsia="Georgia" w:hAnsi="Georgia"/>
          <w:sz w:val="18"/>
          <w:szCs w:val="18"/>
          <w:color w:val="auto"/>
        </w:rPr>
      </w:pPr>
      <w:r>
        <w:rPr>
          <w:rFonts w:ascii="Georgia" w:cs="Georgia" w:eastAsia="Georgia" w:hAnsi="Georgia"/>
          <w:sz w:val="18"/>
          <w:szCs w:val="18"/>
          <w:color w:val="auto"/>
        </w:rPr>
        <w:t>Leasehold Improvements: based on the shorter of the life of the leasehold improvement or the remaining term of the lease.</w:t>
      </w:r>
    </w:p>
    <w:p>
      <w:pPr>
        <w:spacing w:after="0" w:line="202" w:lineRule="exact"/>
        <w:rPr>
          <w:sz w:val="20"/>
          <w:szCs w:val="20"/>
          <w:color w:val="auto"/>
        </w:rPr>
      </w:pPr>
    </w:p>
    <w:p>
      <w:pPr>
        <w:ind w:right="40" w:firstLine="647"/>
        <w:spacing w:after="0" w:line="237" w:lineRule="auto"/>
        <w:rPr>
          <w:sz w:val="20"/>
          <w:szCs w:val="20"/>
          <w:color w:val="auto"/>
        </w:rPr>
      </w:pPr>
      <w:r>
        <w:rPr>
          <w:rFonts w:ascii="Georgia" w:cs="Georgia" w:eastAsia="Georgia" w:hAnsi="Georgia"/>
          <w:sz w:val="18"/>
          <w:szCs w:val="18"/>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Impairment of long-lived assets</w:t>
      </w:r>
    </w:p>
    <w:p>
      <w:pPr>
        <w:spacing w:after="0" w:line="202" w:lineRule="exact"/>
        <w:rPr>
          <w:sz w:val="20"/>
          <w:szCs w:val="20"/>
          <w:color w:val="auto"/>
        </w:rPr>
      </w:pPr>
    </w:p>
    <w:p>
      <w:pPr>
        <w:ind w:right="20" w:firstLine="647"/>
        <w:spacing w:after="0" w:line="237" w:lineRule="auto"/>
        <w:rPr>
          <w:sz w:val="20"/>
          <w:szCs w:val="20"/>
          <w:color w:val="auto"/>
        </w:rPr>
      </w:pPr>
      <w:r>
        <w:rPr>
          <w:rFonts w:ascii="Georgia" w:cs="Georgia" w:eastAsia="Georgia" w:hAnsi="Georgia"/>
          <w:sz w:val="18"/>
          <w:szCs w:val="18"/>
          <w:color w:val="auto"/>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periods ended December 31, 2021, and 2020.</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Deferred offering costs</w:t>
      </w:r>
    </w:p>
    <w:p>
      <w:pPr>
        <w:spacing w:after="0" w:line="202" w:lineRule="exact"/>
        <w:rPr>
          <w:sz w:val="20"/>
          <w:szCs w:val="20"/>
          <w:color w:val="auto"/>
        </w:rPr>
      </w:pPr>
    </w:p>
    <w:p>
      <w:pPr>
        <w:ind w:right="180" w:firstLine="648"/>
        <w:spacing w:after="0" w:line="237" w:lineRule="auto"/>
        <w:rPr>
          <w:sz w:val="20"/>
          <w:szCs w:val="20"/>
          <w:color w:val="auto"/>
        </w:rPr>
      </w:pPr>
      <w:r>
        <w:rPr>
          <w:rFonts w:ascii="Georgia" w:cs="Georgia" w:eastAsia="Georgia" w:hAnsi="Georgia"/>
          <w:sz w:val="18"/>
          <w:szCs w:val="18"/>
          <w:color w:val="auto"/>
        </w:rPr>
        <w:t>Deferred public offering costs, which primarily consist of direct, incremental legal and accounting fees relating to fundraising activities (e.g., an IPO), were capitalized within prepaid expenses and other current assets prior to the IPO and netted or offset with the IPO proceeds upon closing of the IPO.</w:t>
      </w:r>
    </w:p>
    <w:p>
      <w:pPr>
        <w:spacing w:after="0" w:line="204" w:lineRule="exact"/>
        <w:rPr>
          <w:sz w:val="20"/>
          <w:szCs w:val="20"/>
          <w:color w:val="auto"/>
        </w:rPr>
      </w:pPr>
    </w:p>
    <w:p>
      <w:pPr>
        <w:ind w:right="180" w:firstLine="648"/>
        <w:spacing w:after="0" w:line="237" w:lineRule="auto"/>
        <w:rPr>
          <w:sz w:val="20"/>
          <w:szCs w:val="20"/>
          <w:color w:val="auto"/>
        </w:rPr>
      </w:pPr>
      <w:r>
        <w:rPr>
          <w:rFonts w:ascii="Georgia" w:cs="Georgia" w:eastAsia="Georgia" w:hAnsi="Georgia"/>
          <w:sz w:val="18"/>
          <w:szCs w:val="18"/>
          <w:color w:val="auto"/>
        </w:rPr>
        <w:t>The Company incurred approximately €3.9 million in qualifying offering costs that have been recorded as an offset to IPO proceeds at December 31, 2021, approximately 156,000 of these costs were recognized as deferred offering costs at December 31, 2020.</w:t>
      </w:r>
    </w:p>
    <w:p>
      <w:pPr>
        <w:spacing w:after="0" w:line="204"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Set forth below is an itemization of the total expenses incurred in connection with the offer and sale of the Company’s ordinary shares and ADS and capitalized to offset the IPO proceeds recorded into equity at December 31, 2021 (in Euros):</w:t>
      </w:r>
    </w:p>
    <w:p>
      <w:pPr>
        <w:sectPr>
          <w:pgSz w:w="11900" w:h="16838" w:orient="portrait"/>
          <w:cols w:equalWidth="0" w:num="1">
            <w:col w:w="11240"/>
          </w:cols>
          <w:pgMar w:left="320" w:top="688" w:right="339" w:bottom="1440" w:gutter="0" w:footer="0" w:header="0"/>
        </w:sect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7" w:lineRule="auto"/>
        <w:rPr>
          <w:sz w:val="20"/>
          <w:szCs w:val="20"/>
          <w:color w:val="auto"/>
        </w:rPr>
      </w:pPr>
      <w:r>
        <w:rPr>
          <w:rFonts w:ascii="Georgia" w:cs="Georgia" w:eastAsia="Georgia" w:hAnsi="Georgia"/>
          <w:sz w:val="18"/>
          <w:szCs w:val="18"/>
          <w:color w:val="auto"/>
        </w:rPr>
        <w:t>Nasdaq listing fee</w:t>
      </w:r>
    </w:p>
    <w:p>
      <w:pPr>
        <w:spacing w:after="0" w:line="238" w:lineRule="auto"/>
        <w:rPr>
          <w:sz w:val="20"/>
          <w:szCs w:val="20"/>
          <w:color w:val="auto"/>
        </w:rPr>
      </w:pPr>
      <w:r>
        <w:rPr>
          <w:rFonts w:ascii="Georgia" w:cs="Georgia" w:eastAsia="Georgia" w:hAnsi="Georgia"/>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7" w:lineRule="auto"/>
        <w:rPr>
          <w:sz w:val="20"/>
          <w:szCs w:val="20"/>
          <w:color w:val="auto"/>
        </w:rPr>
      </w:pPr>
      <w:r>
        <w:rPr>
          <w:rFonts w:ascii="Georgia" w:cs="Georgia" w:eastAsia="Georgia" w:hAnsi="Georgia"/>
          <w:sz w:val="18"/>
          <w:szCs w:val="18"/>
          <w:color w:val="auto"/>
        </w:rPr>
        <w:t>Underwriter fees and commissions</w:t>
      </w:r>
    </w:p>
    <w:p>
      <w:pPr>
        <w:spacing w:after="0" w:line="238" w:lineRule="auto"/>
        <w:rPr>
          <w:sz w:val="20"/>
          <w:szCs w:val="20"/>
          <w:color w:val="auto"/>
        </w:rPr>
      </w:pPr>
      <w:r>
        <w:rPr>
          <w:rFonts w:ascii="Georgia" w:cs="Georgia" w:eastAsia="Georgia" w:hAnsi="Georgia"/>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8" w:lineRule="auto"/>
        <w:rPr>
          <w:sz w:val="20"/>
          <w:szCs w:val="20"/>
          <w:color w:val="auto"/>
        </w:rPr>
      </w:pPr>
      <w:r>
        <w:rPr>
          <w:rFonts w:ascii="Georgia" w:cs="Georgia" w:eastAsia="Georgia" w:hAnsi="Georgia"/>
          <w:sz w:val="18"/>
          <w:szCs w:val="18"/>
          <w:color w:val="auto"/>
        </w:rPr>
        <w:t>Accounting fees and expenses</w:t>
      </w:r>
    </w:p>
    <w:p>
      <w:pPr>
        <w:spacing w:after="0" w:line="238" w:lineRule="auto"/>
        <w:rPr>
          <w:sz w:val="20"/>
          <w:szCs w:val="20"/>
          <w:color w:val="auto"/>
        </w:rPr>
      </w:pPr>
      <w:r>
        <w:rPr>
          <w:rFonts w:ascii="Georgia" w:cs="Georgia" w:eastAsia="Georgia" w:hAnsi="Georgia"/>
          <w:sz w:val="18"/>
          <w:szCs w:val="18"/>
          <w:color w:val="auto"/>
        </w:rPr>
        <w:t>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Georgia" w:cs="Georgia" w:eastAsia="Georgia" w:hAnsi="Georgia"/>
          <w:sz w:val="18"/>
          <w:szCs w:val="18"/>
          <w:color w:val="auto"/>
        </w:rPr>
        <w:t>Total</w:t>
      </w:r>
    </w:p>
    <w:p>
      <w:pPr>
        <w:spacing w:after="0" w:line="254" w:lineRule="exact"/>
        <w:rPr>
          <w:sz w:val="20"/>
          <w:szCs w:val="20"/>
          <w:color w:val="auto"/>
        </w:rPr>
      </w:pPr>
    </w:p>
    <w:p>
      <w:pPr>
        <w:jc w:val="right"/>
        <w:ind w:right="292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260" w:hanging="1256"/>
        <w:spacing w:after="0"/>
        <w:tabs>
          <w:tab w:leader="none" w:pos="1260" w:val="left"/>
        </w:tabs>
        <w:numPr>
          <w:ilvl w:val="0"/>
          <w:numId w:val="105"/>
        </w:numPr>
        <w:rPr>
          <w:rFonts w:ascii="Georgia" w:cs="Georgia" w:eastAsia="Georgia" w:hAnsi="Georgia"/>
          <w:sz w:val="18"/>
          <w:szCs w:val="18"/>
          <w:color w:val="auto"/>
        </w:rPr>
      </w:pPr>
      <w:r>
        <w:rPr>
          <w:rFonts w:ascii="Georgia" w:cs="Georgia" w:eastAsia="Georgia" w:hAnsi="Georgia"/>
          <w:sz w:val="18"/>
          <w:szCs w:val="18"/>
          <w:color w:val="auto"/>
        </w:rPr>
        <w:t>3,261</w:t>
      </w:r>
    </w:p>
    <w:p>
      <w:pPr>
        <w:ind w:left="1120"/>
        <w:spacing w:after="0" w:line="237" w:lineRule="auto"/>
        <w:rPr>
          <w:rFonts w:ascii="Georgia" w:cs="Georgia" w:eastAsia="Georgia" w:hAnsi="Georgia"/>
          <w:sz w:val="18"/>
          <w:szCs w:val="18"/>
          <w:color w:val="auto"/>
        </w:rPr>
      </w:pPr>
      <w:r>
        <w:rPr>
          <w:rFonts w:ascii="Georgia" w:cs="Georgia" w:eastAsia="Georgia" w:hAnsi="Georgia"/>
          <w:sz w:val="18"/>
          <w:szCs w:val="18"/>
          <w:color w:val="auto"/>
        </w:rPr>
        <w:t>43,990</w:t>
      </w:r>
    </w:p>
    <w:p>
      <w:pPr>
        <w:ind w:left="1240"/>
        <w:spacing w:after="0" w:line="237" w:lineRule="auto"/>
        <w:rPr>
          <w:rFonts w:ascii="Georgia" w:cs="Georgia" w:eastAsia="Georgia" w:hAnsi="Georgia"/>
          <w:sz w:val="18"/>
          <w:szCs w:val="18"/>
          <w:color w:val="auto"/>
        </w:rPr>
      </w:pPr>
      <w:r>
        <w:rPr>
          <w:rFonts w:ascii="Georgia" w:cs="Georgia" w:eastAsia="Georgia" w:hAnsi="Georgia"/>
          <w:sz w:val="18"/>
          <w:szCs w:val="18"/>
          <w:color w:val="auto"/>
        </w:rPr>
        <w:t>5,687</w:t>
      </w:r>
    </w:p>
    <w:p>
      <w:pPr>
        <w:jc w:val="right"/>
        <w:ind w:right="100"/>
        <w:spacing w:after="0" w:line="238" w:lineRule="auto"/>
        <w:rPr>
          <w:sz w:val="20"/>
          <w:szCs w:val="20"/>
          <w:color w:val="auto"/>
        </w:rPr>
      </w:pPr>
      <w:r>
        <w:rPr>
          <w:rFonts w:ascii="Georgia" w:cs="Georgia" w:eastAsia="Georgia" w:hAnsi="Georgia"/>
          <w:sz w:val="18"/>
          <w:szCs w:val="18"/>
          <w:color w:val="auto"/>
        </w:rPr>
        <w:t>1,614,978</w:t>
      </w:r>
    </w:p>
    <w:p>
      <w:pPr>
        <w:jc w:val="right"/>
        <w:ind w:right="100"/>
        <w:spacing w:after="0" w:line="237" w:lineRule="auto"/>
        <w:rPr>
          <w:sz w:val="20"/>
          <w:szCs w:val="20"/>
          <w:color w:val="auto"/>
        </w:rPr>
      </w:pPr>
      <w:r>
        <w:rPr>
          <w:rFonts w:ascii="Georgia" w:cs="Georgia" w:eastAsia="Georgia" w:hAnsi="Georgia"/>
          <w:sz w:val="18"/>
          <w:szCs w:val="18"/>
          <w:color w:val="auto"/>
        </w:rPr>
        <w:t>1,705,945</w:t>
      </w:r>
    </w:p>
    <w:p>
      <w:pPr>
        <w:jc w:val="right"/>
        <w:ind w:right="100"/>
        <w:spacing w:after="0"/>
        <w:rPr>
          <w:sz w:val="20"/>
          <w:szCs w:val="20"/>
          <w:color w:val="auto"/>
        </w:rPr>
      </w:pPr>
      <w:r>
        <w:rPr>
          <w:rFonts w:ascii="Georgia" w:cs="Georgia" w:eastAsia="Georgia" w:hAnsi="Georgia"/>
          <w:sz w:val="18"/>
          <w:szCs w:val="18"/>
          <w:color w:val="auto"/>
        </w:rPr>
        <w:t>284,087</w:t>
      </w:r>
    </w:p>
    <w:p>
      <w:pPr>
        <w:spacing w:after="0" w:line="11" w:lineRule="exact"/>
        <w:rPr>
          <w:sz w:val="20"/>
          <w:szCs w:val="20"/>
          <w:color w:val="auto"/>
        </w:rPr>
      </w:pPr>
    </w:p>
    <w:p>
      <w:pPr>
        <w:jc w:val="right"/>
        <w:ind w:right="100"/>
        <w:spacing w:after="0"/>
        <w:rPr>
          <w:sz w:val="20"/>
          <w:szCs w:val="20"/>
          <w:color w:val="auto"/>
        </w:rPr>
      </w:pPr>
      <w:r>
        <w:rPr>
          <w:rFonts w:ascii="Georgia" w:cs="Georgia" w:eastAsia="Georgia" w:hAnsi="Georgia"/>
          <w:sz w:val="18"/>
          <w:szCs w:val="18"/>
          <w:color w:val="auto"/>
        </w:rPr>
        <w:t>273,609</w:t>
      </w:r>
    </w:p>
    <w:p>
      <w:pPr>
        <w:spacing w:after="0" w:line="38" w:lineRule="exact"/>
        <w:rPr>
          <w:sz w:val="20"/>
          <w:szCs w:val="20"/>
          <w:color w:val="auto"/>
        </w:rPr>
      </w:pPr>
    </w:p>
    <w:p>
      <w:pPr>
        <w:ind w:left="940" w:hanging="936"/>
        <w:spacing w:after="0"/>
        <w:tabs>
          <w:tab w:leader="none" w:pos="940" w:val="left"/>
        </w:tabs>
        <w:numPr>
          <w:ilvl w:val="0"/>
          <w:numId w:val="106"/>
        </w:numPr>
        <w:rPr>
          <w:rFonts w:ascii="Georgia" w:cs="Georgia" w:eastAsia="Georgia" w:hAnsi="Georgia"/>
          <w:sz w:val="18"/>
          <w:szCs w:val="18"/>
          <w:color w:val="auto"/>
        </w:rPr>
      </w:pPr>
      <w:r>
        <w:rPr>
          <w:rFonts w:ascii="Georgia" w:cs="Georgia" w:eastAsia="Georgia" w:hAnsi="Georgia"/>
          <w:sz w:val="18"/>
          <w:szCs w:val="18"/>
          <w:color w:val="auto"/>
        </w:rPr>
        <w:t>3,931,557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10712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wp:posOffset>
            </wp:positionV>
            <wp:extent cx="10712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ectPr>
          <w:pgSz w:w="11900" w:h="16838" w:orient="portrait"/>
          <w:cols w:equalWidth="0" w:num="2">
            <w:col w:w="8720" w:space="720"/>
            <w:col w:w="1800"/>
          </w:cols>
          <w:pgMar w:left="320" w:top="688" w:right="339" w:bottom="1440" w:gutter="0" w:footer="0" w:header="0"/>
          <w:type w:val="continuous"/>
        </w:sectPr>
      </w:pPr>
    </w:p>
    <w:bookmarkStart w:id="152" w:name="page153"/>
    <w:bookmarkEnd w:id="152"/>
    <w:p>
      <w:pPr>
        <w:spacing w:after="0"/>
        <w:rPr>
          <w:sz w:val="20"/>
          <w:szCs w:val="20"/>
          <w:color w:val="auto"/>
        </w:rPr>
      </w:pPr>
      <w:r>
        <w:rPr>
          <w:rFonts w:ascii="Georgia" w:cs="Georgia" w:eastAsia="Georgia" w:hAnsi="Georgia"/>
          <w:sz w:val="18"/>
          <w:szCs w:val="18"/>
          <w:b w:val="1"/>
          <w:bCs w:val="1"/>
          <w:i w:val="1"/>
          <w:iCs w:val="1"/>
          <w:color w:val="auto"/>
        </w:rPr>
        <w:t>Recently issued accounting pronouncements</w:t>
      </w:r>
    </w:p>
    <w:p>
      <w:pPr>
        <w:spacing w:after="0" w:line="202" w:lineRule="exact"/>
        <w:rPr>
          <w:sz w:val="20"/>
          <w:szCs w:val="20"/>
          <w:color w:val="auto"/>
        </w:rPr>
      </w:pPr>
    </w:p>
    <w:p>
      <w:pPr>
        <w:ind w:right="260" w:firstLine="647"/>
        <w:spacing w:after="0" w:line="237" w:lineRule="auto"/>
        <w:rPr>
          <w:sz w:val="20"/>
          <w:szCs w:val="20"/>
          <w:color w:val="auto"/>
        </w:rPr>
      </w:pPr>
      <w:r>
        <w:rPr>
          <w:rFonts w:ascii="Georgia" w:cs="Georgia" w:eastAsia="Georgia" w:hAnsi="Georgia"/>
          <w:sz w:val="18"/>
          <w:szCs w:val="18"/>
          <w:color w:val="auto"/>
        </w:rPr>
        <w:t>In April 2012, the Jump-Start Our Business Startups Act (the “JOBS Act”) was signed into law. The JOBS Act contains provisions that, among other things, reduce certain reporting requirements for an emerging growth company. As an emerging growth company, the Company may elect to adopt new or revised accounting standards when they become effective for non-public companies, which typically is later than when public companies must adopt the standards. The Company has elected to take advantage of the extended transition period afforded by the JOBS Act and, as a result, unless the Company elects early adoption of any standards, will adopt the new or revised accounting standards on the relevant dates on which adoption of such standards is required for non-public companies.</w:t>
      </w:r>
    </w:p>
    <w:p>
      <w:pPr>
        <w:spacing w:after="0" w:line="206" w:lineRule="exact"/>
        <w:rPr>
          <w:sz w:val="20"/>
          <w:szCs w:val="20"/>
          <w:color w:val="auto"/>
        </w:rPr>
      </w:pPr>
    </w:p>
    <w:p>
      <w:pPr>
        <w:ind w:right="40" w:firstLine="647"/>
        <w:spacing w:after="0" w:line="237" w:lineRule="auto"/>
        <w:rPr>
          <w:sz w:val="20"/>
          <w:szCs w:val="20"/>
          <w:color w:val="auto"/>
        </w:rPr>
      </w:pPr>
      <w:r>
        <w:rPr>
          <w:rFonts w:ascii="Georgia" w:cs="Georgia" w:eastAsia="Georgia" w:hAnsi="Georgia"/>
          <w:sz w:val="18"/>
          <w:szCs w:val="18"/>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spacing w:after="0" w:line="207"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In November 2021, the FASB issued ASU 2021-10, Government Assistance (Topic 832), Disclosures by Business Entities about Government Assistance. The aim of ASU 2021-10 is to increase the transparency of government assistance including the disclosure of (1) the types of assistance, (2) an entity’s accounting for the assistance, and (3) the effect of the assistance on an entity’s financial statements. Diversity currently exists in the recognition, measurement, presentation, and disclosure of government assistance received by business entities because of the lack of specific authoritative guidance in GAAP. The ASU will be effective for annual reporting periods after December 15, 2021, and early adoption is permitted. Upon implementation, the Company may use either a prospective or retrospective method of adoption when adopting the ASU. The Company is evaluating the impact of adopting the new ASU.</w:t>
      </w:r>
    </w:p>
    <w:p>
      <w:pPr>
        <w:spacing w:after="0" w:line="206" w:lineRule="exact"/>
        <w:rPr>
          <w:sz w:val="20"/>
          <w:szCs w:val="20"/>
          <w:color w:val="auto"/>
        </w:rPr>
      </w:pPr>
    </w:p>
    <w:p>
      <w:pPr>
        <w:ind w:right="20" w:firstLine="647"/>
        <w:spacing w:after="0" w:line="237" w:lineRule="auto"/>
        <w:rPr>
          <w:sz w:val="20"/>
          <w:szCs w:val="20"/>
          <w:color w:val="auto"/>
        </w:rPr>
      </w:pPr>
      <w:r>
        <w:rPr>
          <w:rFonts w:ascii="Georgia" w:cs="Georgia" w:eastAsia="Georgia" w:hAnsi="Georgia"/>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This ASU amends the guidance on convertible instruments and the derivatives scope exception for contracts in an entity’s own equity and improves and amends the related EPS guidance for both Subtopics. The ASU will be effective for annual reporting periods after December 15, 2023 and interim periods within those annual periods and early adoption is permitted in fiscal periods ending after December 15, 2020. Upon implementation, the Company may use either a modified retrospective or full retrospective method of adoption. The Company is evaluating the impact of adopting the new ASU.</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3. Research and development</w:t>
      </w:r>
    </w:p>
    <w:p>
      <w:pPr>
        <w:spacing w:after="0" w:line="202"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207"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The Company annually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4. General and administrative</w:t>
      </w:r>
    </w:p>
    <w:p>
      <w:pPr>
        <w:spacing w:after="0" w:line="202" w:lineRule="exact"/>
        <w:rPr>
          <w:sz w:val="20"/>
          <w:szCs w:val="20"/>
          <w:color w:val="auto"/>
        </w:rPr>
      </w:pPr>
    </w:p>
    <w:p>
      <w:pPr>
        <w:ind w:right="240" w:firstLine="648"/>
        <w:spacing w:after="0" w:line="237" w:lineRule="auto"/>
        <w:rPr>
          <w:sz w:val="20"/>
          <w:szCs w:val="20"/>
          <w:color w:val="auto"/>
        </w:rPr>
      </w:pPr>
      <w:r>
        <w:rPr>
          <w:rFonts w:ascii="Georgia" w:cs="Georgia" w:eastAsia="Georgia" w:hAnsi="Georgia"/>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5. Income taxes</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The Company is subject to taxation in Italy, and with the addition of the Company’s wholly owned subsidiary in the United States, the Company is subject to taxation in the United States. Taxation in Italy includes the standard corporate income tax (“IRES”) and a regional business tax (“IRAP”). Taxation in the United States includes federal corporate income tax (“IRS”), as well as state and local taxes. Taxes are recorded on an accrual basis. They therefore represent the allowances for taxes paid or to be paid for the year, calculated according to the current enacted rates and applicable laws. In the future, the Company may be taxed in various other countries where it may have permanent establishments, as applicable. Due to the tax loss position reported, no income taxes were due for the periods ending December 31, 2021, and 2020 in Italy or the United States.</w:t>
      </w:r>
    </w:p>
    <w:p>
      <w:pPr>
        <w:spacing w:after="0" w:line="206" w:lineRule="exact"/>
        <w:rPr>
          <w:sz w:val="20"/>
          <w:szCs w:val="20"/>
          <w:color w:val="auto"/>
        </w:rPr>
      </w:pPr>
    </w:p>
    <w:p>
      <w:pPr>
        <w:jc w:val="both"/>
        <w:ind w:firstLine="647"/>
        <w:spacing w:after="0" w:line="237" w:lineRule="auto"/>
        <w:rPr>
          <w:sz w:val="20"/>
          <w:szCs w:val="20"/>
          <w:color w:val="auto"/>
        </w:rPr>
      </w:pPr>
      <w:r>
        <w:rPr>
          <w:rFonts w:ascii="Georgia" w:cs="Georgia" w:eastAsia="Georgia" w:hAnsi="Georgia"/>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ectPr>
          <w:pgSz w:w="11900" w:h="16838" w:orient="portrait"/>
          <w:cols w:equalWidth="0" w:num="1">
            <w:col w:w="11220"/>
          </w:cols>
          <w:pgMar w:left="320" w:top="689" w:right="359" w:bottom="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4" w:name="page155"/>
    <w:bookmarkEnd w:id="154"/>
    <w:p>
      <w:pPr>
        <w:ind w:right="60" w:firstLine="647"/>
        <w:spacing w:after="0" w:line="237" w:lineRule="auto"/>
        <w:rPr>
          <w:sz w:val="20"/>
          <w:szCs w:val="20"/>
          <w:color w:val="auto"/>
        </w:rPr>
      </w:pPr>
      <w:r>
        <w:rPr>
          <w:rFonts w:ascii="Georgia" w:cs="Georgia" w:eastAsia="Georgia" w:hAnsi="Georgia"/>
          <w:sz w:val="18"/>
          <w:szCs w:val="18"/>
          <w:color w:val="auto"/>
        </w:rPr>
        <w:t>At each reporting date, the Company considers existing evidence, both positive and negative, that could impact its view with regards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206" w:lineRule="exact"/>
        <w:rPr>
          <w:sz w:val="20"/>
          <w:szCs w:val="20"/>
          <w:color w:val="auto"/>
        </w:rPr>
      </w:pPr>
    </w:p>
    <w:p>
      <w:pPr>
        <w:ind w:right="160" w:firstLine="697"/>
        <w:spacing w:after="0" w:line="237" w:lineRule="auto"/>
        <w:rPr>
          <w:sz w:val="20"/>
          <w:szCs w:val="20"/>
          <w:color w:val="auto"/>
        </w:rPr>
      </w:pPr>
      <w:r>
        <w:rPr>
          <w:rFonts w:ascii="Georgia" w:cs="Georgia" w:eastAsia="Georgia" w:hAnsi="Georgia"/>
          <w:sz w:val="18"/>
          <w:szCs w:val="18"/>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The prior five years of tax returns (2017-2021) are potentially subject to audit.</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A reconciliation of the Company’s effective tax rate is summarized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200"/>
              <w:spacing w:after="0"/>
              <w:rPr>
                <w:sz w:val="20"/>
                <w:szCs w:val="20"/>
                <w:color w:val="auto"/>
              </w:rPr>
            </w:pPr>
            <w:r>
              <w:rPr>
                <w:rFonts w:ascii="Georgia" w:cs="Georgia" w:eastAsia="Georgia" w:hAnsi="Georgia"/>
                <w:sz w:val="18"/>
                <w:szCs w:val="18"/>
                <w:b w:val="1"/>
                <w:bCs w:val="1"/>
                <w:color w:val="auto"/>
                <w:w w:val="99"/>
              </w:rPr>
              <w:t>At December 31,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Georgia" w:cs="Georgia" w:eastAsia="Georgia" w:hAnsi="Georgia"/>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560"/>
              <w:spacing w:after="0" w:line="202" w:lineRule="exact"/>
              <w:rPr>
                <w:sz w:val="20"/>
                <w:szCs w:val="20"/>
                <w:color w:val="auto"/>
              </w:rPr>
            </w:pPr>
            <w:r>
              <w:rPr>
                <w:rFonts w:ascii="Georgia" w:cs="Georgia" w:eastAsia="Georgia" w:hAnsi="Georgia"/>
                <w:sz w:val="18"/>
                <w:szCs w:val="18"/>
                <w:color w:val="auto"/>
              </w:rPr>
              <w:t>(in Euros)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Income taxes at Italy statutory rate</w:t>
            </w:r>
          </w:p>
        </w:tc>
        <w:tc>
          <w:tcPr>
            <w:tcW w:w="3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34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(1,296,797)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580" w:type="dxa"/>
            <w:vAlign w:val="bottom"/>
            <w:gridSpan w:val="2"/>
            <w:shd w:val="clear" w:color="auto" w:fill="CCEEFF"/>
          </w:tcPr>
          <w:p>
            <w:pPr>
              <w:jc w:val="right"/>
              <w:ind w:right="260"/>
              <w:spacing w:after="0" w:line="202" w:lineRule="exact"/>
              <w:rPr>
                <w:sz w:val="20"/>
                <w:szCs w:val="20"/>
                <w:color w:val="auto"/>
              </w:rPr>
            </w:pPr>
            <w:r>
              <w:rPr>
                <w:rFonts w:ascii="Georgia" w:cs="Georgia" w:eastAsia="Georgia" w:hAnsi="Georgia"/>
                <w:sz w:val="18"/>
                <w:szCs w:val="18"/>
                <w:color w:val="auto"/>
              </w:rPr>
              <w:t>(1,342,083)</w:t>
            </w:r>
          </w:p>
        </w:tc>
        <w:tc>
          <w:tcPr>
            <w:tcW w:w="3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260" w:type="dxa"/>
            <w:vAlign w:val="bottom"/>
            <w:gridSpan w:val="2"/>
            <w:shd w:val="clear" w:color="auto" w:fill="CCEEFF"/>
          </w:tcPr>
          <w:p>
            <w:pPr>
              <w:jc w:val="right"/>
              <w:ind w:right="40"/>
              <w:spacing w:after="0" w:line="202" w:lineRule="exact"/>
              <w:rPr>
                <w:sz w:val="20"/>
                <w:szCs w:val="20"/>
                <w:color w:val="auto"/>
              </w:rPr>
            </w:pPr>
            <w:r>
              <w:rPr>
                <w:rFonts w:ascii="Georgia" w:cs="Georgia" w:eastAsia="Georgia" w:hAnsi="Georgia"/>
                <w:sz w:val="18"/>
                <w:szCs w:val="18"/>
                <w:color w:val="auto"/>
              </w:rPr>
              <w:t>(1,103,454)</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Permanent differences</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(1,189,844)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3,750</w:t>
            </w:r>
          </w:p>
        </w:tc>
        <w:tc>
          <w:tcPr>
            <w:tcW w:w="30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11,370</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Other</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(29,928)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Federal Income tax for Genenta INC</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(26,462)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Georgia" w:cs="Georgia" w:eastAsia="Georgia" w:hAnsi="Georgia"/>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Georgia" w:cs="Georgia" w:eastAsia="Georgia" w:hAnsi="Georgia"/>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Change in valuation allowance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2,543,031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1,338,333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1,092,084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vMerge w:val="restart"/>
          </w:tcPr>
          <w:p>
            <w:pPr>
              <w:spacing w:after="0" w:line="203" w:lineRule="exact"/>
              <w:rPr>
                <w:sz w:val="20"/>
                <w:szCs w:val="20"/>
                <w:color w:val="auto"/>
              </w:rPr>
            </w:pPr>
            <w:r>
              <w:rPr>
                <w:rFonts w:ascii="Georgia" w:cs="Georgia" w:eastAsia="Georgia" w:hAnsi="Georgia"/>
                <w:sz w:val="18"/>
                <w:szCs w:val="18"/>
                <w:color w:val="auto"/>
              </w:rPr>
              <w:t>Total provision expense for income taxes</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32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340" w:type="dxa"/>
            <w:vAlign w:val="bottom"/>
            <w:gridSpan w:val="2"/>
          </w:tcPr>
          <w:p>
            <w:pPr>
              <w:jc w:val="right"/>
              <w:ind w:right="180"/>
              <w:spacing w:after="0" w:line="203" w:lineRule="exact"/>
              <w:rPr>
                <w:sz w:val="20"/>
                <w:szCs w:val="20"/>
                <w:color w:val="auto"/>
              </w:rPr>
            </w:pPr>
            <w:r>
              <w:rPr>
                <w:rFonts w:ascii="Georgia" w:cs="Georgia" w:eastAsia="Georgia" w:hAnsi="Georgia"/>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58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3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line="203" w:lineRule="exact"/>
              <w:rPr>
                <w:sz w:val="20"/>
                <w:szCs w:val="20"/>
                <w:color w:val="auto"/>
              </w:rPr>
            </w:pPr>
            <w:r>
              <w:rPr>
                <w:rFonts w:ascii="Georgia" w:cs="Georgia" w:eastAsia="Georgia" w:hAnsi="Georgia"/>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Significant components of the Company’s net deferred tax assets are summarized as follows:</w:t>
      </w:r>
    </w:p>
    <w:p>
      <w:pPr>
        <w:sectPr>
          <w:pgSz w:w="11900" w:h="16838" w:orient="portrait"/>
          <w:cols w:equalWidth="0" w:num="1">
            <w:col w:w="11240"/>
          </w:cols>
          <w:pgMar w:left="320" w:top="6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Georgia" w:cs="Georgia" w:eastAsia="Georgia" w:hAnsi="Georgia"/>
          <w:sz w:val="18"/>
          <w:szCs w:val="18"/>
          <w:color w:val="auto"/>
        </w:rPr>
        <w:t>Deferred tax assets</w:t>
      </w:r>
    </w:p>
    <w:p>
      <w:pPr>
        <w:spacing w:after="0" w:line="237" w:lineRule="auto"/>
        <w:rPr>
          <w:sz w:val="20"/>
          <w:szCs w:val="20"/>
          <w:color w:val="auto"/>
        </w:rPr>
      </w:pPr>
      <w:r>
        <w:rPr>
          <w:rFonts w:ascii="Georgia" w:cs="Georgia" w:eastAsia="Georgia" w:hAnsi="Georgia"/>
          <w:sz w:val="18"/>
          <w:szCs w:val="18"/>
          <w:color w:val="auto"/>
        </w:rPr>
        <w:t>Net operating loss carryforwards</w:t>
      </w:r>
    </w:p>
    <w:p>
      <w:pPr>
        <w:spacing w:after="0" w:line="238" w:lineRule="auto"/>
        <w:rPr>
          <w:sz w:val="20"/>
          <w:szCs w:val="20"/>
          <w:color w:val="auto"/>
        </w:rPr>
      </w:pPr>
      <w:r>
        <w:rPr>
          <w:rFonts w:ascii="Georgia" w:cs="Georgia" w:eastAsia="Georgia" w:hAnsi="Georgia"/>
          <w:sz w:val="18"/>
          <w:szCs w:val="18"/>
          <w:color w:val="auto"/>
        </w:rPr>
        <w:t>Other</w:t>
      </w:r>
    </w:p>
    <w:p>
      <w:pPr>
        <w:spacing w:after="0" w:line="237" w:lineRule="auto"/>
        <w:rPr>
          <w:sz w:val="20"/>
          <w:szCs w:val="20"/>
          <w:color w:val="auto"/>
        </w:rPr>
      </w:pPr>
      <w:r>
        <w:rPr>
          <w:rFonts w:ascii="Georgia" w:cs="Georgia" w:eastAsia="Georgia" w:hAnsi="Georgia"/>
          <w:sz w:val="18"/>
          <w:szCs w:val="18"/>
          <w:color w:val="auto"/>
        </w:rPr>
        <w:t>Allowance for corporate equity</w:t>
      </w:r>
    </w:p>
    <w:p>
      <w:pPr>
        <w:spacing w:after="0" w:line="238" w:lineRule="auto"/>
        <w:rPr>
          <w:sz w:val="20"/>
          <w:szCs w:val="20"/>
          <w:color w:val="auto"/>
        </w:rPr>
      </w:pPr>
      <w:r>
        <w:rPr>
          <w:rFonts w:ascii="Georgia" w:cs="Georgia" w:eastAsia="Georgia" w:hAnsi="Georgia"/>
          <w:sz w:val="18"/>
          <w:szCs w:val="18"/>
          <w:color w:val="auto"/>
        </w:rPr>
        <w:t>Total deferred tax assets</w:t>
      </w:r>
    </w:p>
    <w:p>
      <w:pPr>
        <w:spacing w:after="0" w:line="238" w:lineRule="auto"/>
        <w:rPr>
          <w:sz w:val="20"/>
          <w:szCs w:val="20"/>
          <w:color w:val="auto"/>
        </w:rPr>
      </w:pPr>
      <w:r>
        <w:rPr>
          <w:rFonts w:ascii="Georgia" w:cs="Georgia" w:eastAsia="Georgia" w:hAnsi="Georgia"/>
          <w:sz w:val="18"/>
          <w:szCs w:val="18"/>
          <w:color w:val="auto"/>
        </w:rPr>
        <w:t>Valuation allowance</w:t>
      </w:r>
    </w:p>
    <w:p>
      <w:pPr>
        <w:spacing w:after="0" w:line="26" w:lineRule="exact"/>
        <w:rPr>
          <w:sz w:val="20"/>
          <w:szCs w:val="20"/>
          <w:color w:val="auto"/>
        </w:rPr>
      </w:pPr>
    </w:p>
    <w:p>
      <w:pPr>
        <w:spacing w:after="0"/>
        <w:rPr>
          <w:sz w:val="20"/>
          <w:szCs w:val="20"/>
          <w:color w:val="auto"/>
        </w:rPr>
      </w:pPr>
      <w:r>
        <w:rPr>
          <w:rFonts w:ascii="Georgia" w:cs="Georgia" w:eastAsia="Georgia" w:hAnsi="Georgia"/>
          <w:sz w:val="18"/>
          <w:szCs w:val="18"/>
          <w:color w:val="auto"/>
        </w:rPr>
        <w:t>Net deferred tax assets</w:t>
      </w:r>
    </w:p>
    <w:p>
      <w:pPr>
        <w:spacing w:after="0" w:line="268" w:lineRule="exact"/>
        <w:rPr>
          <w:sz w:val="20"/>
          <w:szCs w:val="20"/>
          <w:color w:val="auto"/>
        </w:rPr>
      </w:pPr>
    </w:p>
    <w:p>
      <w:pPr>
        <w:jc w:val="right"/>
        <w:ind w:right="1480"/>
        <w:spacing w:after="0"/>
        <w:rPr>
          <w:sz w:val="20"/>
          <w:szCs w:val="20"/>
          <w:color w:val="auto"/>
        </w:rPr>
      </w:pPr>
      <w:r>
        <w:rPr>
          <w:rFonts w:ascii="Georgia" w:cs="Georgia" w:eastAsia="Georgia" w:hAnsi="Georgia"/>
          <w:sz w:val="18"/>
          <w:szCs w:val="18"/>
          <w:color w:val="auto"/>
        </w:rPr>
        <w:t>Tax loss carryforwards expire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Georgia" w:cs="Georgia" w:eastAsia="Georgia" w:hAnsi="Georgia"/>
          <w:sz w:val="18"/>
          <w:szCs w:val="18"/>
          <w:color w:val="auto"/>
        </w:rPr>
        <w:t>No expiration date</w:t>
      </w:r>
    </w:p>
    <w:p>
      <w:pPr>
        <w:spacing w:after="0" w:line="238" w:lineRule="auto"/>
        <w:rPr>
          <w:sz w:val="20"/>
          <w:szCs w:val="20"/>
          <w:color w:val="auto"/>
        </w:rPr>
      </w:pPr>
      <w:r>
        <w:rPr>
          <w:rFonts w:ascii="Georgia" w:cs="Georgia" w:eastAsia="Georgia" w:hAnsi="Georgia"/>
          <w:sz w:val="18"/>
          <w:szCs w:val="18"/>
          <w:color w:val="auto"/>
        </w:rPr>
        <w:t>No expiration date - DL 98/2011</w:t>
      </w:r>
    </w:p>
    <w:p>
      <w:pPr>
        <w:spacing w:after="0" w:line="25" w:lineRule="exact"/>
        <w:rPr>
          <w:sz w:val="20"/>
          <w:szCs w:val="20"/>
          <w:color w:val="auto"/>
        </w:rPr>
      </w:pPr>
    </w:p>
    <w:p>
      <w:pPr>
        <w:spacing w:after="0"/>
        <w:rPr>
          <w:sz w:val="20"/>
          <w:szCs w:val="20"/>
          <w:color w:val="auto"/>
        </w:rPr>
      </w:pPr>
      <w:r>
        <w:rPr>
          <w:rFonts w:ascii="Georgia" w:cs="Georgia" w:eastAsia="Georgia" w:hAnsi="Georgia"/>
          <w:sz w:val="18"/>
          <w:szCs w:val="18"/>
          <w:color w:val="auto"/>
        </w:rPr>
        <w:t>Total</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1820"/>
        <w:spacing w:after="0"/>
        <w:rPr>
          <w:sz w:val="20"/>
          <w:szCs w:val="20"/>
          <w:color w:val="auto"/>
        </w:rPr>
      </w:pPr>
      <w:r>
        <w:rPr>
          <w:rFonts w:ascii="Georgia" w:cs="Georgia" w:eastAsia="Georgia" w:hAnsi="Georgia"/>
          <w:sz w:val="18"/>
          <w:szCs w:val="18"/>
          <w:b w:val="1"/>
          <w:bCs w:val="1"/>
          <w:color w:val="auto"/>
        </w:rPr>
        <w:t>At December 31,</w:t>
      </w:r>
    </w:p>
    <w:tbl>
      <w:tblPr>
        <w:tblLayout w:type="fixed"/>
        <w:tblInd w:w="0" w:type="dxa"/>
        <w:tblCellMar>
          <w:top w:w="0" w:type="dxa"/>
          <w:left w:w="0" w:type="dxa"/>
          <w:bottom w:w="0" w:type="dxa"/>
          <w:right w:w="0" w:type="dxa"/>
        </w:tblCellMar>
      </w:tblPr>
      <w:tr>
        <w:trPr>
          <w:trHeight w:val="232"/>
        </w:trPr>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Georgia" w:cs="Georgia" w:eastAsia="Georgia" w:hAnsi="Georgia"/>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Georgia" w:cs="Georgia" w:eastAsia="Georgia" w:hAnsi="Georgia"/>
                <w:sz w:val="18"/>
                <w:szCs w:val="18"/>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Georgia" w:cs="Georgia" w:eastAsia="Georgia" w:hAnsi="Georgia"/>
                <w:sz w:val="18"/>
                <w:szCs w:val="18"/>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r>
      <w:tr>
        <w:trPr>
          <w:trHeight w:val="203"/>
        </w:trPr>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center"/>
              <w:ind w:right="500"/>
              <w:spacing w:after="0" w:line="203" w:lineRule="exact"/>
              <w:rPr>
                <w:sz w:val="20"/>
                <w:szCs w:val="20"/>
                <w:color w:val="auto"/>
              </w:rPr>
            </w:pPr>
            <w:r>
              <w:rPr>
                <w:rFonts w:ascii="Georgia" w:cs="Georgia" w:eastAsia="Georgia" w:hAnsi="Georgia"/>
                <w:sz w:val="18"/>
                <w:szCs w:val="18"/>
                <w:color w:val="auto"/>
                <w:w w:val="99"/>
              </w:rPr>
              <w:t>(in Euros)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1"/>
        </w:trPr>
        <w:tc>
          <w:tcPr>
            <w:tcW w:w="340" w:type="dxa"/>
            <w:vAlign w:val="bottom"/>
          </w:tcPr>
          <w:p>
            <w:pPr>
              <w:spacing w:after="0"/>
              <w:rPr>
                <w:sz w:val="20"/>
                <w:szCs w:val="20"/>
                <w:color w:val="auto"/>
              </w:rPr>
            </w:pPr>
            <w:r>
              <w:rPr>
                <w:rFonts w:ascii="Georgia" w:cs="Georgia" w:eastAsia="Georgia" w:hAnsi="Georgia"/>
                <w:sz w:val="18"/>
                <w:szCs w:val="18"/>
                <w:color w:val="auto"/>
              </w:rPr>
              <w:t>€</w:t>
            </w:r>
          </w:p>
        </w:tc>
        <w:tc>
          <w:tcPr>
            <w:tcW w:w="148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7,125,174</w:t>
            </w:r>
          </w:p>
        </w:tc>
        <w:tc>
          <w:tcPr>
            <w:tcW w:w="240" w:type="dxa"/>
            <w:vAlign w:val="bottom"/>
          </w:tcPr>
          <w:p>
            <w:pPr>
              <w:spacing w:after="0"/>
              <w:rPr>
                <w:sz w:val="20"/>
                <w:szCs w:val="20"/>
                <w:color w:val="auto"/>
              </w:rPr>
            </w:pPr>
            <w:r>
              <w:rPr>
                <w:rFonts w:ascii="Georgia" w:cs="Georgia" w:eastAsia="Georgia" w:hAnsi="Georgia"/>
                <w:sz w:val="18"/>
                <w:szCs w:val="18"/>
                <w:color w:val="auto"/>
              </w:rPr>
              <w:t>€</w:t>
            </w:r>
          </w:p>
        </w:tc>
        <w:tc>
          <w:tcPr>
            <w:tcW w:w="154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4,692,845</w:t>
            </w:r>
          </w:p>
        </w:tc>
        <w:tc>
          <w:tcPr>
            <w:tcW w:w="340" w:type="dxa"/>
            <w:vAlign w:val="bottom"/>
          </w:tcPr>
          <w:p>
            <w:pPr>
              <w:spacing w:after="0"/>
              <w:rPr>
                <w:sz w:val="20"/>
                <w:szCs w:val="20"/>
                <w:color w:val="auto"/>
              </w:rPr>
            </w:pPr>
            <w:r>
              <w:rPr>
                <w:rFonts w:ascii="Georgia" w:cs="Georgia" w:eastAsia="Georgia" w:hAnsi="Georgia"/>
                <w:sz w:val="18"/>
                <w:szCs w:val="18"/>
                <w:color w:val="auto"/>
              </w:rPr>
              <w:t>€</w:t>
            </w:r>
          </w:p>
        </w:tc>
        <w:tc>
          <w:tcPr>
            <w:tcW w:w="1220" w:type="dxa"/>
            <w:vAlign w:val="bottom"/>
            <w:gridSpan w:val="2"/>
          </w:tcPr>
          <w:p>
            <w:pPr>
              <w:jc w:val="right"/>
              <w:ind w:right="100"/>
              <w:spacing w:after="0"/>
              <w:rPr>
                <w:sz w:val="20"/>
                <w:szCs w:val="20"/>
                <w:color w:val="auto"/>
              </w:rPr>
            </w:pPr>
            <w:r>
              <w:rPr>
                <w:rFonts w:ascii="Georgia" w:cs="Georgia" w:eastAsia="Georgia" w:hAnsi="Georgia"/>
                <w:sz w:val="18"/>
                <w:szCs w:val="18"/>
                <w:color w:val="auto"/>
              </w:rPr>
              <w:t>3,192,643</w:t>
            </w:r>
          </w:p>
        </w:tc>
      </w:tr>
      <w:tr>
        <w:trPr>
          <w:trHeight w:val="203"/>
        </w:trPr>
        <w:tc>
          <w:tcPr>
            <w:tcW w:w="340" w:type="dxa"/>
            <w:vAlign w:val="bottom"/>
          </w:tcPr>
          <w:p>
            <w:pPr>
              <w:spacing w:after="0"/>
              <w:rPr>
                <w:sz w:val="17"/>
                <w:szCs w:val="17"/>
                <w:color w:val="auto"/>
              </w:rPr>
            </w:pPr>
          </w:p>
        </w:tc>
        <w:tc>
          <w:tcPr>
            <w:tcW w:w="148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6,000</w:t>
            </w:r>
          </w:p>
        </w:tc>
        <w:tc>
          <w:tcPr>
            <w:tcW w:w="240" w:type="dxa"/>
            <w:vAlign w:val="bottom"/>
          </w:tcPr>
          <w:p>
            <w:pPr>
              <w:spacing w:after="0"/>
              <w:rPr>
                <w:sz w:val="17"/>
                <w:szCs w:val="17"/>
                <w:color w:val="auto"/>
              </w:rPr>
            </w:pPr>
          </w:p>
        </w:tc>
        <w:tc>
          <w:tcPr>
            <w:tcW w:w="154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144,000</w:t>
            </w:r>
          </w:p>
        </w:tc>
      </w:tr>
      <w:tr>
        <w:trPr>
          <w:trHeight w:val="203"/>
        </w:trPr>
        <w:tc>
          <w:tcPr>
            <w:tcW w:w="340" w:type="dxa"/>
            <w:vAlign w:val="bottom"/>
          </w:tcPr>
          <w:p>
            <w:pPr>
              <w:spacing w:after="0"/>
              <w:rPr>
                <w:sz w:val="17"/>
                <w:szCs w:val="17"/>
                <w:color w:val="auto"/>
              </w:rPr>
            </w:pPr>
          </w:p>
        </w:tc>
        <w:tc>
          <w:tcPr>
            <w:tcW w:w="148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315,322</w:t>
            </w:r>
          </w:p>
        </w:tc>
        <w:tc>
          <w:tcPr>
            <w:tcW w:w="240" w:type="dxa"/>
            <w:vAlign w:val="bottom"/>
          </w:tcPr>
          <w:p>
            <w:pPr>
              <w:spacing w:after="0"/>
              <w:rPr>
                <w:sz w:val="17"/>
                <w:szCs w:val="17"/>
                <w:color w:val="auto"/>
              </w:rPr>
            </w:pPr>
          </w:p>
        </w:tc>
        <w:tc>
          <w:tcPr>
            <w:tcW w:w="154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210,620</w:t>
            </w: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178,972</w:t>
            </w:r>
          </w:p>
        </w:tc>
      </w:tr>
      <w:tr>
        <w:trPr>
          <w:trHeight w:val="203"/>
        </w:trPr>
        <w:tc>
          <w:tcPr>
            <w:tcW w:w="340" w:type="dxa"/>
            <w:vAlign w:val="bottom"/>
          </w:tcPr>
          <w:p>
            <w:pPr>
              <w:spacing w:after="0"/>
              <w:rPr>
                <w:sz w:val="17"/>
                <w:szCs w:val="17"/>
                <w:color w:val="auto"/>
              </w:rPr>
            </w:pPr>
          </w:p>
        </w:tc>
        <w:tc>
          <w:tcPr>
            <w:tcW w:w="148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7,446,496</w:t>
            </w:r>
          </w:p>
        </w:tc>
        <w:tc>
          <w:tcPr>
            <w:tcW w:w="240" w:type="dxa"/>
            <w:vAlign w:val="bottom"/>
          </w:tcPr>
          <w:p>
            <w:pPr>
              <w:spacing w:after="0"/>
              <w:rPr>
                <w:sz w:val="17"/>
                <w:szCs w:val="17"/>
                <w:color w:val="auto"/>
              </w:rPr>
            </w:pPr>
          </w:p>
        </w:tc>
        <w:tc>
          <w:tcPr>
            <w:tcW w:w="154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4,903,464</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Georgia" w:cs="Georgia" w:eastAsia="Georgia" w:hAnsi="Georgia"/>
                <w:sz w:val="18"/>
                <w:szCs w:val="18"/>
                <w:color w:val="auto"/>
              </w:rPr>
              <w:t>3,515,615</w:t>
            </w:r>
          </w:p>
        </w:tc>
        <w:tc>
          <w:tcPr>
            <w:tcW w:w="100" w:type="dxa"/>
            <w:vAlign w:val="bottom"/>
          </w:tcPr>
          <w:p>
            <w:pPr>
              <w:spacing w:after="0"/>
              <w:rPr>
                <w:sz w:val="17"/>
                <w:szCs w:val="17"/>
                <w:color w:val="auto"/>
              </w:rPr>
            </w:pPr>
          </w:p>
        </w:tc>
      </w:tr>
      <w:tr>
        <w:trPr>
          <w:trHeight w:val="218"/>
        </w:trPr>
        <w:tc>
          <w:tcPr>
            <w:tcW w:w="3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Georgia" w:cs="Georgia" w:eastAsia="Georgia" w:hAnsi="Georgia"/>
                <w:sz w:val="18"/>
                <w:szCs w:val="18"/>
                <w:color w:val="auto"/>
              </w:rPr>
              <w:t>(7,446,496)</w:t>
            </w:r>
          </w:p>
        </w:tc>
        <w:tc>
          <w:tcPr>
            <w:tcW w:w="2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Georgia" w:cs="Georgia" w:eastAsia="Georgia" w:hAnsi="Georgia"/>
                <w:sz w:val="18"/>
                <w:szCs w:val="18"/>
                <w:color w:val="auto"/>
              </w:rPr>
              <w:t>(4,903,464)</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Georgia" w:cs="Georgia" w:eastAsia="Georgia" w:hAnsi="Georgia"/>
                <w:sz w:val="18"/>
                <w:szCs w:val="18"/>
                <w:color w:val="auto"/>
              </w:rPr>
              <w:t>(3,515,615)</w:t>
            </w:r>
          </w:p>
        </w:tc>
      </w:tr>
      <w:tr>
        <w:trPr>
          <w:trHeight w:val="28"/>
        </w:trPr>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340" w:type="dxa"/>
            <w:vAlign w:val="bottom"/>
          </w:tcPr>
          <w:p>
            <w:pPr>
              <w:spacing w:after="0"/>
              <w:rPr>
                <w:sz w:val="20"/>
                <w:szCs w:val="20"/>
                <w:color w:val="auto"/>
              </w:rPr>
            </w:pPr>
            <w:r>
              <w:rPr>
                <w:rFonts w:ascii="Georgia" w:cs="Georgia" w:eastAsia="Georgia" w:hAnsi="Georgia"/>
                <w:sz w:val="18"/>
                <w:szCs w:val="18"/>
                <w:color w:val="auto"/>
              </w:rPr>
              <w:t>€</w:t>
            </w:r>
          </w:p>
        </w:tc>
        <w:tc>
          <w:tcPr>
            <w:tcW w:w="148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w:t>
            </w:r>
          </w:p>
        </w:tc>
        <w:tc>
          <w:tcPr>
            <w:tcW w:w="240" w:type="dxa"/>
            <w:vAlign w:val="bottom"/>
          </w:tcPr>
          <w:p>
            <w:pPr>
              <w:spacing w:after="0"/>
              <w:rPr>
                <w:sz w:val="20"/>
                <w:szCs w:val="20"/>
                <w:color w:val="auto"/>
              </w:rPr>
            </w:pPr>
            <w:r>
              <w:rPr>
                <w:rFonts w:ascii="Georgia" w:cs="Georgia" w:eastAsia="Georgia" w:hAnsi="Georgia"/>
                <w:sz w:val="18"/>
                <w:szCs w:val="18"/>
                <w:color w:val="auto"/>
              </w:rPr>
              <w:t>€</w:t>
            </w:r>
          </w:p>
        </w:tc>
        <w:tc>
          <w:tcPr>
            <w:tcW w:w="154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w:t>
            </w:r>
          </w:p>
        </w:tc>
        <w:tc>
          <w:tcPr>
            <w:tcW w:w="340" w:type="dxa"/>
            <w:vAlign w:val="bottom"/>
          </w:tcPr>
          <w:p>
            <w:pPr>
              <w:spacing w:after="0"/>
              <w:rPr>
                <w:sz w:val="20"/>
                <w:szCs w:val="20"/>
                <w:color w:val="auto"/>
              </w:rPr>
            </w:pPr>
            <w:r>
              <w:rPr>
                <w:rFonts w:ascii="Georgia" w:cs="Georgia" w:eastAsia="Georgia" w:hAnsi="Georgia"/>
                <w:sz w:val="18"/>
                <w:szCs w:val="18"/>
                <w:color w:val="auto"/>
              </w:rPr>
              <w:t>€</w:t>
            </w:r>
          </w:p>
        </w:tc>
        <w:tc>
          <w:tcPr>
            <w:tcW w:w="1120" w:type="dxa"/>
            <w:vAlign w:val="bottom"/>
          </w:tcPr>
          <w:p>
            <w:pPr>
              <w:jc w:val="right"/>
              <w:spacing w:after="0"/>
              <w:rPr>
                <w:sz w:val="20"/>
                <w:szCs w:val="20"/>
                <w:color w:val="auto"/>
              </w:rPr>
            </w:pPr>
            <w:r>
              <w:rPr>
                <w:rFonts w:ascii="Georgia" w:cs="Georgia" w:eastAsia="Georgia" w:hAnsi="Georgia"/>
                <w:sz w:val="18"/>
                <w:szCs w:val="18"/>
                <w:color w:val="auto"/>
              </w:rPr>
              <w:t>-</w:t>
            </w:r>
          </w:p>
        </w:tc>
        <w:tc>
          <w:tcPr>
            <w:tcW w:w="100" w:type="dxa"/>
            <w:vAlign w:val="bottom"/>
          </w:tcPr>
          <w:p>
            <w:pPr>
              <w:spacing w:after="0"/>
              <w:rPr>
                <w:sz w:val="18"/>
                <w:szCs w:val="18"/>
                <w:color w:val="auto"/>
              </w:rPr>
            </w:pP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-959485</wp:posOffset>
            </wp:positionV>
            <wp:extent cx="713232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-702310</wp:posOffset>
            </wp:positionV>
            <wp:extent cx="713232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-445135</wp:posOffset>
            </wp:positionV>
            <wp:extent cx="713232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-170815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780"/>
        <w:spacing w:after="0"/>
        <w:rPr>
          <w:sz w:val="20"/>
          <w:szCs w:val="20"/>
          <w:color w:val="auto"/>
        </w:rPr>
      </w:pPr>
      <w:r>
        <w:rPr>
          <w:rFonts w:ascii="Georgia" w:cs="Georgia" w:eastAsia="Georgia" w:hAnsi="Georgia"/>
          <w:sz w:val="18"/>
          <w:szCs w:val="18"/>
          <w:b w:val="1"/>
          <w:bCs w:val="1"/>
          <w:color w:val="auto"/>
        </w:rPr>
        <w:t>At December 31,</w:t>
      </w:r>
    </w:p>
    <w:tbl>
      <w:tblPr>
        <w:tblLayout w:type="fixed"/>
        <w:tblInd w:w="0" w:type="dxa"/>
        <w:tblCellMar>
          <w:top w:w="0" w:type="dxa"/>
          <w:left w:w="0" w:type="dxa"/>
          <w:bottom w:w="0" w:type="dxa"/>
          <w:right w:w="0" w:type="dxa"/>
        </w:tblCellMar>
      </w:tblPr>
      <w:tr>
        <w:trPr>
          <w:trHeight w:val="233"/>
        </w:trPr>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Georgia" w:cs="Georgia" w:eastAsia="Georgia" w:hAnsi="Georgia"/>
                <w:sz w:val="18"/>
                <w:szCs w:val="18"/>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Georgia" w:cs="Georgia" w:eastAsia="Georgia" w:hAnsi="Georgia"/>
                <w:sz w:val="18"/>
                <w:szCs w:val="18"/>
                <w:b w:val="1"/>
                <w:bCs w:val="1"/>
                <w:color w:val="auto"/>
              </w:rPr>
              <w:t>2019</w:t>
            </w:r>
          </w:p>
        </w:tc>
      </w:tr>
      <w:tr>
        <w:trPr>
          <w:trHeight w:val="199"/>
        </w:trPr>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560"/>
              <w:spacing w:after="0" w:line="200" w:lineRule="exact"/>
              <w:rPr>
                <w:sz w:val="20"/>
                <w:szCs w:val="20"/>
                <w:color w:val="auto"/>
              </w:rPr>
            </w:pPr>
            <w:r>
              <w:rPr>
                <w:rFonts w:ascii="Georgia" w:cs="Georgia" w:eastAsia="Georgia" w:hAnsi="Georgia"/>
                <w:sz w:val="18"/>
                <w:szCs w:val="18"/>
                <w:color w:val="auto"/>
              </w:rPr>
              <w:t>(in Euros)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500" w:type="dxa"/>
            <w:vAlign w:val="bottom"/>
            <w:gridSpan w:val="2"/>
          </w:tcPr>
          <w:p>
            <w:pPr>
              <w:jc w:val="right"/>
              <w:ind w:right="340"/>
              <w:spacing w:after="0" w:line="203" w:lineRule="exact"/>
              <w:rPr>
                <w:sz w:val="20"/>
                <w:szCs w:val="20"/>
                <w:color w:val="auto"/>
              </w:rPr>
            </w:pPr>
            <w:r>
              <w:rPr>
                <w:rFonts w:ascii="Georgia" w:cs="Georgia" w:eastAsia="Georgia" w:hAnsi="Georgia"/>
                <w:sz w:val="18"/>
                <w:szCs w:val="18"/>
                <w:color w:val="auto"/>
              </w:rPr>
              <w:t>5,487,085</w:t>
            </w:r>
          </w:p>
        </w:tc>
        <w:tc>
          <w:tcPr>
            <w:tcW w:w="2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58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5,487,085</w:t>
            </w:r>
          </w:p>
        </w:tc>
        <w:tc>
          <w:tcPr>
            <w:tcW w:w="3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line="203" w:lineRule="exact"/>
              <w:rPr>
                <w:sz w:val="20"/>
                <w:szCs w:val="20"/>
                <w:color w:val="auto"/>
              </w:rPr>
            </w:pPr>
            <w:r>
              <w:rPr>
                <w:rFonts w:ascii="Georgia" w:cs="Georgia" w:eastAsia="Georgia" w:hAnsi="Georgia"/>
                <w:sz w:val="18"/>
                <w:szCs w:val="18"/>
                <w:color w:val="auto"/>
              </w:rPr>
              <w:t>5,487,085</w:t>
            </w:r>
          </w:p>
        </w:tc>
      </w:tr>
      <w:tr>
        <w:trPr>
          <w:trHeight w:val="217"/>
        </w:trPr>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24,241,891</w:t>
            </w: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14,066,434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7,815,593</w:t>
            </w:r>
          </w:p>
        </w:tc>
      </w:tr>
      <w:tr>
        <w:trPr>
          <w:trHeight w:val="28"/>
        </w:trPr>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r>
        <w:trPr>
          <w:trHeight w:val="215"/>
        </w:trPr>
        <w:tc>
          <w:tcPr>
            <w:tcW w:w="320" w:type="dxa"/>
            <w:vAlign w:val="bottom"/>
          </w:tcPr>
          <w:p>
            <w:pPr>
              <w:spacing w:after="0"/>
              <w:rPr>
                <w:sz w:val="20"/>
                <w:szCs w:val="20"/>
                <w:color w:val="auto"/>
              </w:rPr>
            </w:pPr>
            <w:r>
              <w:rPr>
                <w:rFonts w:ascii="Georgia" w:cs="Georgia" w:eastAsia="Georgia" w:hAnsi="Georgia"/>
                <w:sz w:val="18"/>
                <w:szCs w:val="18"/>
                <w:color w:val="auto"/>
              </w:rPr>
              <w:t>€</w:t>
            </w:r>
          </w:p>
        </w:tc>
        <w:tc>
          <w:tcPr>
            <w:tcW w:w="150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29,728,976</w:t>
            </w:r>
          </w:p>
        </w:tc>
        <w:tc>
          <w:tcPr>
            <w:tcW w:w="200" w:type="dxa"/>
            <w:vAlign w:val="bottom"/>
          </w:tcPr>
          <w:p>
            <w:pPr>
              <w:spacing w:after="0"/>
              <w:rPr>
                <w:sz w:val="20"/>
                <w:szCs w:val="20"/>
                <w:color w:val="auto"/>
              </w:rPr>
            </w:pPr>
            <w:r>
              <w:rPr>
                <w:rFonts w:ascii="Georgia" w:cs="Georgia" w:eastAsia="Georgia" w:hAnsi="Georgia"/>
                <w:sz w:val="18"/>
                <w:szCs w:val="18"/>
                <w:color w:val="auto"/>
              </w:rPr>
              <w:t>€</w:t>
            </w:r>
          </w:p>
        </w:tc>
        <w:tc>
          <w:tcPr>
            <w:tcW w:w="158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19,553,519</w:t>
            </w:r>
          </w:p>
        </w:tc>
        <w:tc>
          <w:tcPr>
            <w:tcW w:w="300" w:type="dxa"/>
            <w:vAlign w:val="bottom"/>
          </w:tcPr>
          <w:p>
            <w:pPr>
              <w:spacing w:after="0"/>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rPr>
                <w:sz w:val="20"/>
                <w:szCs w:val="20"/>
                <w:color w:val="auto"/>
              </w:rPr>
            </w:pPr>
            <w:r>
              <w:rPr>
                <w:rFonts w:ascii="Georgia" w:cs="Georgia" w:eastAsia="Georgia" w:hAnsi="Georgia"/>
                <w:sz w:val="18"/>
                <w:szCs w:val="18"/>
                <w:color w:val="auto"/>
              </w:rPr>
              <w:t>13,302,678</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-445135</wp:posOffset>
            </wp:positionV>
            <wp:extent cx="713232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-170815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5360" w:space="720"/>
            <w:col w:w="5160"/>
          </w:cols>
          <w:pgMar w:left="320" w:top="690" w:right="339" w:bottom="1440" w:gutter="0" w:footer="0" w:header="0"/>
          <w:type w:val="continuous"/>
        </w:sectPr>
      </w:pPr>
    </w:p>
    <w:p>
      <w:pPr>
        <w:ind w:right="460" w:firstLine="697"/>
        <w:spacing w:after="0" w:line="237" w:lineRule="auto"/>
        <w:rPr>
          <w:sz w:val="20"/>
          <w:szCs w:val="20"/>
          <w:color w:val="auto"/>
        </w:rPr>
      </w:pPr>
      <w:r>
        <w:rPr>
          <w:rFonts w:ascii="Georgia" w:cs="Georgia" w:eastAsia="Georgia" w:hAnsi="Georgia"/>
          <w:sz w:val="18"/>
          <w:szCs w:val="18"/>
          <w:color w:val="auto"/>
        </w:rPr>
        <w:t>At December 31, 2021 2020 and 2019, the Company believes there are no significant differences with regards to its deferred tax assets and its relevant components, compared to the computations of the preceding periods.</w:t>
      </w:r>
    </w:p>
    <w:p>
      <w:pPr>
        <w:spacing w:after="0" w:line="204"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years of operations starting from the inception of the Company. The impact of the updated calculation of tax losses carryforward at December 31, 2021 and 2020 is deemed not significant with respect of the preceding periods.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type w:val="continuous"/>
        </w:sectPr>
      </w:pPr>
    </w:p>
    <w:bookmarkStart w:id="155" w:name="page156"/>
    <w:bookmarkEnd w:id="155"/>
    <w:p>
      <w:pPr>
        <w:ind w:right="660" w:firstLine="647"/>
        <w:spacing w:after="0" w:line="237" w:lineRule="auto"/>
        <w:rPr>
          <w:sz w:val="20"/>
          <w:szCs w:val="20"/>
          <w:color w:val="auto"/>
        </w:rPr>
      </w:pPr>
      <w:r>
        <w:rPr>
          <w:rFonts w:ascii="Georgia" w:cs="Georgia" w:eastAsia="Georgia" w:hAnsi="Georgia"/>
          <w:sz w:val="18"/>
          <w:szCs w:val="18"/>
          <w:color w:val="auto"/>
        </w:rPr>
        <w:t>At December 31, 2021, deferred tax liabilities of €3,266 were accrued for foreign exchange gains recorded into the Company’s consolidated statements of operations and comprehensive loss, but taxable in future years at the time of actual realization.</w:t>
      </w:r>
    </w:p>
    <w:p>
      <w:pPr>
        <w:spacing w:after="0" w:line="204" w:lineRule="exact"/>
        <w:rPr>
          <w:sz w:val="20"/>
          <w:szCs w:val="20"/>
          <w:color w:val="auto"/>
        </w:rPr>
      </w:pPr>
    </w:p>
    <w:p>
      <w:pPr>
        <w:ind w:right="160" w:firstLine="647"/>
        <w:spacing w:after="0" w:line="237" w:lineRule="auto"/>
        <w:rPr>
          <w:sz w:val="20"/>
          <w:szCs w:val="20"/>
          <w:color w:val="auto"/>
        </w:rPr>
      </w:pPr>
      <w:r>
        <w:rPr>
          <w:rFonts w:ascii="Georgia" w:cs="Georgia" w:eastAsia="Georgia" w:hAnsi="Georgia"/>
          <w:sz w:val="18"/>
          <w:szCs w:val="18"/>
          <w:color w:val="auto"/>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clinical trial. Since the clinical trial is still in Phase I/2A, the time frame and uncertainties regarding the outcome of the completion justify the full allowance of deferred tax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gridSpan w:val="2"/>
          </w:tcPr>
          <w:p>
            <w:pPr>
              <w:spacing w:after="0"/>
              <w:rPr>
                <w:sz w:val="20"/>
                <w:szCs w:val="20"/>
                <w:color w:val="auto"/>
              </w:rPr>
            </w:pPr>
            <w:r>
              <w:rPr>
                <w:rFonts w:ascii="Georgia" w:cs="Georgia" w:eastAsia="Georgia" w:hAnsi="Georgia"/>
                <w:sz w:val="18"/>
                <w:szCs w:val="18"/>
                <w:b w:val="1"/>
                <w:bCs w:val="1"/>
                <w:color w:val="auto"/>
              </w:rPr>
              <w:t>6. Prepaid expenses and other current assets</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05"/>
        </w:trPr>
        <w:tc>
          <w:tcPr>
            <w:tcW w:w="5800" w:type="dxa"/>
            <w:vAlign w:val="bottom"/>
            <w:gridSpan w:val="2"/>
          </w:tcPr>
          <w:p>
            <w:pPr>
              <w:spacing w:after="0"/>
              <w:rPr>
                <w:sz w:val="20"/>
                <w:szCs w:val="20"/>
                <w:color w:val="auto"/>
              </w:rPr>
            </w:pPr>
            <w:r>
              <w:rPr>
                <w:rFonts w:ascii="Georgia" w:cs="Georgia" w:eastAsia="Georgia" w:hAnsi="Georgia"/>
                <w:sz w:val="18"/>
                <w:szCs w:val="18"/>
                <w:color w:val="auto"/>
              </w:rPr>
              <w:t>Prepaid expenses and other current assets consist of the following:</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left="630"/>
              <w:spacing w:after="0"/>
              <w:rPr>
                <w:sz w:val="20"/>
                <w:szCs w:val="20"/>
                <w:color w:val="auto"/>
              </w:rPr>
            </w:pPr>
            <w:r>
              <w:rPr>
                <w:rFonts w:ascii="Georgia" w:cs="Georgia" w:eastAsia="Georgia" w:hAnsi="Georgia"/>
                <w:sz w:val="18"/>
                <w:szCs w:val="18"/>
                <w:b w:val="1"/>
                <w:bCs w:val="1"/>
                <w:color w:val="auto"/>
                <w:w w:val="99"/>
              </w:rPr>
              <w:t>At December 31,</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Georgia" w:cs="Georgia" w:eastAsia="Georgia" w:hAnsi="Georgia"/>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Georgia" w:cs="Georgia" w:eastAsia="Georgia" w:hAnsi="Georgia"/>
                <w:sz w:val="18"/>
                <w:szCs w:val="18"/>
                <w:b w:val="1"/>
                <w:bCs w:val="1"/>
                <w:color w:val="auto"/>
                <w:w w:val="96"/>
              </w:rPr>
              <w:t>2020</w:t>
            </w:r>
          </w:p>
        </w:tc>
        <w:tc>
          <w:tcPr>
            <w:tcW w:w="80" w:type="dxa"/>
            <w:vAlign w:val="bottom"/>
          </w:tcPr>
          <w:p>
            <w:pPr>
              <w:spacing w:after="0"/>
              <w:rPr>
                <w:sz w:val="19"/>
                <w:szCs w:val="19"/>
                <w:color w:val="auto"/>
              </w:rPr>
            </w:pPr>
          </w:p>
        </w:tc>
      </w:tr>
      <w:tr>
        <w:trPr>
          <w:trHeight w:val="203"/>
        </w:trPr>
        <w:tc>
          <w:tcPr>
            <w:tcW w:w="11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4"/>
          </w:tcPr>
          <w:p>
            <w:pPr>
              <w:jc w:val="center"/>
              <w:ind w:left="650"/>
              <w:spacing w:after="0" w:line="202" w:lineRule="exact"/>
              <w:rPr>
                <w:sz w:val="20"/>
                <w:szCs w:val="20"/>
                <w:color w:val="auto"/>
              </w:rPr>
            </w:pPr>
            <w:r>
              <w:rPr>
                <w:rFonts w:ascii="Georgia" w:cs="Georgia" w:eastAsia="Georgia" w:hAnsi="Georgia"/>
                <w:sz w:val="18"/>
                <w:szCs w:val="18"/>
                <w:color w:val="auto"/>
                <w:w w:val="99"/>
              </w:rPr>
              <w:t>(in Euros)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Value Added Tax (VAT)</w:t>
            </w:r>
          </w:p>
        </w:tc>
        <w:tc>
          <w:tcPr>
            <w:tcW w:w="900" w:type="dxa"/>
            <w:vAlign w:val="bottom"/>
            <w:gridSpan w:val="2"/>
            <w:shd w:val="clear" w:color="auto" w:fill="CCEEFF"/>
          </w:tcPr>
          <w:p>
            <w:pPr>
              <w:ind w:left="520"/>
              <w:spacing w:after="0" w:line="202" w:lineRule="exact"/>
              <w:rPr>
                <w:sz w:val="20"/>
                <w:szCs w:val="20"/>
                <w:color w:val="auto"/>
              </w:rPr>
            </w:pPr>
            <w:r>
              <w:rPr>
                <w:rFonts w:ascii="Georgia" w:cs="Georgia" w:eastAsia="Georgia" w:hAnsi="Georgia"/>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820,780</w:t>
            </w: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480,000</w:t>
            </w:r>
          </w:p>
        </w:tc>
        <w:tc>
          <w:tcPr>
            <w:tcW w:w="80" w:type="dxa"/>
            <w:vAlign w:val="bottom"/>
            <w:shd w:val="clear" w:color="auto" w:fill="CCEEFF"/>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Georgia" w:cs="Georgia" w:eastAsia="Georgia" w:hAnsi="Georgia"/>
                <w:sz w:val="18"/>
                <w:szCs w:val="18"/>
                <w:color w:val="auto"/>
              </w:rPr>
              <w:t>Research and development tax credit</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Georgia" w:cs="Georgia" w:eastAsia="Georgia" w:hAnsi="Georgia"/>
                <w:sz w:val="18"/>
                <w:szCs w:val="18"/>
                <w:color w:val="auto"/>
              </w:rPr>
              <w:t>600,000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Georgia" w:cs="Georgia" w:eastAsia="Georgia" w:hAnsi="Georgia"/>
                <w:sz w:val="18"/>
                <w:szCs w:val="18"/>
                <w:color w:val="auto"/>
              </w:rPr>
              <w:t>280,631</w:t>
            </w:r>
          </w:p>
        </w:tc>
        <w:tc>
          <w:tcPr>
            <w:tcW w:w="8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Deferred offering costs</w:t>
            </w: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156,261</w:t>
            </w:r>
          </w:p>
        </w:tc>
        <w:tc>
          <w:tcPr>
            <w:tcW w:w="80" w:type="dxa"/>
            <w:vAlign w:val="bottom"/>
            <w:shd w:val="clear" w:color="auto" w:fill="CCEEFF"/>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Georgia" w:cs="Georgia" w:eastAsia="Georgia" w:hAnsi="Georgia"/>
                <w:sz w:val="18"/>
                <w:szCs w:val="18"/>
                <w:color w:val="auto"/>
              </w:rPr>
              <w:t>Advances to suppliers- related party</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Georgia" w:cs="Georgia" w:eastAsia="Georgia" w:hAnsi="Georgia"/>
                <w:sz w:val="18"/>
                <w:szCs w:val="18"/>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Georgia" w:cs="Georgia" w:eastAsia="Georgia" w:hAnsi="Georgia"/>
                <w:sz w:val="18"/>
                <w:szCs w:val="18"/>
                <w:color w:val="auto"/>
              </w:rPr>
              <w:t>121,432</w:t>
            </w:r>
          </w:p>
        </w:tc>
        <w:tc>
          <w:tcPr>
            <w:tcW w:w="8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Advances to suppliers</w:t>
            </w: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58,009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80" w:type="dxa"/>
            <w:vAlign w:val="bottom"/>
            <w:shd w:val="clear" w:color="auto" w:fill="CCEEFF"/>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Georgia" w:cs="Georgia" w:eastAsia="Georgia" w:hAnsi="Georgia"/>
                <w:sz w:val="18"/>
                <w:szCs w:val="18"/>
                <w:color w:val="auto"/>
              </w:rPr>
              <w:t>Other current assets</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Georgia" w:cs="Georgia" w:eastAsia="Georgia" w:hAnsi="Georgia"/>
                <w:sz w:val="18"/>
                <w:szCs w:val="18"/>
                <w:color w:val="auto"/>
              </w:rPr>
              <w:t>21,987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Georgia" w:cs="Georgia" w:eastAsia="Georgia" w:hAnsi="Georgia"/>
                <w:sz w:val="18"/>
                <w:szCs w:val="18"/>
                <w:color w:val="auto"/>
              </w:rPr>
              <w:t>-</w:t>
            </w:r>
          </w:p>
        </w:tc>
        <w:tc>
          <w:tcPr>
            <w:tcW w:w="80" w:type="dxa"/>
            <w:vAlign w:val="bottom"/>
          </w:tcPr>
          <w:p>
            <w:pPr>
              <w:spacing w:after="0"/>
              <w:rPr>
                <w:sz w:val="17"/>
                <w:szCs w:val="17"/>
                <w:color w:val="auto"/>
              </w:rPr>
            </w:pPr>
          </w:p>
        </w:tc>
      </w:tr>
      <w:tr>
        <w:trPr>
          <w:trHeight w:val="235"/>
        </w:trPr>
        <w:tc>
          <w:tcPr>
            <w:tcW w:w="114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spacing w:after="0" w:line="203" w:lineRule="exact"/>
              <w:rPr>
                <w:sz w:val="20"/>
                <w:szCs w:val="20"/>
                <w:color w:val="auto"/>
              </w:rPr>
            </w:pPr>
            <w:r>
              <w:rPr>
                <w:rFonts w:ascii="Georgia" w:cs="Georgia" w:eastAsia="Georgia" w:hAnsi="Georgia"/>
                <w:sz w:val="18"/>
                <w:szCs w:val="18"/>
                <w:color w:val="auto"/>
              </w:rPr>
              <w:t>Other prepaids</w:t>
            </w:r>
          </w:p>
        </w:tc>
        <w:tc>
          <w:tcPr>
            <w:tcW w:w="5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18,247</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30,609</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1140" w:type="dxa"/>
            <w:vAlign w:val="bottom"/>
          </w:tcPr>
          <w:p>
            <w:pPr>
              <w:spacing w:after="0"/>
              <w:rPr>
                <w:sz w:val="17"/>
                <w:szCs w:val="17"/>
                <w:color w:val="auto"/>
              </w:rPr>
            </w:pPr>
          </w:p>
        </w:tc>
        <w:tc>
          <w:tcPr>
            <w:tcW w:w="4660" w:type="dxa"/>
            <w:vAlign w:val="bottom"/>
          </w:tcPr>
          <w:p>
            <w:pPr>
              <w:spacing w:after="0" w:line="183" w:lineRule="exact"/>
              <w:rPr>
                <w:sz w:val="20"/>
                <w:szCs w:val="20"/>
                <w:color w:val="auto"/>
              </w:rPr>
            </w:pPr>
            <w:r>
              <w:rPr>
                <w:rFonts w:ascii="Georgia" w:cs="Georgia" w:eastAsia="Georgia" w:hAnsi="Georgia"/>
                <w:sz w:val="18"/>
                <w:szCs w:val="18"/>
                <w:color w:val="auto"/>
              </w:rPr>
              <w:t>Total</w:t>
            </w:r>
          </w:p>
        </w:tc>
        <w:tc>
          <w:tcPr>
            <w:tcW w:w="900" w:type="dxa"/>
            <w:vAlign w:val="bottom"/>
            <w:gridSpan w:val="2"/>
          </w:tcPr>
          <w:p>
            <w:pPr>
              <w:ind w:left="520"/>
              <w:spacing w:after="0" w:line="203" w:lineRule="exact"/>
              <w:rPr>
                <w:sz w:val="20"/>
                <w:szCs w:val="20"/>
                <w:color w:val="auto"/>
              </w:rPr>
            </w:pPr>
            <w:r>
              <w:rPr>
                <w:rFonts w:ascii="Georgia" w:cs="Georgia" w:eastAsia="Georgia" w:hAnsi="Georgia"/>
                <w:sz w:val="18"/>
                <w:szCs w:val="18"/>
                <w:color w:val="auto"/>
              </w:rPr>
              <w:t>€</w:t>
            </w:r>
          </w:p>
        </w:tc>
        <w:tc>
          <w:tcPr>
            <w:tcW w:w="1360" w:type="dxa"/>
            <w:vAlign w:val="bottom"/>
          </w:tcPr>
          <w:p>
            <w:pPr>
              <w:jc w:val="right"/>
              <w:spacing w:after="0" w:line="203" w:lineRule="exact"/>
              <w:rPr>
                <w:sz w:val="20"/>
                <w:szCs w:val="20"/>
                <w:color w:val="auto"/>
              </w:rPr>
            </w:pPr>
            <w:r>
              <w:rPr>
                <w:rFonts w:ascii="Georgia" w:cs="Georgia" w:eastAsia="Georgia" w:hAnsi="Georgia"/>
                <w:sz w:val="18"/>
                <w:szCs w:val="18"/>
                <w:color w:val="auto"/>
              </w:rPr>
              <w:t>1,519,023</w:t>
            </w:r>
          </w:p>
        </w:tc>
        <w:tc>
          <w:tcPr>
            <w:tcW w:w="240" w:type="dxa"/>
            <w:vAlign w:val="bottom"/>
          </w:tcPr>
          <w:p>
            <w:pPr>
              <w:spacing w:after="0"/>
              <w:rPr>
                <w:sz w:val="17"/>
                <w:szCs w:val="17"/>
                <w:color w:val="auto"/>
              </w:rPr>
            </w:pPr>
          </w:p>
        </w:tc>
        <w:tc>
          <w:tcPr>
            <w:tcW w:w="620" w:type="dxa"/>
            <w:vAlign w:val="bottom"/>
            <w:gridSpan w:val="2"/>
          </w:tcPr>
          <w:p>
            <w:pPr>
              <w:spacing w:after="0" w:line="203" w:lineRule="exact"/>
              <w:rPr>
                <w:sz w:val="20"/>
                <w:szCs w:val="20"/>
                <w:color w:val="auto"/>
              </w:rPr>
            </w:pPr>
            <w:r>
              <w:rPr>
                <w:rFonts w:ascii="Georgia" w:cs="Georgia" w:eastAsia="Georgia" w:hAnsi="Georgia"/>
                <w:sz w:val="18"/>
                <w:szCs w:val="18"/>
                <w:color w:val="auto"/>
              </w:rPr>
              <w:t>€</w:t>
            </w:r>
          </w:p>
        </w:tc>
        <w:tc>
          <w:tcPr>
            <w:tcW w:w="1120" w:type="dxa"/>
            <w:vAlign w:val="bottom"/>
          </w:tcPr>
          <w:p>
            <w:pPr>
              <w:jc w:val="right"/>
              <w:spacing w:after="0" w:line="203" w:lineRule="exact"/>
              <w:rPr>
                <w:sz w:val="20"/>
                <w:szCs w:val="20"/>
                <w:color w:val="auto"/>
              </w:rPr>
            </w:pPr>
            <w:r>
              <w:rPr>
                <w:rFonts w:ascii="Georgia" w:cs="Georgia" w:eastAsia="Georgia" w:hAnsi="Georgia"/>
                <w:sz w:val="18"/>
                <w:szCs w:val="18"/>
                <w:color w:val="auto"/>
              </w:rPr>
              <w:t>1,068,933</w:t>
            </w: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Value Added Tax (VAT) receivables are linked to purchases. Italian VAT (</w:t>
      </w:r>
      <w:r>
        <w:rPr>
          <w:rFonts w:ascii="Georgia" w:cs="Georgia" w:eastAsia="Georgia" w:hAnsi="Georgia"/>
          <w:sz w:val="18"/>
          <w:szCs w:val="18"/>
          <w:i w:val="1"/>
          <w:iCs w:val="1"/>
          <w:color w:val="auto"/>
        </w:rPr>
        <w:t>Imposta sul Valore Aggiunto</w:t>
      </w:r>
      <w:r>
        <w:rPr>
          <w:rFonts w:ascii="Georgia" w:cs="Georgia" w:eastAsia="Georgia" w:hAnsi="Georgia"/>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2021 and 2020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205" w:lineRule="exact"/>
        <w:rPr>
          <w:sz w:val="20"/>
          <w:szCs w:val="20"/>
          <w:color w:val="auto"/>
        </w:rPr>
      </w:pPr>
    </w:p>
    <w:p>
      <w:pPr>
        <w:ind w:right="200" w:firstLine="647"/>
        <w:spacing w:after="0" w:line="237" w:lineRule="auto"/>
        <w:rPr>
          <w:sz w:val="20"/>
          <w:szCs w:val="20"/>
          <w:color w:val="auto"/>
        </w:rPr>
      </w:pPr>
      <w:r>
        <w:rPr>
          <w:rFonts w:ascii="Georgia" w:cs="Georgia" w:eastAsia="Georgia" w:hAnsi="Georgia"/>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€4.1 million at December 31, 2021, and approximately €3.9 million at December 31, 2020,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2022 and 2023.</w:t>
      </w:r>
    </w:p>
    <w:p>
      <w:pPr>
        <w:spacing w:after="0" w:line="206" w:lineRule="exact"/>
        <w:rPr>
          <w:sz w:val="20"/>
          <w:szCs w:val="20"/>
          <w:color w:val="auto"/>
        </w:rPr>
      </w:pPr>
    </w:p>
    <w:p>
      <w:pPr>
        <w:ind w:right="180" w:firstLine="647"/>
        <w:spacing w:after="0" w:line="237" w:lineRule="auto"/>
        <w:rPr>
          <w:sz w:val="20"/>
          <w:szCs w:val="20"/>
          <w:color w:val="auto"/>
        </w:rPr>
      </w:pPr>
      <w:r>
        <w:rPr>
          <w:rFonts w:ascii="Georgia" w:cs="Georgia" w:eastAsia="Georgia" w:hAnsi="Georgia"/>
          <w:sz w:val="18"/>
          <w:szCs w:val="18"/>
          <w:color w:val="auto"/>
        </w:rPr>
        <w:t>During the 12 months period ended December 31, 2021, the Company utilized approximately €540,000 to offset certain social contributions and taxes payable, while during the financial year 2020, the Company utilized approximately €281,000. The benefit recorded for the 12 months ended December 31, 2021 and 2020, to offset research and development expenses was approximately €1,177,000 and €266,000, respectively. The Company reclassified to other non-current assets a portion of the receivable, which is expected to be realized beyond 12 months (see Note 8).</w:t>
      </w:r>
    </w:p>
    <w:p>
      <w:pPr>
        <w:spacing w:after="0" w:line="205" w:lineRule="exact"/>
        <w:rPr>
          <w:sz w:val="20"/>
          <w:szCs w:val="20"/>
          <w:color w:val="auto"/>
        </w:rPr>
      </w:pPr>
    </w:p>
    <w:p>
      <w:pPr>
        <w:ind w:right="480" w:firstLine="647"/>
        <w:spacing w:after="0" w:line="237" w:lineRule="auto"/>
        <w:rPr>
          <w:sz w:val="20"/>
          <w:szCs w:val="20"/>
          <w:color w:val="auto"/>
        </w:rPr>
      </w:pPr>
      <w:r>
        <w:rPr>
          <w:rFonts w:ascii="Georgia" w:cs="Georgia" w:eastAsia="Georgia" w:hAnsi="Georgia"/>
          <w:sz w:val="18"/>
          <w:szCs w:val="18"/>
          <w:color w:val="auto"/>
        </w:rPr>
        <w:t>The amount of €58,009 mainly relates to advance payment to suppliers for notary services of approximately €25,000 and other advance payments for operating services of approximately €32,000.</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Other current assets and other prepaids include minor amounts.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5"/>
        </w:trPr>
        <w:tc>
          <w:tcPr>
            <w:tcW w:w="5420" w:type="dxa"/>
            <w:vAlign w:val="bottom"/>
            <w:gridSpan w:val="2"/>
          </w:tcPr>
          <w:p>
            <w:pPr>
              <w:spacing w:after="0"/>
              <w:rPr>
                <w:sz w:val="20"/>
                <w:szCs w:val="20"/>
                <w:color w:val="auto"/>
              </w:rPr>
            </w:pPr>
            <w:r>
              <w:rPr>
                <w:rFonts w:ascii="Georgia" w:cs="Georgia" w:eastAsia="Georgia" w:hAnsi="Georgia"/>
                <w:sz w:val="18"/>
                <w:szCs w:val="18"/>
                <w:b w:val="1"/>
                <w:bCs w:val="1"/>
                <w:color w:val="auto"/>
              </w:rPr>
              <w:t>7. Property and equipment, net</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420" w:type="dxa"/>
            <w:vAlign w:val="bottom"/>
            <w:gridSpan w:val="2"/>
          </w:tcPr>
          <w:p>
            <w:pPr>
              <w:ind w:left="660"/>
              <w:spacing w:after="0"/>
              <w:rPr>
                <w:sz w:val="20"/>
                <w:szCs w:val="20"/>
                <w:color w:val="auto"/>
              </w:rPr>
            </w:pPr>
            <w:r>
              <w:rPr>
                <w:rFonts w:ascii="Georgia" w:cs="Georgia" w:eastAsia="Georgia" w:hAnsi="Georgia"/>
                <w:sz w:val="18"/>
                <w:szCs w:val="18"/>
                <w:color w:val="auto"/>
              </w:rPr>
              <w:t>Property and equipment consist of the following:</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Georgia" w:cs="Georgia" w:eastAsia="Georgia" w:hAnsi="Georgia"/>
                <w:sz w:val="18"/>
                <w:szCs w:val="18"/>
                <w:b w:val="1"/>
                <w:bCs w:val="1"/>
                <w:color w:val="auto"/>
                <w:w w:val="99"/>
              </w:rPr>
              <w:t>At December 31,</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Georgia" w:cs="Georgia" w:eastAsia="Georgia" w:hAnsi="Georgia"/>
                <w:sz w:val="18"/>
                <w:szCs w:val="18"/>
                <w:b w:val="1"/>
                <w:bCs w:val="1"/>
                <w:color w:val="auto"/>
              </w:rPr>
              <w:t>2021</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550"/>
              <w:spacing w:after="0"/>
              <w:rPr>
                <w:sz w:val="20"/>
                <w:szCs w:val="20"/>
                <w:color w:val="auto"/>
              </w:rPr>
            </w:pPr>
            <w:r>
              <w:rPr>
                <w:rFonts w:ascii="Georgia" w:cs="Georgia" w:eastAsia="Georgia" w:hAnsi="Georgia"/>
                <w:sz w:val="18"/>
                <w:szCs w:val="18"/>
                <w:b w:val="1"/>
                <w:bCs w:val="1"/>
                <w:color w:val="auto"/>
                <w:w w:val="96"/>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4"/>
          </w:tcPr>
          <w:p>
            <w:pPr>
              <w:jc w:val="center"/>
              <w:spacing w:after="0" w:line="202" w:lineRule="exact"/>
              <w:rPr>
                <w:sz w:val="20"/>
                <w:szCs w:val="20"/>
                <w:color w:val="auto"/>
              </w:rPr>
            </w:pPr>
            <w:r>
              <w:rPr>
                <w:rFonts w:ascii="Georgia" w:cs="Georgia" w:eastAsia="Georgia" w:hAnsi="Georgia"/>
                <w:sz w:val="18"/>
                <w:szCs w:val="18"/>
                <w:color w:val="auto"/>
                <w:w w:val="99"/>
              </w:rPr>
              <w:t>(in Euros)</w:t>
            </w: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Computer</w:t>
            </w:r>
          </w:p>
        </w:tc>
        <w:tc>
          <w:tcPr>
            <w:tcW w:w="2000" w:type="dxa"/>
            <w:vAlign w:val="bottom"/>
            <w:gridSpan w:val="2"/>
            <w:shd w:val="clear" w:color="auto" w:fill="CCEEFF"/>
          </w:tcPr>
          <w:p>
            <w:pPr>
              <w:ind w:left="900"/>
              <w:spacing w:after="0" w:line="202" w:lineRule="exact"/>
              <w:rPr>
                <w:sz w:val="20"/>
                <w:szCs w:val="20"/>
                <w:color w:val="auto"/>
              </w:rPr>
            </w:pPr>
            <w:r>
              <w:rPr>
                <w:rFonts w:ascii="Georgia" w:cs="Georgia" w:eastAsia="Georgia" w:hAnsi="Georgia"/>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24,869</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100"/>
              <w:spacing w:after="0" w:line="202" w:lineRule="exact"/>
              <w:rPr>
                <w:sz w:val="20"/>
                <w:szCs w:val="20"/>
                <w:color w:val="auto"/>
              </w:rPr>
            </w:pPr>
            <w:r>
              <w:rPr>
                <w:rFonts w:ascii="Georgia" w:cs="Georgia" w:eastAsia="Georgia" w:hAnsi="Georgia"/>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16,196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4280" w:type="dxa"/>
            <w:vAlign w:val="bottom"/>
            <w:tcBorders>
              <w:bottom w:val="single" w:sz="8" w:color="CCEEFF"/>
            </w:tcBorders>
          </w:tcPr>
          <w:p>
            <w:pPr>
              <w:spacing w:after="0" w:line="203" w:lineRule="exact"/>
              <w:rPr>
                <w:sz w:val="20"/>
                <w:szCs w:val="20"/>
                <w:color w:val="auto"/>
              </w:rPr>
            </w:pPr>
            <w:r>
              <w:rPr>
                <w:rFonts w:ascii="Georgia" w:cs="Georgia" w:eastAsia="Georgia" w:hAnsi="Georgia"/>
                <w:sz w:val="18"/>
                <w:szCs w:val="18"/>
                <w:color w:val="auto"/>
              </w:rPr>
              <w:t>Furniture and fixtures</w:t>
            </w:r>
          </w:p>
        </w:tc>
        <w:tc>
          <w:tcPr>
            <w:tcW w:w="9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5,010</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4,675</w:t>
            </w: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4280" w:type="dxa"/>
            <w:vAlign w:val="bottom"/>
            <w:shd w:val="clear" w:color="auto" w:fill="CCEEFF"/>
          </w:tcPr>
          <w:p>
            <w:pPr>
              <w:spacing w:after="0" w:line="182" w:lineRule="exact"/>
              <w:rPr>
                <w:sz w:val="20"/>
                <w:szCs w:val="20"/>
                <w:color w:val="auto"/>
              </w:rPr>
            </w:pPr>
            <w:r>
              <w:rPr>
                <w:rFonts w:ascii="Georgia" w:cs="Georgia" w:eastAsia="Georgia" w:hAnsi="Georgia"/>
                <w:sz w:val="18"/>
                <w:szCs w:val="18"/>
                <w:color w:val="auto"/>
              </w:rPr>
              <w:t>Total property and equipment</w:t>
            </w:r>
          </w:p>
        </w:tc>
        <w:tc>
          <w:tcPr>
            <w:tcW w:w="9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5" w:lineRule="exact"/>
              <w:rPr>
                <w:sz w:val="20"/>
                <w:szCs w:val="20"/>
                <w:color w:val="auto"/>
              </w:rPr>
            </w:pPr>
            <w:r>
              <w:rPr>
                <w:rFonts w:ascii="Georgia" w:cs="Georgia" w:eastAsia="Georgia" w:hAnsi="Georgia"/>
                <w:sz w:val="18"/>
                <w:szCs w:val="18"/>
                <w:color w:val="auto"/>
              </w:rPr>
              <w:t>29,879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5" w:lineRule="exact"/>
              <w:rPr>
                <w:sz w:val="20"/>
                <w:szCs w:val="20"/>
                <w:color w:val="auto"/>
              </w:rPr>
            </w:pPr>
            <w:r>
              <w:rPr>
                <w:rFonts w:ascii="Georgia" w:cs="Georgia" w:eastAsia="Georgia" w:hAnsi="Georgia"/>
                <w:sz w:val="18"/>
                <w:szCs w:val="18"/>
                <w:color w:val="auto"/>
              </w:rPr>
              <w:t>20,871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80" w:type="dxa"/>
            <w:vAlign w:val="bottom"/>
          </w:tcPr>
          <w:p>
            <w:pPr>
              <w:spacing w:after="0" w:line="203" w:lineRule="exact"/>
              <w:rPr>
                <w:sz w:val="20"/>
                <w:szCs w:val="20"/>
                <w:color w:val="auto"/>
              </w:rPr>
            </w:pPr>
            <w:r>
              <w:rPr>
                <w:rFonts w:ascii="Georgia" w:cs="Georgia" w:eastAsia="Georgia" w:hAnsi="Georgia"/>
                <w:sz w:val="18"/>
                <w:szCs w:val="18"/>
                <w:color w:val="auto"/>
              </w:rPr>
              <w:t>Less: accumulated depreciation</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Georgia" w:cs="Georgia" w:eastAsia="Georgia" w:hAnsi="Georgia"/>
                <w:sz w:val="18"/>
                <w:szCs w:val="18"/>
                <w:color w:val="auto"/>
              </w:rPr>
              <w:t>(6,789)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Georgia" w:cs="Georgia" w:eastAsia="Georgia" w:hAnsi="Georgia"/>
                <w:sz w:val="18"/>
                <w:szCs w:val="18"/>
                <w:color w:val="auto"/>
              </w:rPr>
              <w:t>(1,900)</w:t>
            </w: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28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Property and equipment, net</w:t>
            </w:r>
          </w:p>
        </w:tc>
        <w:tc>
          <w:tcPr>
            <w:tcW w:w="9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140" w:type="dxa"/>
            <w:vAlign w:val="bottom"/>
          </w:tcPr>
          <w:p>
            <w:pPr>
              <w:spacing w:after="0"/>
              <w:rPr>
                <w:sz w:val="18"/>
                <w:szCs w:val="18"/>
                <w:color w:val="auto"/>
              </w:rPr>
            </w:pPr>
          </w:p>
        </w:tc>
        <w:tc>
          <w:tcPr>
            <w:tcW w:w="4280" w:type="dxa"/>
            <w:vAlign w:val="bottom"/>
            <w:vMerge w:val="continue"/>
            <w:shd w:val="clear" w:color="auto" w:fill="CCEEFF"/>
          </w:tcPr>
          <w:p>
            <w:pPr>
              <w:spacing w:after="0"/>
              <w:rPr>
                <w:sz w:val="18"/>
                <w:szCs w:val="18"/>
                <w:color w:val="auto"/>
              </w:rPr>
            </w:pPr>
          </w:p>
        </w:tc>
        <w:tc>
          <w:tcPr>
            <w:tcW w:w="2000" w:type="dxa"/>
            <w:vAlign w:val="bottom"/>
            <w:gridSpan w:val="2"/>
            <w:shd w:val="clear" w:color="auto" w:fill="CCEEFF"/>
          </w:tcPr>
          <w:p>
            <w:pPr>
              <w:ind w:left="900"/>
              <w:spacing w:after="0"/>
              <w:rPr>
                <w:sz w:val="20"/>
                <w:szCs w:val="20"/>
                <w:color w:val="auto"/>
              </w:rPr>
            </w:pPr>
            <w:r>
              <w:rPr>
                <w:rFonts w:ascii="Georgia" w:cs="Georgia" w:eastAsia="Georgia" w:hAnsi="Georgia"/>
                <w:sz w:val="18"/>
                <w:szCs w:val="18"/>
                <w:color w:val="auto"/>
              </w:rPr>
              <w:t>€</w:t>
            </w:r>
          </w:p>
        </w:tc>
        <w:tc>
          <w:tcPr>
            <w:tcW w:w="64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23,090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Georgia" w:cs="Georgia" w:eastAsia="Georgia" w:hAnsi="Georgia"/>
                <w:sz w:val="18"/>
                <w:szCs w:val="18"/>
                <w:color w:val="auto"/>
              </w:rPr>
              <w:t>€</w:t>
            </w:r>
          </w:p>
        </w:tc>
        <w:tc>
          <w:tcPr>
            <w:tcW w:w="11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18,971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firstLine="648"/>
        <w:spacing w:after="0" w:line="237" w:lineRule="auto"/>
        <w:rPr>
          <w:sz w:val="20"/>
          <w:szCs w:val="20"/>
          <w:color w:val="auto"/>
        </w:rPr>
      </w:pPr>
      <w:r>
        <w:rPr>
          <w:rFonts w:ascii="Georgia" w:cs="Georgia" w:eastAsia="Georgia" w:hAnsi="Georgia"/>
          <w:sz w:val="18"/>
          <w:szCs w:val="18"/>
          <w:color w:val="auto"/>
        </w:rPr>
        <w:t>Property and equipment consist of computers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12 months ended December 31, 2021.</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Depreciation expense for the years ended December 31, 2021, and 2020 were €4,889 and €1,900, respectively.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8. Other non-current assets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Other non-current assets consist of the long-term portion of the VAT receivable and R&amp;D tax credit, as follows:</w:t>
      </w:r>
    </w:p>
    <w:tbl>
      <w:tblPr>
        <w:tblLayout w:type="fixed"/>
        <w:tblInd w:w="114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ind w:right="110"/>
              <w:spacing w:after="0" w:line="202" w:lineRule="exact"/>
              <w:rPr>
                <w:sz w:val="20"/>
                <w:szCs w:val="20"/>
                <w:color w:val="auto"/>
              </w:rPr>
            </w:pPr>
            <w:r>
              <w:rPr>
                <w:rFonts w:ascii="Georgia" w:cs="Georgia" w:eastAsia="Georgia" w:hAnsi="Georgia"/>
                <w:sz w:val="18"/>
                <w:szCs w:val="18"/>
                <w:b w:val="1"/>
                <w:bCs w:val="1"/>
                <w:color w:val="auto"/>
                <w:w w:val="95"/>
              </w:rPr>
              <w:t>At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line="202" w:lineRule="exact"/>
              <w:rPr>
                <w:sz w:val="20"/>
                <w:szCs w:val="20"/>
                <w:color w:val="auto"/>
              </w:rPr>
            </w:pPr>
            <w:r>
              <w:rPr>
                <w:rFonts w:ascii="Georgia" w:cs="Georgia" w:eastAsia="Georgia" w:hAnsi="Georgia"/>
                <w:sz w:val="18"/>
                <w:szCs w:val="18"/>
                <w:b w:val="1"/>
                <w:bCs w:val="1"/>
                <w:color w:val="auto"/>
              </w:rPr>
              <w:t>At</w:t>
            </w:r>
          </w:p>
        </w:tc>
      </w:tr>
      <w:tr>
        <w:trPr>
          <w:trHeight w:val="203"/>
        </w:trPr>
        <w:tc>
          <w:tcPr>
            <w:tcW w:w="4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ind w:right="110"/>
              <w:spacing w:after="0" w:line="203" w:lineRule="exact"/>
              <w:rPr>
                <w:sz w:val="20"/>
                <w:szCs w:val="20"/>
                <w:color w:val="auto"/>
              </w:rPr>
            </w:pPr>
            <w:r>
              <w:rPr>
                <w:rFonts w:ascii="Georgia" w:cs="Georgia" w:eastAsia="Georgia" w:hAnsi="Georgia"/>
                <w:sz w:val="18"/>
                <w:szCs w:val="18"/>
                <w:b w:val="1"/>
                <w:bCs w:val="1"/>
                <w:color w:val="auto"/>
                <w:w w:val="98"/>
              </w:rPr>
              <w:t>December 31,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line="203" w:lineRule="exact"/>
              <w:rPr>
                <w:sz w:val="20"/>
                <w:szCs w:val="20"/>
                <w:color w:val="auto"/>
              </w:rPr>
            </w:pPr>
            <w:r>
              <w:rPr>
                <w:rFonts w:ascii="Georgia" w:cs="Georgia" w:eastAsia="Georgia" w:hAnsi="Georgia"/>
                <w:sz w:val="18"/>
                <w:szCs w:val="18"/>
                <w:b w:val="1"/>
                <w:bCs w:val="1"/>
                <w:color w:val="auto"/>
              </w:rPr>
              <w:t>December 31,</w:t>
            </w:r>
          </w:p>
        </w:tc>
      </w:tr>
      <w:tr>
        <w:trPr>
          <w:trHeight w:val="225"/>
        </w:trPr>
        <w:tc>
          <w:tcPr>
            <w:tcW w:w="4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10"/>
              <w:spacing w:after="0"/>
              <w:rPr>
                <w:sz w:val="20"/>
                <w:szCs w:val="20"/>
                <w:color w:val="auto"/>
              </w:rPr>
            </w:pPr>
            <w:r>
              <w:rPr>
                <w:rFonts w:ascii="Georgia" w:cs="Georgia" w:eastAsia="Georgia" w:hAnsi="Georgia"/>
                <w:sz w:val="18"/>
                <w:szCs w:val="18"/>
                <w:b w:val="1"/>
                <w:bCs w:val="1"/>
                <w:color w:val="auto"/>
                <w:w w:val="99"/>
              </w:rPr>
              <w:t>2021</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10"/>
              <w:spacing w:after="0"/>
              <w:rPr>
                <w:sz w:val="20"/>
                <w:szCs w:val="20"/>
                <w:color w:val="auto"/>
              </w:rPr>
            </w:pPr>
            <w:r>
              <w:rPr>
                <w:rFonts w:ascii="Georgia" w:cs="Georgia" w:eastAsia="Georgia" w:hAnsi="Georgia"/>
                <w:sz w:val="18"/>
                <w:szCs w:val="18"/>
                <w:b w:val="1"/>
                <w:bCs w:val="1"/>
                <w:color w:val="auto"/>
              </w:rPr>
              <w:t>2020</w:t>
            </w:r>
          </w:p>
        </w:tc>
        <w:tc>
          <w:tcPr>
            <w:tcW w:w="80" w:type="dxa"/>
            <w:vAlign w:val="bottom"/>
          </w:tcPr>
          <w:p>
            <w:pPr>
              <w:spacing w:after="0"/>
              <w:rPr>
                <w:sz w:val="19"/>
                <w:szCs w:val="19"/>
                <w:color w:val="auto"/>
              </w:rPr>
            </w:pPr>
          </w:p>
        </w:tc>
      </w:tr>
      <w:tr>
        <w:trPr>
          <w:trHeight w:val="203"/>
        </w:trPr>
        <w:tc>
          <w:tcPr>
            <w:tcW w:w="4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gridSpan w:val="4"/>
          </w:tcPr>
          <w:p>
            <w:pPr>
              <w:jc w:val="right"/>
              <w:ind w:right="1370"/>
              <w:spacing w:after="0" w:line="202" w:lineRule="exact"/>
              <w:rPr>
                <w:sz w:val="20"/>
                <w:szCs w:val="20"/>
                <w:color w:val="auto"/>
              </w:rPr>
            </w:pPr>
            <w:r>
              <w:rPr>
                <w:rFonts w:ascii="Georgia" w:cs="Georgia" w:eastAsia="Georgia" w:hAnsi="Georgia"/>
                <w:sz w:val="18"/>
                <w:szCs w:val="18"/>
                <w:color w:val="auto"/>
              </w:rPr>
              <w:t>(in Euros)</w:t>
            </w:r>
          </w:p>
        </w:tc>
        <w:tc>
          <w:tcPr>
            <w:tcW w:w="80" w:type="dxa"/>
            <w:vAlign w:val="bottom"/>
          </w:tcPr>
          <w:p>
            <w:pPr>
              <w:spacing w:after="0"/>
              <w:rPr>
                <w:sz w:val="17"/>
                <w:szCs w:val="17"/>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Value Added Tax (VAT)</w:t>
            </w:r>
          </w:p>
        </w:tc>
        <w:tc>
          <w:tcPr>
            <w:tcW w:w="1300" w:type="dxa"/>
            <w:vAlign w:val="bottom"/>
            <w:gridSpan w:val="2"/>
            <w:shd w:val="clear" w:color="auto" w:fill="CCEEFF"/>
          </w:tcPr>
          <w:p>
            <w:pPr>
              <w:ind w:left="1120"/>
              <w:spacing w:after="0" w:line="202" w:lineRule="exact"/>
              <w:rPr>
                <w:sz w:val="20"/>
                <w:szCs w:val="20"/>
                <w:color w:val="auto"/>
              </w:rPr>
            </w:pPr>
            <w:r>
              <w:rPr>
                <w:rFonts w:ascii="Georgia" w:cs="Georgia" w:eastAsia="Georgia" w:hAnsi="Georgia"/>
                <w:sz w:val="18"/>
                <w:szCs w:val="18"/>
                <w:color w:val="auto"/>
              </w:rPr>
              <w:t>€</w:t>
            </w:r>
          </w:p>
        </w:tc>
        <w:tc>
          <w:tcPr>
            <w:tcW w:w="156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641,215</w:t>
            </w:r>
          </w:p>
        </w:tc>
        <w:tc>
          <w:tcPr>
            <w:tcW w:w="420" w:type="dxa"/>
            <w:vAlign w:val="bottom"/>
            <w:gridSpan w:val="2"/>
            <w:shd w:val="clear" w:color="auto" w:fill="CCEEFF"/>
          </w:tcPr>
          <w:p>
            <w:pPr>
              <w:ind w:left="240"/>
              <w:spacing w:after="0" w:line="202" w:lineRule="exact"/>
              <w:rPr>
                <w:sz w:val="20"/>
                <w:szCs w:val="20"/>
                <w:color w:val="auto"/>
              </w:rPr>
            </w:pPr>
            <w:r>
              <w:rPr>
                <w:rFonts w:ascii="Georgia" w:cs="Georgia" w:eastAsia="Georgia" w:hAnsi="Georgia"/>
                <w:sz w:val="18"/>
                <w:szCs w:val="18"/>
                <w:color w:val="auto"/>
              </w:rPr>
              <w:t>€</w:t>
            </w:r>
          </w:p>
        </w:tc>
        <w:tc>
          <w:tcPr>
            <w:tcW w:w="156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664,987</w:t>
            </w:r>
          </w:p>
        </w:tc>
        <w:tc>
          <w:tcPr>
            <w:tcW w:w="80" w:type="dxa"/>
            <w:vAlign w:val="bottom"/>
            <w:shd w:val="clear" w:color="auto" w:fill="CCEEFF"/>
          </w:tcPr>
          <w:p>
            <w:pPr>
              <w:spacing w:after="0"/>
              <w:rPr>
                <w:sz w:val="17"/>
                <w:szCs w:val="17"/>
                <w:color w:val="auto"/>
              </w:rPr>
            </w:pPr>
          </w:p>
        </w:tc>
      </w:tr>
      <w:tr>
        <w:trPr>
          <w:trHeight w:val="223"/>
        </w:trPr>
        <w:tc>
          <w:tcPr>
            <w:tcW w:w="4060" w:type="dxa"/>
            <w:vAlign w:val="bottom"/>
            <w:tcBorders>
              <w:bottom w:val="single" w:sz="8" w:color="CCEEFF"/>
            </w:tcBorders>
          </w:tcPr>
          <w:p>
            <w:pPr>
              <w:spacing w:after="0" w:line="203" w:lineRule="exact"/>
              <w:rPr>
                <w:sz w:val="20"/>
                <w:szCs w:val="20"/>
                <w:color w:val="auto"/>
              </w:rPr>
            </w:pPr>
            <w:r>
              <w:rPr>
                <w:rFonts w:ascii="Georgia" w:cs="Georgia" w:eastAsia="Georgia" w:hAnsi="Georgia"/>
                <w:sz w:val="18"/>
                <w:szCs w:val="18"/>
                <w:color w:val="auto"/>
              </w:rPr>
              <w:t>Research and development tax credit</w:t>
            </w: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600,000</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280,631</w:t>
            </w:r>
          </w:p>
        </w:tc>
        <w:tc>
          <w:tcPr>
            <w:tcW w:w="80" w:type="dxa"/>
            <w:vAlign w:val="bottom"/>
            <w:tcBorders>
              <w:bottom w:val="single" w:sz="8" w:color="CCEEFF"/>
            </w:tcBorders>
          </w:tcPr>
          <w:p>
            <w:pPr>
              <w:spacing w:after="0"/>
              <w:rPr>
                <w:sz w:val="19"/>
                <w:szCs w:val="19"/>
                <w:color w:val="auto"/>
              </w:rPr>
            </w:pPr>
          </w:p>
        </w:tc>
      </w:tr>
      <w:tr>
        <w:trPr>
          <w:trHeight w:val="215"/>
        </w:trPr>
        <w:tc>
          <w:tcPr>
            <w:tcW w:w="4060" w:type="dxa"/>
            <w:vAlign w:val="bottom"/>
            <w:shd w:val="clear" w:color="auto" w:fill="CCEEFF"/>
          </w:tcPr>
          <w:p>
            <w:pPr>
              <w:spacing w:after="0" w:line="190" w:lineRule="exact"/>
              <w:rPr>
                <w:sz w:val="20"/>
                <w:szCs w:val="20"/>
                <w:color w:val="auto"/>
              </w:rPr>
            </w:pPr>
            <w:r>
              <w:rPr>
                <w:rFonts w:ascii="Georgia" w:cs="Georgia" w:eastAsia="Georgia" w:hAnsi="Georgia"/>
                <w:sz w:val="18"/>
                <w:szCs w:val="18"/>
                <w:color w:val="auto"/>
              </w:rPr>
              <w:t>Total other non-current assets</w:t>
            </w:r>
          </w:p>
        </w:tc>
        <w:tc>
          <w:tcPr>
            <w:tcW w:w="1300" w:type="dxa"/>
            <w:vAlign w:val="bottom"/>
            <w:gridSpan w:val="2"/>
            <w:shd w:val="clear" w:color="auto" w:fill="CCEEFF"/>
          </w:tcPr>
          <w:p>
            <w:pPr>
              <w:ind w:left="1120"/>
              <w:spacing w:after="0"/>
              <w:rPr>
                <w:sz w:val="20"/>
                <w:szCs w:val="20"/>
                <w:color w:val="auto"/>
              </w:rPr>
            </w:pPr>
            <w:r>
              <w:rPr>
                <w:rFonts w:ascii="Georgia" w:cs="Georgia" w:eastAsia="Georgia" w:hAnsi="Georgia"/>
                <w:sz w:val="18"/>
                <w:szCs w:val="18"/>
                <w:color w:val="auto"/>
              </w:rPr>
              <w:t>€</w:t>
            </w:r>
          </w:p>
        </w:tc>
        <w:tc>
          <w:tcPr>
            <w:tcW w:w="15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1,241,215</w:t>
            </w:r>
          </w:p>
        </w:tc>
        <w:tc>
          <w:tcPr>
            <w:tcW w:w="420" w:type="dxa"/>
            <w:vAlign w:val="bottom"/>
            <w:gridSpan w:val="2"/>
            <w:shd w:val="clear" w:color="auto" w:fill="CCEEFF"/>
          </w:tcPr>
          <w:p>
            <w:pPr>
              <w:ind w:left="240"/>
              <w:spacing w:after="0"/>
              <w:rPr>
                <w:sz w:val="20"/>
                <w:szCs w:val="20"/>
                <w:color w:val="auto"/>
              </w:rPr>
            </w:pPr>
            <w:r>
              <w:rPr>
                <w:rFonts w:ascii="Georgia" w:cs="Georgia" w:eastAsia="Georgia" w:hAnsi="Georgia"/>
                <w:sz w:val="18"/>
                <w:szCs w:val="18"/>
                <w:color w:val="auto"/>
              </w:rPr>
              <w:t>€</w:t>
            </w:r>
          </w:p>
        </w:tc>
        <w:tc>
          <w:tcPr>
            <w:tcW w:w="156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945,618</w:t>
            </w:r>
          </w:p>
        </w:tc>
        <w:tc>
          <w:tcPr>
            <w:tcW w:w="80" w:type="dxa"/>
            <w:vAlign w:val="bottom"/>
            <w:shd w:val="clear" w:color="auto" w:fill="CCEEFF"/>
          </w:tcPr>
          <w:p>
            <w:pPr>
              <w:spacing w:after="0"/>
              <w:rPr>
                <w:sz w:val="18"/>
                <w:szCs w:val="18"/>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ind w:right="360" w:firstLine="647"/>
        <w:spacing w:after="0" w:line="237" w:lineRule="auto"/>
        <w:rPr>
          <w:sz w:val="20"/>
          <w:szCs w:val="20"/>
          <w:color w:val="auto"/>
        </w:rPr>
      </w:pPr>
      <w:r>
        <w:rPr>
          <w:rFonts w:ascii="Georgia" w:cs="Georgia" w:eastAsia="Georgia" w:hAnsi="Georgia"/>
          <w:sz w:val="18"/>
          <w:szCs w:val="18"/>
          <w:color w:val="auto"/>
        </w:rPr>
        <w:t>Research and development tax credit increased due to the increase in the utilization rate as explained above (See Note 6. Prepaid expenses and other current assets).</w:t>
      </w:r>
    </w:p>
    <w:p>
      <w:pPr>
        <w:spacing w:after="0" w:line="204" w:lineRule="exact"/>
        <w:rPr>
          <w:sz w:val="20"/>
          <w:szCs w:val="20"/>
          <w:color w:val="auto"/>
        </w:rPr>
      </w:pPr>
    </w:p>
    <w:p>
      <w:pPr>
        <w:ind w:right="440" w:firstLine="647"/>
        <w:spacing w:after="0" w:line="237" w:lineRule="auto"/>
        <w:rPr>
          <w:sz w:val="20"/>
          <w:szCs w:val="20"/>
          <w:color w:val="auto"/>
        </w:rPr>
      </w:pPr>
      <w:r>
        <w:rPr>
          <w:rFonts w:ascii="Georgia" w:cs="Georgia" w:eastAsia="Georgia" w:hAnsi="Georgia"/>
          <w:sz w:val="18"/>
          <w:szCs w:val="18"/>
          <w:color w:val="auto"/>
        </w:rPr>
        <w:t>In addition, other non-current assets - related party includes a security deposit of €3,350 paid to OSR - San Raffaele Hospital as security guarantee for the office lease contract. (See Note 13. Commitments and contingencies).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9. Retirement benefit obligation</w:t>
      </w:r>
    </w:p>
    <w:p>
      <w:pPr>
        <w:spacing w:after="0" w:line="202"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Georgia" w:cs="Georgia" w:eastAsia="Georgia" w:hAnsi="Georgia"/>
          <w:sz w:val="18"/>
          <w:szCs w:val="18"/>
          <w:i w:val="1"/>
          <w:iCs w:val="1"/>
          <w:color w:val="auto"/>
        </w:rPr>
        <w:t>Compensation – Retirement Benefits</w:t>
      </w:r>
      <w:r>
        <w:rPr>
          <w:rFonts w:ascii="Georgia" w:cs="Georgia" w:eastAsia="Georgia" w:hAnsi="Georgia"/>
          <w:sz w:val="18"/>
          <w:szCs w:val="18"/>
          <w:color w:val="auto"/>
        </w:rPr>
        <w:t>. The amount of the obligation at December 31, 2021 and 2020 was €30,618 and €17,388, respectively.</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10. Quotaholders’ and stockholders’ equity</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The Company was an S.r.l., which is an Italian limited liability company similar to a limited liability company in the United States. The Articles of Incorporation, Shareholders’ Agreement and the By-laws of the Company provided for different quotas, which represented the Company’s corporate capital, rather than shares of stock as ownership.</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157" w:name="page158"/>
    <w:bookmarkEnd w:id="157"/>
    <w:p>
      <w:pPr>
        <w:spacing w:after="0"/>
        <w:rPr>
          <w:sz w:val="20"/>
          <w:szCs w:val="20"/>
          <w:color w:val="auto"/>
        </w:rPr>
      </w:pPr>
      <w:r>
        <w:rPr>
          <w:rFonts w:ascii="Georgia" w:cs="Georgia" w:eastAsia="Georgia" w:hAnsi="Georgia"/>
          <w:sz w:val="18"/>
          <w:szCs w:val="18"/>
          <w:i w:val="1"/>
          <w:iCs w:val="1"/>
          <w:color w:val="auto"/>
        </w:rPr>
        <w:t>Corporate capital</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As an S.r.l., the Company’s ownership was called “corporate capital” and “quotas” rather than shares, stock or units.</w:t>
      </w:r>
    </w:p>
    <w:p>
      <w:pPr>
        <w:spacing w:after="0" w:line="200"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Company’s capital was divided between the five quotas as summarized below at December 31, 2020:</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center"/>
              <w:ind w:right="500"/>
              <w:spacing w:after="0"/>
              <w:rPr>
                <w:sz w:val="20"/>
                <w:szCs w:val="20"/>
                <w:color w:val="auto"/>
              </w:rPr>
            </w:pPr>
            <w:r>
              <w:rPr>
                <w:rFonts w:ascii="Georgia" w:cs="Georgia" w:eastAsia="Georgia" w:hAnsi="Georgia"/>
                <w:sz w:val="18"/>
                <w:szCs w:val="18"/>
                <w:color w:val="auto"/>
                <w:w w:val="98"/>
              </w:rPr>
              <w:t>At</w:t>
            </w: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center"/>
              <w:ind w:right="480"/>
              <w:spacing w:after="0" w:line="203" w:lineRule="exact"/>
              <w:rPr>
                <w:sz w:val="20"/>
                <w:szCs w:val="20"/>
                <w:color w:val="auto"/>
              </w:rPr>
            </w:pPr>
            <w:r>
              <w:rPr>
                <w:rFonts w:ascii="Georgia" w:cs="Georgia" w:eastAsia="Georgia" w:hAnsi="Georgia"/>
                <w:sz w:val="18"/>
                <w:szCs w:val="18"/>
                <w:color w:val="auto"/>
              </w:rPr>
              <w:t>December 31,</w:t>
            </w:r>
          </w:p>
        </w:tc>
        <w:tc>
          <w:tcPr>
            <w:tcW w:w="1860" w:type="dxa"/>
            <w:vAlign w:val="bottom"/>
            <w:gridSpan w:val="2"/>
          </w:tcPr>
          <w:p>
            <w:pPr>
              <w:jc w:val="right"/>
              <w:ind w:right="410"/>
              <w:spacing w:after="0" w:line="203" w:lineRule="exact"/>
              <w:rPr>
                <w:sz w:val="20"/>
                <w:szCs w:val="20"/>
                <w:color w:val="auto"/>
              </w:rPr>
            </w:pPr>
            <w:r>
              <w:rPr>
                <w:rFonts w:ascii="Georgia" w:cs="Georgia" w:eastAsia="Georgia" w:hAnsi="Georgia"/>
                <w:sz w:val="18"/>
                <w:szCs w:val="18"/>
                <w:b w:val="1"/>
                <w:bCs w:val="1"/>
                <w:color w:val="auto"/>
              </w:rPr>
              <w:t>Ownership</w:t>
            </w:r>
          </w:p>
        </w:tc>
        <w:tc>
          <w:tcPr>
            <w:tcW w:w="0" w:type="dxa"/>
            <w:vAlign w:val="bottom"/>
          </w:tcPr>
          <w:p>
            <w:pPr>
              <w:spacing w:after="0"/>
              <w:rPr>
                <w:sz w:val="1"/>
                <w:szCs w:val="1"/>
                <w:color w:val="auto"/>
              </w:rPr>
            </w:pPr>
          </w:p>
        </w:tc>
      </w:tr>
      <w:tr>
        <w:trPr>
          <w:trHeight w:val="225"/>
        </w:trPr>
        <w:tc>
          <w:tcPr>
            <w:tcW w:w="4960" w:type="dxa"/>
            <w:vAlign w:val="bottom"/>
            <w:tcBorders>
              <w:bottom w:val="single" w:sz="8" w:color="auto"/>
            </w:tcBorders>
          </w:tcPr>
          <w:p>
            <w:pPr>
              <w:spacing w:after="0"/>
              <w:rPr>
                <w:sz w:val="20"/>
                <w:szCs w:val="20"/>
                <w:color w:val="auto"/>
              </w:rPr>
            </w:pPr>
            <w:r>
              <w:rPr>
                <w:rFonts w:ascii="Georgia" w:cs="Georgia" w:eastAsia="Georgia" w:hAnsi="Georgia"/>
                <w:sz w:val="18"/>
                <w:szCs w:val="18"/>
                <w:b w:val="1"/>
                <w:bCs w:val="1"/>
                <w:color w:val="auto"/>
              </w:rPr>
              <w:t>Quota</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50"/>
              <w:spacing w:after="0"/>
              <w:rPr>
                <w:sz w:val="20"/>
                <w:szCs w:val="20"/>
                <w:color w:val="auto"/>
              </w:rPr>
            </w:pPr>
            <w:r>
              <w:rPr>
                <w:rFonts w:ascii="Georgia" w:cs="Georgia" w:eastAsia="Georgia" w:hAnsi="Georgia"/>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690"/>
              <w:spacing w:after="0"/>
              <w:rPr>
                <w:sz w:val="20"/>
                <w:szCs w:val="20"/>
                <w:color w:val="auto"/>
              </w:rPr>
            </w:pPr>
            <w:r>
              <w:rPr>
                <w:rFonts w:ascii="Georgia" w:cs="Georgia" w:eastAsia="Georgia" w:hAnsi="Georgia"/>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A</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center"/>
              <w:ind w:right="30"/>
              <w:spacing w:after="0" w:line="202" w:lineRule="exact"/>
              <w:rPr>
                <w:sz w:val="20"/>
                <w:szCs w:val="20"/>
                <w:color w:val="auto"/>
              </w:rPr>
            </w:pPr>
            <w:r>
              <w:rPr>
                <w:rFonts w:ascii="Georgia" w:cs="Georgia" w:eastAsia="Georgia" w:hAnsi="Georgia"/>
                <w:sz w:val="18"/>
                <w:szCs w:val="18"/>
                <w:color w:val="auto"/>
                <w:w w:val="86"/>
              </w:rPr>
              <w:t>€</w:t>
            </w:r>
          </w:p>
        </w:tc>
        <w:tc>
          <w:tcPr>
            <w:tcW w:w="15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10,458</w:t>
            </w:r>
          </w:p>
        </w:tc>
        <w:tc>
          <w:tcPr>
            <w:tcW w:w="2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28%</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Georgia" w:cs="Georgia" w:eastAsia="Georgia" w:hAnsi="Georgia"/>
                <w:sz w:val="18"/>
                <w:szCs w:val="18"/>
                <w:color w:val="auto"/>
              </w:rPr>
              <w:t>B</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Georgia" w:cs="Georgia" w:eastAsia="Georgia" w:hAnsi="Georgia"/>
                <w:sz w:val="18"/>
                <w:szCs w:val="18"/>
                <w:color w:val="auto"/>
              </w:rPr>
              <w:t>6,886</w:t>
            </w:r>
          </w:p>
        </w:tc>
        <w:tc>
          <w:tcPr>
            <w:tcW w:w="240" w:type="dxa"/>
            <w:vAlign w:val="bottom"/>
          </w:tcPr>
          <w:p>
            <w:pPr>
              <w:spacing w:after="0"/>
              <w:rPr>
                <w:sz w:val="17"/>
                <w:szCs w:val="17"/>
                <w:color w:val="auto"/>
              </w:rPr>
            </w:pPr>
          </w:p>
        </w:tc>
        <w:tc>
          <w:tcPr>
            <w:tcW w:w="186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19%</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8,645</w:t>
            </w:r>
          </w:p>
        </w:tc>
        <w:tc>
          <w:tcPr>
            <w:tcW w:w="2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23%</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Georgia" w:cs="Georgia" w:eastAsia="Georgia" w:hAnsi="Georgia"/>
                <w:sz w:val="18"/>
                <w:szCs w:val="18"/>
                <w:color w:val="auto"/>
              </w:rPr>
              <w:t>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Georgia" w:cs="Georgia" w:eastAsia="Georgia" w:hAnsi="Georgia"/>
                <w:sz w:val="18"/>
                <w:szCs w:val="18"/>
                <w:color w:val="auto"/>
              </w:rPr>
              <w:t>4,034</w:t>
            </w:r>
          </w:p>
        </w:tc>
        <w:tc>
          <w:tcPr>
            <w:tcW w:w="240" w:type="dxa"/>
            <w:vAlign w:val="bottom"/>
          </w:tcPr>
          <w:p>
            <w:pPr>
              <w:spacing w:after="0"/>
              <w:rPr>
                <w:sz w:val="17"/>
                <w:szCs w:val="17"/>
                <w:color w:val="auto"/>
              </w:rPr>
            </w:pPr>
          </w:p>
        </w:tc>
        <w:tc>
          <w:tcPr>
            <w:tcW w:w="1860" w:type="dxa"/>
            <w:vAlign w:val="bottom"/>
            <w:gridSpan w:val="2"/>
          </w:tcPr>
          <w:p>
            <w:pPr>
              <w:jc w:val="right"/>
              <w:spacing w:after="0" w:line="202" w:lineRule="exact"/>
              <w:rPr>
                <w:sz w:val="20"/>
                <w:szCs w:val="20"/>
                <w:color w:val="auto"/>
              </w:rPr>
            </w:pPr>
            <w:r>
              <w:rPr>
                <w:rFonts w:ascii="Georgia" w:cs="Georgia" w:eastAsia="Georgia" w:hAnsi="Georgia"/>
                <w:sz w:val="18"/>
                <w:szCs w:val="18"/>
                <w:color w:val="auto"/>
              </w:rPr>
              <w:t>11%</w:t>
            </w:r>
          </w:p>
        </w:tc>
        <w:tc>
          <w:tcPr>
            <w:tcW w:w="0" w:type="dxa"/>
            <w:vAlign w:val="bottom"/>
          </w:tcPr>
          <w:p>
            <w:pPr>
              <w:spacing w:after="0"/>
              <w:rPr>
                <w:sz w:val="1"/>
                <w:szCs w:val="1"/>
                <w:color w:val="auto"/>
              </w:rPr>
            </w:pPr>
          </w:p>
        </w:tc>
      </w:tr>
      <w:tr>
        <w:trPr>
          <w:trHeight w:val="215"/>
        </w:trPr>
        <w:tc>
          <w:tcPr>
            <w:tcW w:w="496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7,033</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Georgia" w:cs="Georgia" w:eastAsia="Georgia" w:hAnsi="Georgia"/>
                <w:sz w:val="18"/>
                <w:szCs w:val="18"/>
                <w:color w:val="auto"/>
              </w:rPr>
              <w:t>19%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vMerge w:val="restart"/>
          </w:tcPr>
          <w:p>
            <w:pPr>
              <w:spacing w:after="0" w:line="203" w:lineRule="exact"/>
              <w:rPr>
                <w:sz w:val="20"/>
                <w:szCs w:val="20"/>
                <w:color w:val="auto"/>
              </w:rPr>
            </w:pPr>
            <w:r>
              <w:rPr>
                <w:rFonts w:ascii="Georgia" w:cs="Georgia" w:eastAsia="Georgia" w:hAnsi="Georgia"/>
                <w:sz w:val="18"/>
                <w:szCs w:val="18"/>
                <w:b w:val="1"/>
                <w:bCs w:val="1"/>
                <w:color w:val="auto"/>
              </w:rPr>
              <w:t>Total</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line="203" w:lineRule="exact"/>
              <w:rPr>
                <w:sz w:val="20"/>
                <w:szCs w:val="20"/>
                <w:color w:val="auto"/>
              </w:rPr>
            </w:pPr>
            <w:r>
              <w:rPr>
                <w:rFonts w:ascii="Georgia" w:cs="Georgia" w:eastAsia="Georgia" w:hAnsi="Georgia"/>
                <w:sz w:val="18"/>
                <w:szCs w:val="18"/>
                <w:b w:val="1"/>
                <w:bCs w:val="1"/>
                <w:color w:val="auto"/>
                <w:w w:val="75"/>
              </w:rPr>
              <w:t>%</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400" w:type="dxa"/>
            <w:vAlign w:val="bottom"/>
            <w:gridSpan w:val="2"/>
          </w:tcPr>
          <w:p>
            <w:pPr>
              <w:jc w:val="center"/>
              <w:spacing w:after="0" w:line="203" w:lineRule="exact"/>
              <w:rPr>
                <w:sz w:val="20"/>
                <w:szCs w:val="20"/>
                <w:color w:val="auto"/>
              </w:rPr>
            </w:pPr>
            <w:r>
              <w:rPr>
                <w:rFonts w:ascii="Georgia" w:cs="Georgia" w:eastAsia="Georgia" w:hAnsi="Georgia"/>
                <w:sz w:val="18"/>
                <w:szCs w:val="18"/>
                <w:b w:val="1"/>
                <w:bCs w:val="1"/>
                <w:color w:val="auto"/>
              </w:rPr>
              <w:t>€</w:t>
            </w:r>
          </w:p>
        </w:tc>
        <w:tc>
          <w:tcPr>
            <w:tcW w:w="1520" w:type="dxa"/>
            <w:vAlign w:val="bottom"/>
          </w:tcPr>
          <w:p>
            <w:pPr>
              <w:jc w:val="right"/>
              <w:spacing w:after="0" w:line="203" w:lineRule="exact"/>
              <w:rPr>
                <w:sz w:val="20"/>
                <w:szCs w:val="20"/>
                <w:color w:val="auto"/>
              </w:rPr>
            </w:pPr>
            <w:r>
              <w:rPr>
                <w:rFonts w:ascii="Georgia" w:cs="Georgia" w:eastAsia="Georgia" w:hAnsi="Georgia"/>
                <w:sz w:val="18"/>
                <w:szCs w:val="18"/>
                <w:b w:val="1"/>
                <w:bCs w:val="1"/>
                <w:color w:val="auto"/>
              </w:rPr>
              <w:t>37,056</w:t>
            </w:r>
          </w:p>
        </w:tc>
        <w:tc>
          <w:tcPr>
            <w:tcW w:w="24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Georgia" w:cs="Georgia" w:eastAsia="Georgia" w:hAnsi="Georgia"/>
                <w:sz w:val="18"/>
                <w:szCs w:val="18"/>
                <w:b w:val="1"/>
                <w:bCs w:val="1"/>
                <w:color w:val="auto"/>
              </w:rPr>
              <w:t>100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Company had five (5) quotas:</w:t>
      </w:r>
    </w:p>
    <w:p>
      <w:pPr>
        <w:spacing w:after="0" w:line="202" w:lineRule="exact"/>
        <w:rPr>
          <w:sz w:val="20"/>
          <w:szCs w:val="20"/>
          <w:color w:val="auto"/>
        </w:rPr>
      </w:pPr>
    </w:p>
    <w:p>
      <w:pPr>
        <w:ind w:left="660" w:hanging="328"/>
        <w:spacing w:after="0"/>
        <w:tabs>
          <w:tab w:leader="none" w:pos="660" w:val="left"/>
        </w:tabs>
        <w:numPr>
          <w:ilvl w:val="0"/>
          <w:numId w:val="107"/>
        </w:numPr>
        <w:rPr>
          <w:rFonts w:ascii="Georgia" w:cs="Georgia" w:eastAsia="Georgia" w:hAnsi="Georgia"/>
          <w:sz w:val="17"/>
          <w:szCs w:val="17"/>
          <w:color w:val="auto"/>
        </w:rPr>
      </w:pPr>
      <w:r>
        <w:rPr>
          <w:rFonts w:ascii="Georgia" w:cs="Georgia" w:eastAsia="Georgia" w:hAnsi="Georgia"/>
          <w:sz w:val="17"/>
          <w:szCs w:val="17"/>
          <w:color w:val="auto"/>
        </w:rPr>
        <w:t>Quota A. Quota A was reserved for certain founders. One of the founders had the right to appoint three (3) board members out of five</w:t>
      </w:r>
    </w:p>
    <w:p>
      <w:pPr>
        <w:spacing w:after="0" w:line="9" w:lineRule="exact"/>
        <w:rPr>
          <w:rFonts w:ascii="Georgia" w:cs="Georgia" w:eastAsia="Georgia" w:hAnsi="Georgia"/>
          <w:sz w:val="17"/>
          <w:szCs w:val="17"/>
          <w:color w:val="auto"/>
        </w:rPr>
      </w:pPr>
    </w:p>
    <w:p>
      <w:pPr>
        <w:ind w:left="660" w:right="200"/>
        <w:spacing w:after="0" w:line="237" w:lineRule="auto"/>
        <w:rPr>
          <w:rFonts w:ascii="Georgia" w:cs="Georgia" w:eastAsia="Georgia" w:hAnsi="Georgia"/>
          <w:sz w:val="17"/>
          <w:szCs w:val="17"/>
          <w:color w:val="auto"/>
        </w:rPr>
      </w:pPr>
      <w:r>
        <w:rPr>
          <w:rFonts w:ascii="Georgia" w:cs="Georgia" w:eastAsia="Georgia" w:hAnsi="Georgia"/>
          <w:sz w:val="18"/>
          <w:szCs w:val="18"/>
          <w:color w:val="auto"/>
        </w:rPr>
        <w:t>(5),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204" w:lineRule="exact"/>
        <w:rPr>
          <w:rFonts w:ascii="Georgia" w:cs="Georgia" w:eastAsia="Georgia" w:hAnsi="Georgia"/>
          <w:sz w:val="17"/>
          <w:szCs w:val="17"/>
          <w:color w:val="auto"/>
        </w:rPr>
      </w:pPr>
    </w:p>
    <w:p>
      <w:pPr>
        <w:ind w:left="660" w:right="120" w:hanging="328"/>
        <w:spacing w:after="0" w:line="237" w:lineRule="auto"/>
        <w:tabs>
          <w:tab w:leader="none" w:pos="660" w:val="left"/>
        </w:tabs>
        <w:numPr>
          <w:ilvl w:val="0"/>
          <w:numId w:val="107"/>
        </w:numPr>
        <w:rPr>
          <w:rFonts w:ascii="Georgia" w:cs="Georgia" w:eastAsia="Georgia" w:hAnsi="Georgia"/>
          <w:sz w:val="18"/>
          <w:szCs w:val="18"/>
          <w:color w:val="auto"/>
        </w:rPr>
      </w:pPr>
      <w:r>
        <w:rPr>
          <w:rFonts w:ascii="Georgia" w:cs="Georgia" w:eastAsia="Georgia" w:hAnsi="Georgia"/>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204" w:lineRule="exact"/>
        <w:rPr>
          <w:rFonts w:ascii="Georgia" w:cs="Georgia" w:eastAsia="Georgia" w:hAnsi="Georgia"/>
          <w:sz w:val="18"/>
          <w:szCs w:val="18"/>
          <w:color w:val="auto"/>
        </w:rPr>
      </w:pPr>
    </w:p>
    <w:p>
      <w:pPr>
        <w:ind w:left="660" w:right="120" w:hanging="328"/>
        <w:spacing w:after="0" w:line="237" w:lineRule="auto"/>
        <w:tabs>
          <w:tab w:leader="none" w:pos="660" w:val="left"/>
        </w:tabs>
        <w:numPr>
          <w:ilvl w:val="0"/>
          <w:numId w:val="107"/>
        </w:numPr>
        <w:rPr>
          <w:rFonts w:ascii="Georgia" w:cs="Georgia" w:eastAsia="Georgia" w:hAnsi="Georgia"/>
          <w:sz w:val="18"/>
          <w:szCs w:val="18"/>
          <w:color w:val="auto"/>
        </w:rPr>
      </w:pPr>
      <w:r>
        <w:rPr>
          <w:rFonts w:ascii="Georgia" w:cs="Georgia" w:eastAsia="Georgia" w:hAnsi="Georgia"/>
          <w:sz w:val="18"/>
          <w:szCs w:val="18"/>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202" w:lineRule="exact"/>
        <w:rPr>
          <w:rFonts w:ascii="Georgia" w:cs="Georgia" w:eastAsia="Georgia" w:hAnsi="Georgia"/>
          <w:sz w:val="18"/>
          <w:szCs w:val="18"/>
          <w:color w:val="auto"/>
        </w:rPr>
      </w:pPr>
    </w:p>
    <w:p>
      <w:pPr>
        <w:ind w:left="660" w:hanging="328"/>
        <w:spacing w:after="0"/>
        <w:tabs>
          <w:tab w:leader="none" w:pos="660" w:val="left"/>
        </w:tabs>
        <w:numPr>
          <w:ilvl w:val="0"/>
          <w:numId w:val="107"/>
        </w:numPr>
        <w:rPr>
          <w:rFonts w:ascii="Georgia" w:cs="Georgia" w:eastAsia="Georgia" w:hAnsi="Georgia"/>
          <w:sz w:val="18"/>
          <w:szCs w:val="18"/>
          <w:color w:val="auto"/>
        </w:rPr>
      </w:pPr>
      <w:r>
        <w:rPr>
          <w:rFonts w:ascii="Georgia" w:cs="Georgia" w:eastAsia="Georgia" w:hAnsi="Georgia"/>
          <w:sz w:val="18"/>
          <w:szCs w:val="18"/>
          <w:color w:val="auto"/>
        </w:rPr>
        <w:t>Quota D. Investors received Quota D in the Company’s second funding round (2017) where approximately €7 million was raised.</w:t>
      </w:r>
    </w:p>
    <w:p>
      <w:pPr>
        <w:spacing w:after="0" w:line="201" w:lineRule="exact"/>
        <w:rPr>
          <w:rFonts w:ascii="Georgia" w:cs="Georgia" w:eastAsia="Georgia" w:hAnsi="Georgia"/>
          <w:sz w:val="18"/>
          <w:szCs w:val="18"/>
          <w:color w:val="auto"/>
        </w:rPr>
      </w:pPr>
    </w:p>
    <w:p>
      <w:pPr>
        <w:ind w:left="660" w:right="20" w:hanging="328"/>
        <w:spacing w:after="0" w:line="237" w:lineRule="auto"/>
        <w:tabs>
          <w:tab w:leader="none" w:pos="660" w:val="left"/>
        </w:tabs>
        <w:numPr>
          <w:ilvl w:val="0"/>
          <w:numId w:val="107"/>
        </w:numPr>
        <w:rPr>
          <w:rFonts w:ascii="Georgia" w:cs="Georgia" w:eastAsia="Georgia" w:hAnsi="Georgia"/>
          <w:sz w:val="18"/>
          <w:szCs w:val="18"/>
          <w:color w:val="auto"/>
        </w:rPr>
      </w:pPr>
      <w:r>
        <w:rPr>
          <w:rFonts w:ascii="Georgia" w:cs="Georgia" w:eastAsia="Georgia" w:hAnsi="Georgia"/>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204" w:lineRule="exact"/>
        <w:rPr>
          <w:rFonts w:ascii="Georgia" w:cs="Georgia" w:eastAsia="Georgia" w:hAnsi="Georgia"/>
          <w:sz w:val="18"/>
          <w:szCs w:val="18"/>
          <w:color w:val="auto"/>
        </w:rPr>
      </w:pPr>
    </w:p>
    <w:p>
      <w:pPr>
        <w:ind w:left="660" w:right="20" w:hanging="328"/>
        <w:spacing w:after="0" w:line="237" w:lineRule="auto"/>
        <w:tabs>
          <w:tab w:leader="none" w:pos="660" w:val="left"/>
        </w:tabs>
        <w:numPr>
          <w:ilvl w:val="0"/>
          <w:numId w:val="107"/>
        </w:numPr>
        <w:rPr>
          <w:rFonts w:ascii="Georgia" w:cs="Georgia" w:eastAsia="Georgia" w:hAnsi="Georgia"/>
          <w:sz w:val="18"/>
          <w:szCs w:val="18"/>
          <w:color w:val="auto"/>
        </w:rPr>
      </w:pPr>
      <w:r>
        <w:rPr>
          <w:rFonts w:ascii="Georgia" w:cs="Georgia" w:eastAsia="Georgia" w:hAnsi="Georgia"/>
          <w:sz w:val="18"/>
          <w:szCs w:val="18"/>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206"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During the year ended December 31, 2021, the following events occurred which together had a significant impact on the Company’s</w:t>
      </w:r>
    </w:p>
    <w:p>
      <w:pPr>
        <w:spacing w:after="0" w:line="238" w:lineRule="auto"/>
        <w:rPr>
          <w:sz w:val="20"/>
          <w:szCs w:val="20"/>
          <w:color w:val="auto"/>
        </w:rPr>
      </w:pPr>
      <w:r>
        <w:rPr>
          <w:rFonts w:ascii="Georgia" w:cs="Georgia" w:eastAsia="Georgia" w:hAnsi="Georgia"/>
          <w:sz w:val="18"/>
          <w:szCs w:val="18"/>
          <w:color w:val="auto"/>
        </w:rPr>
        <w:t>equity:</w:t>
      </w:r>
    </w:p>
    <w:p>
      <w:pPr>
        <w:spacing w:after="0" w:line="202" w:lineRule="exact"/>
        <w:rPr>
          <w:sz w:val="20"/>
          <w:szCs w:val="20"/>
          <w:color w:val="auto"/>
        </w:rPr>
      </w:pPr>
    </w:p>
    <w:p>
      <w:pPr>
        <w:ind w:right="160" w:firstLine="647"/>
        <w:spacing w:after="0" w:line="237" w:lineRule="auto"/>
        <w:rPr>
          <w:sz w:val="20"/>
          <w:szCs w:val="20"/>
          <w:color w:val="auto"/>
        </w:rPr>
      </w:pPr>
      <w:r>
        <w:rPr>
          <w:rFonts w:ascii="Georgia" w:cs="Georgia" w:eastAsia="Georgia" w:hAnsi="Georgia"/>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carry a par value of €1 per quota. The Corporate Capital amount was €37,771 (€37,056 corporate capital at December 31, 2020 + €715 exercise of Quota B options before the conversion).</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1" w:right="379" w:bottom="1440" w:gutter="0" w:footer="0" w:header="0"/>
        </w:sectPr>
      </w:pPr>
    </w:p>
    <w:bookmarkStart w:id="158" w:name="page159"/>
    <w:bookmarkEnd w:id="158"/>
    <w:p>
      <w:pPr>
        <w:ind w:right="100" w:firstLine="647"/>
        <w:spacing w:after="0" w:line="237" w:lineRule="auto"/>
        <w:rPr>
          <w:sz w:val="20"/>
          <w:szCs w:val="20"/>
          <w:color w:val="auto"/>
        </w:rPr>
      </w:pPr>
      <w:r>
        <w:rPr>
          <w:rFonts w:ascii="Georgia" w:cs="Georgia" w:eastAsia="Georgia" w:hAnsi="Georgia"/>
          <w:sz w:val="18"/>
          <w:szCs w:val="18"/>
          <w:color w:val="auto"/>
        </w:rPr>
        <w:t>On May 20, 2021, at a special Quotaholders’ meeting, the Quotaholders resolved to convert the Company from an S.r.l. to an S.p.A., which conversion became effective on June 18, 2021. As consequence of the conversion, the Corporate Capital was converted to ordinary common stock with no par value, and it was increased to €50,000 to satisfy the minimum capital requirement to qualify as an S.p.A. in Italy. This increase was an adjustment from additional paid-in capital to common stock, no par value.</w:t>
      </w:r>
    </w:p>
    <w:p>
      <w:pPr>
        <w:spacing w:after="0" w:line="205" w:lineRule="exact"/>
        <w:rPr>
          <w:sz w:val="20"/>
          <w:szCs w:val="20"/>
          <w:color w:val="auto"/>
        </w:rPr>
      </w:pPr>
    </w:p>
    <w:p>
      <w:pPr>
        <w:ind w:right="80" w:firstLine="647"/>
        <w:spacing w:after="0" w:line="237" w:lineRule="auto"/>
        <w:rPr>
          <w:sz w:val="20"/>
          <w:szCs w:val="20"/>
          <w:color w:val="auto"/>
        </w:rPr>
      </w:pPr>
      <w:r>
        <w:rPr>
          <w:rFonts w:ascii="Georgia" w:cs="Georgia" w:eastAsia="Georgia" w:hAnsi="Georgia"/>
          <w:sz w:val="18"/>
          <w:szCs w:val="18"/>
          <w:color w:val="auto"/>
        </w:rPr>
        <w:t>As a result of the Company conversion, the corporate capital was reclassified as ordinary common stock, no par value, combining the minimum capital amount of €50,000 with the additional paid-in capital for a total of €37,139,431. The outstanding quota of €50,000 before the conversion were all converted into 15 million shares of ordinary common stock, no par value, after the conversion at the same conversion rate of approximately 300 quota per share of ownership. All preferences related to the quota classes were terminated and all stockholders held ordinary common stock, no par value. All of shares outstanding after the conversion are held in ledger form. The Company adopted new Articles of Association and Bylaws, appointed two new directors and re-appointed the existing members of the Board of Directors and the existing Board of Statutory Auditors.</w:t>
      </w:r>
    </w:p>
    <w:p>
      <w:pPr>
        <w:spacing w:after="0" w:line="206" w:lineRule="exact"/>
        <w:rPr>
          <w:sz w:val="20"/>
          <w:szCs w:val="20"/>
          <w:color w:val="auto"/>
        </w:rPr>
      </w:pPr>
    </w:p>
    <w:p>
      <w:pPr>
        <w:jc w:val="both"/>
        <w:ind w:firstLine="647"/>
        <w:spacing w:after="0" w:line="237" w:lineRule="auto"/>
        <w:rPr>
          <w:sz w:val="20"/>
          <w:szCs w:val="20"/>
          <w:color w:val="auto"/>
        </w:rPr>
      </w:pPr>
      <w:r>
        <w:rPr>
          <w:rFonts w:ascii="Georgia" w:cs="Georgia" w:eastAsia="Georgia" w:hAnsi="Georgia"/>
          <w:sz w:val="18"/>
          <w:szCs w:val="18"/>
          <w:color w:val="auto"/>
        </w:rPr>
        <w:t>On December 15, 2021, the Company completed the IPO of its shares and was listed on the Nasdaq Stock Capital Market. Through the IPO, 3,120,114 new ordinary shares with no par value were issued. 720,114 ordinary shares were subscribed by the Company’s existing shareholders through a Reserved Offering, while 2.4 million ADS were directly placed on the market. Subsequently, on December 27, 2021, the Company’s underwriter exercised a portion of its “green shoe” allotment for an additional 96,744 ADS. The total number of shares outstanding resulting at December 31, 2021 was 18,216,858. Through the IPO, approximately €29 million was raised net of listing costs (approximately €3.9 million).</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11. Share-based compensation</w:t>
      </w:r>
    </w:p>
    <w:p>
      <w:pPr>
        <w:spacing w:after="0" w:line="202"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205" w:lineRule="exact"/>
        <w:rPr>
          <w:sz w:val="20"/>
          <w:szCs w:val="20"/>
          <w:color w:val="auto"/>
        </w:rPr>
      </w:pPr>
    </w:p>
    <w:p>
      <w:pPr>
        <w:ind w:right="40" w:firstLine="647"/>
        <w:spacing w:after="0" w:line="237" w:lineRule="auto"/>
        <w:rPr>
          <w:sz w:val="20"/>
          <w:szCs w:val="20"/>
          <w:color w:val="auto"/>
        </w:rPr>
      </w:pPr>
      <w:r>
        <w:rPr>
          <w:rFonts w:ascii="Georgia" w:cs="Georgia" w:eastAsia="Georgia" w:hAnsi="Georgia"/>
          <w:sz w:val="18"/>
          <w:szCs w:val="18"/>
          <w:color w:val="auto"/>
        </w:rPr>
        <w:t>At December 31, 2019, there were no options available for grant, as all remaining authorized options were granted in 2019; therefore, no options were granted in 2020. However, in April 2021, €172 of quota B shares were repurchased, cancelled and allocated to the option plan as available for grant. The Board approved new option grants on €169 of quota B and accelerated the vesting of options on €546 quota B and all options were exercised. The total of €715 quota B were issued and exercised in April 2021 with no options remaining outstanding at that time.</w:t>
      </w:r>
    </w:p>
    <w:p>
      <w:pPr>
        <w:spacing w:after="0" w:line="205" w:lineRule="exact"/>
        <w:rPr>
          <w:sz w:val="20"/>
          <w:szCs w:val="20"/>
          <w:color w:val="auto"/>
        </w:rPr>
      </w:pPr>
    </w:p>
    <w:p>
      <w:pPr>
        <w:ind w:right="120" w:firstLine="647"/>
        <w:spacing w:after="0" w:line="237" w:lineRule="auto"/>
        <w:rPr>
          <w:sz w:val="20"/>
          <w:szCs w:val="20"/>
          <w:color w:val="auto"/>
        </w:rPr>
      </w:pPr>
      <w:r>
        <w:rPr>
          <w:rFonts w:ascii="Georgia" w:cs="Georgia" w:eastAsia="Georgia" w:hAnsi="Georgia"/>
          <w:sz w:val="18"/>
          <w:szCs w:val="18"/>
          <w:color w:val="auto"/>
        </w:rPr>
        <w:t>In May 2021, in context of the corporate conversion from a limited liability company (società a responsabilità limitata, or S.r.l.) to a joint stock company (società per azioni, or an S.p.A.), the shareholders approved a capital increase to allow for issuance of up to 2.7 million ordinary shares, or 10% of the total outstanding common shares of the Company after the IPO, in the service of a four-year employees’ share option plan, “Equity Incentive Plan 2021–2025,” (the “Plan”) to be adopted by the board of directors. The Plan is administered by the Board of Directors in consultation with the Compensation, Nomination and Governance Committee. No options have been granted under the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9" w:name="page160"/>
    <w:bookmarkEnd w:id="159"/>
    <w:p>
      <w:pPr>
        <w:ind w:left="660"/>
        <w:spacing w:after="0"/>
        <w:rPr>
          <w:sz w:val="20"/>
          <w:szCs w:val="20"/>
          <w:color w:val="auto"/>
        </w:rPr>
      </w:pPr>
      <w:r>
        <w:rPr>
          <w:rFonts w:ascii="Georgia" w:cs="Georgia" w:eastAsia="Georgia" w:hAnsi="Georgia"/>
          <w:sz w:val="18"/>
          <w:szCs w:val="18"/>
          <w:color w:val="auto"/>
        </w:rPr>
        <w:t>At June 18, 2021, the date of the Company’s conversion to an S.p.A., and at December 31, 2021, there were no outstanding stock</w:t>
      </w: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line="203" w:lineRule="exact"/>
              <w:rPr>
                <w:sz w:val="20"/>
                <w:szCs w:val="20"/>
                <w:color w:val="auto"/>
              </w:rPr>
            </w:pPr>
            <w:r>
              <w:rPr>
                <w:rFonts w:ascii="Georgia" w:cs="Georgia" w:eastAsia="Georgia" w:hAnsi="Georgia"/>
                <w:sz w:val="18"/>
                <w:szCs w:val="18"/>
                <w:color w:val="auto"/>
              </w:rPr>
              <w:t>options.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vMerge w:val="restart"/>
          </w:tcPr>
          <w:p>
            <w:pPr>
              <w:jc w:val="center"/>
              <w:ind w:right="320"/>
              <w:spacing w:after="0"/>
              <w:rPr>
                <w:sz w:val="20"/>
                <w:szCs w:val="20"/>
                <w:color w:val="auto"/>
              </w:rPr>
            </w:pPr>
            <w:r>
              <w:rPr>
                <w:rFonts w:ascii="Georgia" w:cs="Georgia" w:eastAsia="Georgia" w:hAnsi="Georgia"/>
                <w:sz w:val="18"/>
                <w:szCs w:val="18"/>
                <w:b w:val="1"/>
                <w:bCs w:val="1"/>
                <w:color w:val="auto"/>
              </w:rPr>
              <w:t>Weighted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320"/>
              <w:spacing w:after="0" w:line="202" w:lineRule="exact"/>
              <w:rPr>
                <w:sz w:val="20"/>
                <w:szCs w:val="20"/>
                <w:color w:val="auto"/>
              </w:rPr>
            </w:pPr>
            <w:r>
              <w:rPr>
                <w:rFonts w:ascii="Georgia" w:cs="Georgia" w:eastAsia="Georgia" w:hAnsi="Georgia"/>
                <w:sz w:val="18"/>
                <w:szCs w:val="18"/>
                <w:b w:val="1"/>
                <w:bCs w:val="1"/>
                <w:color w:val="auto"/>
                <w:w w:val="98"/>
              </w:rPr>
              <w:t>Average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540" w:type="dxa"/>
            <w:vAlign w:val="bottom"/>
            <w:gridSpan w:val="2"/>
          </w:tcPr>
          <w:p>
            <w:pPr>
              <w:jc w:val="center"/>
              <w:ind w:right="180"/>
              <w:spacing w:after="0" w:line="202" w:lineRule="exact"/>
              <w:rPr>
                <w:sz w:val="20"/>
                <w:szCs w:val="20"/>
                <w:color w:val="auto"/>
              </w:rPr>
            </w:pPr>
            <w:r>
              <w:rPr>
                <w:rFonts w:ascii="Georgia" w:cs="Georgia" w:eastAsia="Georgia" w:hAnsi="Georgia"/>
                <w:sz w:val="18"/>
                <w:szCs w:val="18"/>
                <w:b w:val="1"/>
                <w:bCs w:val="1"/>
                <w:color w:val="auto"/>
                <w:w w:val="99"/>
              </w:rPr>
              <w:t>Number of</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500"/>
              <w:spacing w:after="0" w:line="202" w:lineRule="exact"/>
              <w:rPr>
                <w:sz w:val="20"/>
                <w:szCs w:val="20"/>
                <w:color w:val="auto"/>
              </w:rPr>
            </w:pPr>
            <w:r>
              <w:rPr>
                <w:rFonts w:ascii="Georgia" w:cs="Georgia" w:eastAsia="Georgia" w:hAnsi="Georgia"/>
                <w:sz w:val="18"/>
                <w:szCs w:val="18"/>
                <w:b w:val="1"/>
                <w:bCs w:val="1"/>
                <w:color w:val="auto"/>
                <w:w w:val="98"/>
              </w:rPr>
              <w:t>Weighted</w:t>
            </w:r>
          </w:p>
        </w:tc>
        <w:tc>
          <w:tcPr>
            <w:tcW w:w="1660" w:type="dxa"/>
            <w:vAlign w:val="bottom"/>
            <w:gridSpan w:val="2"/>
          </w:tcPr>
          <w:p>
            <w:pPr>
              <w:jc w:val="center"/>
              <w:ind w:right="320"/>
              <w:spacing w:after="0" w:line="202" w:lineRule="exact"/>
              <w:rPr>
                <w:sz w:val="20"/>
                <w:szCs w:val="20"/>
                <w:color w:val="auto"/>
              </w:rPr>
            </w:pPr>
            <w:r>
              <w:rPr>
                <w:rFonts w:ascii="Georgia" w:cs="Georgia" w:eastAsia="Georgia" w:hAnsi="Georgia"/>
                <w:sz w:val="18"/>
                <w:szCs w:val="18"/>
                <w:b w:val="1"/>
                <w:bCs w:val="1"/>
                <w:color w:val="auto"/>
              </w:rPr>
              <w:t>Remaining</w:t>
            </w:r>
          </w:p>
        </w:tc>
        <w:tc>
          <w:tcPr>
            <w:tcW w:w="160" w:type="dxa"/>
            <w:vAlign w:val="bottom"/>
          </w:tcPr>
          <w:p>
            <w:pPr>
              <w:spacing w:after="0"/>
              <w:rPr>
                <w:sz w:val="17"/>
                <w:szCs w:val="17"/>
                <w:color w:val="auto"/>
              </w:rPr>
            </w:pPr>
          </w:p>
        </w:tc>
        <w:tc>
          <w:tcPr>
            <w:tcW w:w="1300" w:type="dxa"/>
            <w:vAlign w:val="bottom"/>
            <w:gridSpan w:val="3"/>
          </w:tcPr>
          <w:p>
            <w:pPr>
              <w:jc w:val="center"/>
              <w:ind w:right="260"/>
              <w:spacing w:after="0" w:line="202" w:lineRule="exact"/>
              <w:rPr>
                <w:sz w:val="20"/>
                <w:szCs w:val="20"/>
                <w:color w:val="auto"/>
              </w:rPr>
            </w:pPr>
            <w:r>
              <w:rPr>
                <w:rFonts w:ascii="Georgia" w:cs="Georgia" w:eastAsia="Georgia" w:hAnsi="Georgia"/>
                <w:sz w:val="18"/>
                <w:szCs w:val="18"/>
                <w:b w:val="1"/>
                <w:bCs w:val="1"/>
                <w:color w:val="auto"/>
                <w:w w:val="99"/>
              </w:rPr>
              <w:t>Aggregate</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540" w:type="dxa"/>
            <w:vAlign w:val="bottom"/>
            <w:gridSpan w:val="2"/>
          </w:tcPr>
          <w:p>
            <w:pPr>
              <w:jc w:val="center"/>
              <w:ind w:right="200"/>
              <w:spacing w:after="0" w:line="202" w:lineRule="exact"/>
              <w:rPr>
                <w:sz w:val="20"/>
                <w:szCs w:val="20"/>
                <w:color w:val="auto"/>
              </w:rPr>
            </w:pPr>
            <w:r>
              <w:rPr>
                <w:rFonts w:ascii="Georgia" w:cs="Georgia" w:eastAsia="Georgia" w:hAnsi="Georgia"/>
                <w:sz w:val="18"/>
                <w:szCs w:val="18"/>
                <w:b w:val="1"/>
                <w:bCs w:val="1"/>
                <w:color w:val="auto"/>
              </w:rPr>
              <w:t>Options 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500"/>
              <w:spacing w:after="0" w:line="202" w:lineRule="exact"/>
              <w:rPr>
                <w:sz w:val="20"/>
                <w:szCs w:val="20"/>
                <w:color w:val="auto"/>
              </w:rPr>
            </w:pPr>
            <w:r>
              <w:rPr>
                <w:rFonts w:ascii="Georgia" w:cs="Georgia" w:eastAsia="Georgia" w:hAnsi="Georgia"/>
                <w:sz w:val="18"/>
                <w:szCs w:val="18"/>
                <w:b w:val="1"/>
                <w:bCs w:val="1"/>
                <w:color w:val="auto"/>
              </w:rPr>
              <w:t>Average</w:t>
            </w:r>
          </w:p>
        </w:tc>
        <w:tc>
          <w:tcPr>
            <w:tcW w:w="1660" w:type="dxa"/>
            <w:vAlign w:val="bottom"/>
            <w:gridSpan w:val="2"/>
          </w:tcPr>
          <w:p>
            <w:pPr>
              <w:jc w:val="center"/>
              <w:ind w:right="320"/>
              <w:spacing w:after="0" w:line="202" w:lineRule="exact"/>
              <w:rPr>
                <w:sz w:val="20"/>
                <w:szCs w:val="20"/>
                <w:color w:val="auto"/>
              </w:rPr>
            </w:pPr>
            <w:r>
              <w:rPr>
                <w:rFonts w:ascii="Georgia" w:cs="Georgia" w:eastAsia="Georgia" w:hAnsi="Georgia"/>
                <w:sz w:val="18"/>
                <w:szCs w:val="18"/>
                <w:b w:val="1"/>
                <w:bCs w:val="1"/>
                <w:color w:val="auto"/>
              </w:rPr>
              <w:t>Contractual</w:t>
            </w:r>
          </w:p>
        </w:tc>
        <w:tc>
          <w:tcPr>
            <w:tcW w:w="160" w:type="dxa"/>
            <w:vAlign w:val="bottom"/>
          </w:tcPr>
          <w:p>
            <w:pPr>
              <w:spacing w:after="0"/>
              <w:rPr>
                <w:sz w:val="17"/>
                <w:szCs w:val="17"/>
                <w:color w:val="auto"/>
              </w:rPr>
            </w:pPr>
          </w:p>
        </w:tc>
        <w:tc>
          <w:tcPr>
            <w:tcW w:w="1300" w:type="dxa"/>
            <w:vAlign w:val="bottom"/>
            <w:gridSpan w:val="3"/>
          </w:tcPr>
          <w:p>
            <w:pPr>
              <w:jc w:val="center"/>
              <w:ind w:right="260"/>
              <w:spacing w:after="0" w:line="202" w:lineRule="exact"/>
              <w:rPr>
                <w:sz w:val="20"/>
                <w:szCs w:val="20"/>
                <w:color w:val="auto"/>
              </w:rPr>
            </w:pPr>
            <w:r>
              <w:rPr>
                <w:rFonts w:ascii="Georgia" w:cs="Georgia" w:eastAsia="Georgia" w:hAnsi="Georgia"/>
                <w:sz w:val="18"/>
                <w:szCs w:val="18"/>
                <w:b w:val="1"/>
                <w:bCs w:val="1"/>
                <w:color w:val="auto"/>
                <w:w w:val="98"/>
              </w:rPr>
              <w:t>Intrinsic</w:t>
            </w: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1540" w:type="dxa"/>
            <w:vAlign w:val="bottom"/>
            <w:gridSpan w:val="2"/>
          </w:tcPr>
          <w:p>
            <w:pPr>
              <w:jc w:val="center"/>
              <w:ind w:right="180"/>
              <w:spacing w:after="0" w:line="203" w:lineRule="exact"/>
              <w:rPr>
                <w:sz w:val="20"/>
                <w:szCs w:val="20"/>
                <w:color w:val="auto"/>
              </w:rPr>
            </w:pPr>
            <w:r>
              <w:rPr>
                <w:rFonts w:ascii="Georgia" w:cs="Georgia" w:eastAsia="Georgia" w:hAnsi="Georgia"/>
                <w:sz w:val="18"/>
                <w:szCs w:val="18"/>
                <w:b w:val="1"/>
                <w:bCs w:val="1"/>
                <w:color w:val="auto"/>
                <w:w w:val="99"/>
              </w:rPr>
              <w:t>Quota</w:t>
            </w:r>
          </w:p>
        </w:tc>
        <w:tc>
          <w:tcPr>
            <w:tcW w:w="160" w:type="dxa"/>
            <w:vAlign w:val="bottom"/>
          </w:tcPr>
          <w:p>
            <w:pPr>
              <w:spacing w:after="0"/>
              <w:rPr>
                <w:sz w:val="18"/>
                <w:szCs w:val="18"/>
                <w:color w:val="auto"/>
              </w:rPr>
            </w:pPr>
          </w:p>
        </w:tc>
        <w:tc>
          <w:tcPr>
            <w:tcW w:w="1680" w:type="dxa"/>
            <w:vAlign w:val="bottom"/>
            <w:gridSpan w:val="3"/>
          </w:tcPr>
          <w:p>
            <w:pPr>
              <w:ind w:left="20"/>
              <w:spacing w:after="0" w:line="203" w:lineRule="exact"/>
              <w:rPr>
                <w:sz w:val="20"/>
                <w:szCs w:val="20"/>
                <w:color w:val="auto"/>
              </w:rPr>
            </w:pPr>
            <w:r>
              <w:rPr>
                <w:rFonts w:ascii="Georgia" w:cs="Georgia" w:eastAsia="Georgia" w:hAnsi="Georgia"/>
                <w:sz w:val="18"/>
                <w:szCs w:val="18"/>
                <w:b w:val="1"/>
                <w:bCs w:val="1"/>
                <w:color w:val="auto"/>
              </w:rPr>
              <w:t>Exercise Price</w:t>
            </w:r>
          </w:p>
        </w:tc>
        <w:tc>
          <w:tcPr>
            <w:tcW w:w="1660" w:type="dxa"/>
            <w:vAlign w:val="bottom"/>
            <w:gridSpan w:val="2"/>
          </w:tcPr>
          <w:p>
            <w:pPr>
              <w:jc w:val="center"/>
              <w:ind w:right="320"/>
              <w:spacing w:after="0" w:line="203" w:lineRule="exact"/>
              <w:rPr>
                <w:sz w:val="20"/>
                <w:szCs w:val="20"/>
                <w:color w:val="auto"/>
              </w:rPr>
            </w:pPr>
            <w:r>
              <w:rPr>
                <w:rFonts w:ascii="Georgia" w:cs="Georgia" w:eastAsia="Georgia" w:hAnsi="Georgia"/>
                <w:sz w:val="18"/>
                <w:szCs w:val="18"/>
                <w:b w:val="1"/>
                <w:bCs w:val="1"/>
                <w:color w:val="auto"/>
                <w:w w:val="98"/>
              </w:rPr>
              <w:t>Term (Years)</w:t>
            </w:r>
          </w:p>
        </w:tc>
        <w:tc>
          <w:tcPr>
            <w:tcW w:w="160" w:type="dxa"/>
            <w:vAlign w:val="bottom"/>
          </w:tcPr>
          <w:p>
            <w:pPr>
              <w:spacing w:after="0"/>
              <w:rPr>
                <w:sz w:val="18"/>
                <w:szCs w:val="18"/>
                <w:color w:val="auto"/>
              </w:rPr>
            </w:pPr>
          </w:p>
        </w:tc>
        <w:tc>
          <w:tcPr>
            <w:tcW w:w="1300" w:type="dxa"/>
            <w:vAlign w:val="bottom"/>
            <w:gridSpan w:val="3"/>
          </w:tcPr>
          <w:p>
            <w:pPr>
              <w:jc w:val="center"/>
              <w:ind w:right="260"/>
              <w:spacing w:after="0" w:line="203" w:lineRule="exact"/>
              <w:rPr>
                <w:sz w:val="20"/>
                <w:szCs w:val="20"/>
                <w:color w:val="auto"/>
              </w:rPr>
            </w:pPr>
            <w:r>
              <w:rPr>
                <w:rFonts w:ascii="Georgia" w:cs="Georgia" w:eastAsia="Georgia" w:hAnsi="Georgia"/>
                <w:sz w:val="18"/>
                <w:szCs w:val="18"/>
                <w:b w:val="1"/>
                <w:bCs w:val="1"/>
                <w:color w:val="auto"/>
                <w:w w:val="97"/>
              </w:rPr>
              <w:t>Value</w:t>
            </w:r>
          </w:p>
        </w:tc>
        <w:tc>
          <w:tcPr>
            <w:tcW w:w="0" w:type="dxa"/>
            <w:vAlign w:val="bottom"/>
          </w:tcPr>
          <w:p>
            <w:pPr>
              <w:spacing w:after="0"/>
              <w:rPr>
                <w:sz w:val="1"/>
                <w:szCs w:val="1"/>
                <w:color w:val="auto"/>
              </w:rPr>
            </w:pPr>
          </w:p>
        </w:tc>
      </w:tr>
      <w:tr>
        <w:trPr>
          <w:trHeight w:val="186"/>
        </w:trPr>
        <w:tc>
          <w:tcPr>
            <w:tcW w:w="4740" w:type="dxa"/>
            <w:vAlign w:val="bottom"/>
            <w:tcBorders>
              <w:top w:val="single" w:sz="8" w:color="CCEEFF"/>
            </w:tcBorders>
            <w:shd w:val="clear" w:color="auto" w:fill="CCEEFF"/>
          </w:tcPr>
          <w:p>
            <w:pPr>
              <w:spacing w:after="0" w:line="186" w:lineRule="exact"/>
              <w:rPr>
                <w:sz w:val="20"/>
                <w:szCs w:val="20"/>
                <w:color w:val="auto"/>
              </w:rPr>
            </w:pPr>
            <w:r>
              <w:rPr>
                <w:rFonts w:ascii="Georgia" w:cs="Georgia" w:eastAsia="Georgia" w:hAnsi="Georgia"/>
                <w:sz w:val="18"/>
                <w:szCs w:val="18"/>
                <w:color w:val="auto"/>
              </w:rPr>
              <w:t>Outstanding, vested and expected to vest as of</w:t>
            </w: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December 31, 2019</w:t>
            </w:r>
          </w:p>
        </w:tc>
        <w:tc>
          <w:tcPr>
            <w:tcW w:w="154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982</w:t>
            </w:r>
          </w:p>
        </w:tc>
        <w:tc>
          <w:tcPr>
            <w:tcW w:w="340" w:type="dxa"/>
            <w:vAlign w:val="bottom"/>
            <w:gridSpan w:val="2"/>
            <w:shd w:val="clear" w:color="auto" w:fill="CCEEFF"/>
          </w:tcPr>
          <w:p>
            <w:pPr>
              <w:ind w:left="160"/>
              <w:spacing w:after="0"/>
              <w:rPr>
                <w:sz w:val="20"/>
                <w:szCs w:val="20"/>
                <w:color w:val="auto"/>
              </w:rPr>
            </w:pPr>
            <w:r>
              <w:rPr>
                <w:rFonts w:ascii="Georgia" w:cs="Georgia" w:eastAsia="Georgia" w:hAnsi="Georgia"/>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2</w:t>
            </w:r>
          </w:p>
        </w:tc>
        <w:tc>
          <w:tcPr>
            <w:tcW w:w="16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Georgia" w:cs="Georgia" w:eastAsia="Georgia" w:hAnsi="Georgia"/>
                <w:sz w:val="18"/>
                <w:szCs w:val="18"/>
                <w:color w:val="auto"/>
              </w:rPr>
              <w:t>1,056,316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40" w:type="dxa"/>
            <w:vAlign w:val="bottom"/>
            <w:tcBorders>
              <w:top w:val="single" w:sz="8" w:color="CCEEFF"/>
            </w:tcBorders>
          </w:tcPr>
          <w:p>
            <w:pPr>
              <w:spacing w:after="0" w:line="188" w:lineRule="exact"/>
              <w:rPr>
                <w:sz w:val="20"/>
                <w:szCs w:val="20"/>
                <w:color w:val="auto"/>
              </w:rPr>
            </w:pPr>
            <w:r>
              <w:rPr>
                <w:rFonts w:ascii="Georgia" w:cs="Georgia" w:eastAsia="Georgia" w:hAnsi="Georgia"/>
                <w:sz w:val="18"/>
                <w:szCs w:val="18"/>
                <w:color w:val="auto"/>
              </w:rPr>
              <w:t>Granted</w:t>
            </w:r>
          </w:p>
        </w:tc>
        <w:tc>
          <w:tcPr>
            <w:tcW w:w="136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320" w:type="dxa"/>
            <w:vAlign w:val="bottom"/>
            <w:tcBorders>
              <w:top w:val="single" w:sz="8" w:color="CCEEFF"/>
            </w:tcBorders>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Vested and exercised</w:t>
            </w:r>
          </w:p>
        </w:tc>
        <w:tc>
          <w:tcPr>
            <w:tcW w:w="1540" w:type="dxa"/>
            <w:vAlign w:val="bottom"/>
            <w:gridSpan w:val="2"/>
            <w:shd w:val="clear" w:color="auto" w:fill="CCEEFF"/>
          </w:tcPr>
          <w:p>
            <w:pPr>
              <w:jc w:val="right"/>
              <w:ind w:right="180"/>
              <w:spacing w:after="0" w:line="202" w:lineRule="exact"/>
              <w:rPr>
                <w:sz w:val="20"/>
                <w:szCs w:val="20"/>
                <w:color w:val="auto"/>
              </w:rPr>
            </w:pPr>
            <w:r>
              <w:rPr>
                <w:rFonts w:ascii="Georgia" w:cs="Georgia" w:eastAsia="Georgia" w:hAnsi="Georgia"/>
                <w:sz w:val="18"/>
                <w:szCs w:val="18"/>
                <w:color w:val="auto"/>
              </w:rPr>
              <w:t>436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1</w:t>
            </w:r>
          </w:p>
        </w:tc>
        <w:tc>
          <w:tcPr>
            <w:tcW w:w="166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1</w:t>
            </w:r>
          </w:p>
        </w:tc>
        <w:tc>
          <w:tcPr>
            <w:tcW w:w="1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472,184</w:t>
            </w:r>
          </w:p>
        </w:tc>
        <w:tc>
          <w:tcPr>
            <w:tcW w:w="0" w:type="dxa"/>
            <w:vAlign w:val="bottom"/>
          </w:tcPr>
          <w:p>
            <w:pPr>
              <w:spacing w:after="0"/>
              <w:rPr>
                <w:sz w:val="1"/>
                <w:szCs w:val="1"/>
                <w:color w:val="auto"/>
              </w:rPr>
            </w:pPr>
          </w:p>
        </w:tc>
      </w:tr>
      <w:tr>
        <w:trPr>
          <w:trHeight w:val="223"/>
        </w:trPr>
        <w:tc>
          <w:tcPr>
            <w:tcW w:w="4740" w:type="dxa"/>
            <w:vAlign w:val="bottom"/>
          </w:tcPr>
          <w:p>
            <w:pPr>
              <w:spacing w:after="0" w:line="203" w:lineRule="exact"/>
              <w:rPr>
                <w:sz w:val="20"/>
                <w:szCs w:val="20"/>
                <w:color w:val="auto"/>
              </w:rPr>
            </w:pPr>
            <w:r>
              <w:rPr>
                <w:rFonts w:ascii="Georgia" w:cs="Georgia" w:eastAsia="Georgia" w:hAnsi="Georgia"/>
                <w:sz w:val="18"/>
                <w:szCs w:val="18"/>
                <w:color w:val="auto"/>
              </w:rPr>
              <w:t>Cancelled or forfeited</w:t>
            </w:r>
          </w:p>
        </w:tc>
        <w:tc>
          <w:tcPr>
            <w:tcW w:w="1540" w:type="dxa"/>
            <w:vAlign w:val="bottom"/>
            <w:gridSpan w:val="2"/>
          </w:tcPr>
          <w:p>
            <w:pPr>
              <w:jc w:val="right"/>
              <w:ind w:right="180"/>
              <w:spacing w:after="0"/>
              <w:rPr>
                <w:sz w:val="20"/>
                <w:szCs w:val="20"/>
                <w:color w:val="auto"/>
              </w:rPr>
            </w:pPr>
            <w:r>
              <w:rPr>
                <w:rFonts w:ascii="Georgia" w:cs="Georgia" w:eastAsia="Georgia" w:hAnsi="Georgia"/>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w:t>
            </w:r>
          </w:p>
        </w:tc>
        <w:tc>
          <w:tcPr>
            <w:tcW w:w="166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Georgia" w:cs="Georgia" w:eastAsia="Georgia" w:hAnsi="Georgia"/>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740" w:type="dxa"/>
            <w:vAlign w:val="bottom"/>
            <w:tcBorders>
              <w:top w:val="single" w:sz="8" w:color="CCEEFF"/>
            </w:tcBorders>
            <w:shd w:val="clear" w:color="auto" w:fill="CCEEFF"/>
          </w:tcPr>
          <w:p>
            <w:pPr>
              <w:spacing w:after="0" w:line="186" w:lineRule="exact"/>
              <w:rPr>
                <w:sz w:val="20"/>
                <w:szCs w:val="20"/>
                <w:color w:val="auto"/>
              </w:rPr>
            </w:pPr>
            <w:r>
              <w:rPr>
                <w:rFonts w:ascii="Georgia" w:cs="Georgia" w:eastAsia="Georgia" w:hAnsi="Georgia"/>
                <w:sz w:val="18"/>
                <w:szCs w:val="18"/>
                <w:color w:val="auto"/>
              </w:rPr>
              <w:t>Outstanding, vested and expected to vest as of</w:t>
            </w: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December 31, 2020</w:t>
            </w:r>
          </w:p>
        </w:tc>
        <w:tc>
          <w:tcPr>
            <w:tcW w:w="1540" w:type="dxa"/>
            <w:vAlign w:val="bottom"/>
            <w:gridSpan w:val="2"/>
            <w:shd w:val="clear" w:color="auto" w:fill="CCEEFF"/>
          </w:tcPr>
          <w:p>
            <w:pPr>
              <w:jc w:val="right"/>
              <w:ind w:right="180"/>
              <w:spacing w:after="0"/>
              <w:rPr>
                <w:sz w:val="20"/>
                <w:szCs w:val="20"/>
                <w:color w:val="auto"/>
              </w:rPr>
            </w:pPr>
            <w:r>
              <w:rPr>
                <w:rFonts w:ascii="Georgia" w:cs="Georgia" w:eastAsia="Georgia" w:hAnsi="Georgia"/>
                <w:sz w:val="18"/>
                <w:szCs w:val="18"/>
                <w:color w:val="auto"/>
              </w:rPr>
              <w:t>546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1</w:t>
            </w:r>
          </w:p>
        </w:tc>
        <w:tc>
          <w:tcPr>
            <w:tcW w:w="1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00"/>
              <w:spacing w:after="0"/>
              <w:rPr>
                <w:sz w:val="20"/>
                <w:szCs w:val="20"/>
                <w:color w:val="auto"/>
              </w:rPr>
            </w:pPr>
            <w:r>
              <w:rPr>
                <w:rFonts w:ascii="Georgia" w:cs="Georgia" w:eastAsia="Georgia" w:hAnsi="Georgia"/>
                <w:sz w:val="18"/>
                <w:szCs w:val="18"/>
                <w:color w:val="auto"/>
              </w:rPr>
              <w:t>584,132</w:t>
            </w:r>
          </w:p>
        </w:tc>
        <w:tc>
          <w:tcPr>
            <w:tcW w:w="0" w:type="dxa"/>
            <w:vAlign w:val="bottom"/>
          </w:tcPr>
          <w:p>
            <w:pPr>
              <w:spacing w:after="0"/>
              <w:rPr>
                <w:sz w:val="1"/>
                <w:szCs w:val="1"/>
                <w:color w:val="auto"/>
              </w:rPr>
            </w:pPr>
          </w:p>
        </w:tc>
      </w:tr>
      <w:tr>
        <w:trPr>
          <w:trHeight w:val="191"/>
        </w:trPr>
        <w:tc>
          <w:tcPr>
            <w:tcW w:w="4740" w:type="dxa"/>
            <w:vAlign w:val="bottom"/>
            <w:tcBorders>
              <w:top w:val="single" w:sz="8" w:color="CCEEFF"/>
            </w:tcBorders>
          </w:tcPr>
          <w:p>
            <w:pPr>
              <w:spacing w:after="0" w:line="188" w:lineRule="exact"/>
              <w:rPr>
                <w:sz w:val="20"/>
                <w:szCs w:val="20"/>
                <w:color w:val="auto"/>
              </w:rPr>
            </w:pPr>
            <w:r>
              <w:rPr>
                <w:rFonts w:ascii="Georgia" w:cs="Georgia" w:eastAsia="Georgia" w:hAnsi="Georgia"/>
                <w:sz w:val="18"/>
                <w:szCs w:val="18"/>
                <w:color w:val="auto"/>
              </w:rPr>
              <w:t>Exercisable as of December 31, 2020</w:t>
            </w:r>
          </w:p>
        </w:tc>
        <w:tc>
          <w:tcPr>
            <w:tcW w:w="136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320" w:type="dxa"/>
            <w:vAlign w:val="bottom"/>
            <w:tcBorders>
              <w:top w:val="single" w:sz="8" w:color="CCEEFF"/>
            </w:tcBorders>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Georgia" w:cs="Georgia" w:eastAsia="Georgia" w:hAnsi="Georgia"/>
                <w:sz w:val="18"/>
                <w:szCs w:val="18"/>
                <w:color w:val="auto"/>
              </w:rPr>
              <w:t>-</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Granted</w:t>
            </w:r>
          </w:p>
        </w:tc>
        <w:tc>
          <w:tcPr>
            <w:tcW w:w="1540" w:type="dxa"/>
            <w:vAlign w:val="bottom"/>
            <w:gridSpan w:val="2"/>
            <w:shd w:val="clear" w:color="auto" w:fill="CCEEFF"/>
          </w:tcPr>
          <w:p>
            <w:pPr>
              <w:jc w:val="right"/>
              <w:ind w:right="180"/>
              <w:spacing w:after="0" w:line="202" w:lineRule="exact"/>
              <w:rPr>
                <w:sz w:val="20"/>
                <w:szCs w:val="20"/>
                <w:color w:val="auto"/>
              </w:rPr>
            </w:pPr>
            <w:r>
              <w:rPr>
                <w:rFonts w:ascii="Georgia" w:cs="Georgia" w:eastAsia="Georgia" w:hAnsi="Georgia"/>
                <w:sz w:val="18"/>
                <w:szCs w:val="18"/>
                <w:color w:val="auto"/>
              </w:rPr>
              <w:t>169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1</w:t>
            </w:r>
          </w:p>
        </w:tc>
        <w:tc>
          <w:tcPr>
            <w:tcW w:w="166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183,831</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Georgia" w:cs="Georgia" w:eastAsia="Georgia" w:hAnsi="Georgia"/>
                <w:sz w:val="18"/>
                <w:szCs w:val="18"/>
                <w:color w:val="auto"/>
              </w:rPr>
              <w:t>Vested and exercised</w:t>
            </w:r>
          </w:p>
        </w:tc>
        <w:tc>
          <w:tcPr>
            <w:tcW w:w="1540" w:type="dxa"/>
            <w:vAlign w:val="bottom"/>
            <w:gridSpan w:val="2"/>
          </w:tcPr>
          <w:p>
            <w:pPr>
              <w:jc w:val="right"/>
              <w:ind w:right="180"/>
              <w:spacing w:after="0" w:line="202" w:lineRule="exact"/>
              <w:rPr>
                <w:sz w:val="20"/>
                <w:szCs w:val="20"/>
                <w:color w:val="auto"/>
              </w:rPr>
            </w:pPr>
            <w:r>
              <w:rPr>
                <w:rFonts w:ascii="Georgia" w:cs="Georgia" w:eastAsia="Georgia" w:hAnsi="Georgia"/>
                <w:sz w:val="18"/>
                <w:szCs w:val="18"/>
                <w:color w:val="auto"/>
              </w:rPr>
              <w:t>715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1</w:t>
            </w:r>
          </w:p>
        </w:tc>
        <w:tc>
          <w:tcPr>
            <w:tcW w:w="166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160" w:type="dxa"/>
            <w:vAlign w:val="bottom"/>
          </w:tcPr>
          <w:p>
            <w:pPr>
              <w:spacing w:after="0"/>
              <w:rPr>
                <w:sz w:val="17"/>
                <w:szCs w:val="17"/>
                <w:color w:val="auto"/>
              </w:rPr>
            </w:pPr>
          </w:p>
        </w:tc>
        <w:tc>
          <w:tcPr>
            <w:tcW w:w="1300" w:type="dxa"/>
            <w:vAlign w:val="bottom"/>
            <w:gridSpan w:val="3"/>
          </w:tcPr>
          <w:p>
            <w:pPr>
              <w:jc w:val="right"/>
              <w:ind w:right="100"/>
              <w:spacing w:after="0" w:line="202" w:lineRule="exact"/>
              <w:rPr>
                <w:sz w:val="20"/>
                <w:szCs w:val="20"/>
                <w:color w:val="auto"/>
              </w:rPr>
            </w:pPr>
            <w:r>
              <w:rPr>
                <w:rFonts w:ascii="Georgia" w:cs="Georgia" w:eastAsia="Georgia" w:hAnsi="Georgia"/>
                <w:sz w:val="18"/>
                <w:szCs w:val="18"/>
                <w:color w:val="auto"/>
              </w:rPr>
              <w:t>777,920</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spacing w:after="0" w:line="200" w:lineRule="exact"/>
              <w:rPr>
                <w:sz w:val="20"/>
                <w:szCs w:val="20"/>
                <w:color w:val="auto"/>
              </w:rPr>
            </w:pPr>
            <w:r>
              <w:rPr>
                <w:rFonts w:ascii="Georgia" w:cs="Georgia" w:eastAsia="Georgia" w:hAnsi="Georgia"/>
                <w:sz w:val="18"/>
                <w:szCs w:val="18"/>
                <w:color w:val="auto"/>
              </w:rPr>
              <w:t>Outstanding, vested and expected to vest as of</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shd w:val="clear" w:color="auto" w:fill="CCEEFF"/>
          </w:tcPr>
          <w:p>
            <w:pPr>
              <w:spacing w:after="0" w:line="203" w:lineRule="exact"/>
              <w:rPr>
                <w:sz w:val="20"/>
                <w:szCs w:val="20"/>
                <w:color w:val="auto"/>
              </w:rPr>
            </w:pPr>
            <w:r>
              <w:rPr>
                <w:rFonts w:ascii="Georgia" w:cs="Georgia" w:eastAsia="Georgia" w:hAnsi="Georgia"/>
                <w:sz w:val="18"/>
                <w:szCs w:val="18"/>
                <w:color w:val="auto"/>
              </w:rPr>
              <w:t>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183" w:lineRule="exact"/>
              <w:rPr>
                <w:sz w:val="20"/>
                <w:szCs w:val="20"/>
                <w:color w:val="auto"/>
              </w:rPr>
            </w:pPr>
            <w:r>
              <w:rPr>
                <w:rFonts w:ascii="Georgia" w:cs="Georgia" w:eastAsia="Georgia" w:hAnsi="Georgia"/>
                <w:sz w:val="18"/>
                <w:szCs w:val="18"/>
                <w:color w:val="auto"/>
              </w:rPr>
              <w:t>Exercisable as of December 31, 2021</w:t>
            </w:r>
          </w:p>
        </w:tc>
        <w:tc>
          <w:tcPr>
            <w:tcW w:w="1540" w:type="dxa"/>
            <w:vAlign w:val="bottom"/>
            <w:gridSpan w:val="2"/>
          </w:tcPr>
          <w:p>
            <w:pPr>
              <w:jc w:val="right"/>
              <w:ind w:right="180"/>
              <w:spacing w:after="0" w:line="203" w:lineRule="exact"/>
              <w:rPr>
                <w:sz w:val="20"/>
                <w:szCs w:val="20"/>
                <w:color w:val="auto"/>
              </w:rPr>
            </w:pPr>
            <w:r>
              <w:rPr>
                <w:rFonts w:ascii="Georgia" w:cs="Georgia" w:eastAsia="Georgia" w:hAnsi="Georgia"/>
                <w:sz w:val="18"/>
                <w:szCs w:val="18"/>
                <w:color w:val="auto"/>
              </w:rPr>
              <w:t>-</w:t>
            </w:r>
          </w:p>
        </w:tc>
        <w:tc>
          <w:tcPr>
            <w:tcW w:w="340" w:type="dxa"/>
            <w:vAlign w:val="bottom"/>
            <w:gridSpan w:val="2"/>
          </w:tcPr>
          <w:p>
            <w:pPr>
              <w:ind w:left="160"/>
              <w:spacing w:after="0" w:line="203" w:lineRule="exact"/>
              <w:rPr>
                <w:sz w:val="20"/>
                <w:szCs w:val="20"/>
                <w:color w:val="auto"/>
              </w:rPr>
            </w:pPr>
            <w:r>
              <w:rPr>
                <w:rFonts w:ascii="Georgia" w:cs="Georgia" w:eastAsia="Georgia" w:hAnsi="Georgia"/>
                <w:sz w:val="18"/>
                <w:szCs w:val="18"/>
                <w:color w:val="auto"/>
              </w:rPr>
              <w:t>€</w:t>
            </w:r>
          </w:p>
        </w:tc>
        <w:tc>
          <w:tcPr>
            <w:tcW w:w="150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166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16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220" w:type="dxa"/>
            <w:vAlign w:val="bottom"/>
            <w:gridSpan w:val="2"/>
          </w:tcPr>
          <w:p>
            <w:pPr>
              <w:jc w:val="right"/>
              <w:ind w:right="20"/>
              <w:spacing w:after="0" w:line="203" w:lineRule="exact"/>
              <w:rPr>
                <w:sz w:val="20"/>
                <w:szCs w:val="20"/>
                <w:color w:val="auto"/>
              </w:rPr>
            </w:pPr>
            <w:r>
              <w:rPr>
                <w:rFonts w:ascii="Georgia" w:cs="Georgia" w:eastAsia="Georgia" w:hAnsi="Georgia"/>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60" w:firstLine="648"/>
        <w:spacing w:after="0" w:line="237" w:lineRule="auto"/>
        <w:rPr>
          <w:sz w:val="20"/>
          <w:szCs w:val="20"/>
          <w:color w:val="auto"/>
        </w:rPr>
      </w:pPr>
      <w:r>
        <w:rPr>
          <w:rFonts w:ascii="Georgia" w:cs="Georgia" w:eastAsia="Georgia" w:hAnsi="Georgia"/>
          <w:sz w:val="18"/>
          <w:szCs w:val="18"/>
          <w:color w:val="auto"/>
        </w:rPr>
        <w:t>The Company’s share-based compensation expense for the years ended December 31, 2021, 2020, and 2019 is represented by the following table:</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70"/>
              <w:spacing w:after="0"/>
              <w:rPr>
                <w:sz w:val="20"/>
                <w:szCs w:val="20"/>
                <w:color w:val="auto"/>
              </w:rPr>
            </w:pPr>
            <w:r>
              <w:rPr>
                <w:rFonts w:ascii="Georgia" w:cs="Georgia" w:eastAsia="Georgia" w:hAnsi="Georgia"/>
                <w:sz w:val="18"/>
                <w:szCs w:val="18"/>
                <w:b w:val="1"/>
                <w:bCs w:val="1"/>
                <w:color w:val="auto"/>
              </w:rPr>
              <w:t>Year Ended December,</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Georgia" w:cs="Georgia" w:eastAsia="Georgia" w:hAnsi="Georgia"/>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Georgia" w:cs="Georgia" w:eastAsia="Georgia" w:hAnsi="Georgia"/>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Georgia" w:cs="Georgia" w:eastAsia="Georgia" w:hAnsi="Georgia"/>
                <w:sz w:val="18"/>
                <w:szCs w:val="18"/>
                <w:b w:val="1"/>
                <w:bCs w:val="1"/>
                <w:color w:val="auto"/>
              </w:rPr>
              <w:t>2019</w:t>
            </w:r>
          </w:p>
        </w:tc>
        <w:tc>
          <w:tcPr>
            <w:tcW w:w="80" w:type="dxa"/>
            <w:vAlign w:val="bottom"/>
          </w:tcPr>
          <w:p>
            <w:pPr>
              <w:spacing w:after="0"/>
              <w:rPr>
                <w:sz w:val="19"/>
                <w:szCs w:val="19"/>
                <w:color w:val="auto"/>
              </w:rPr>
            </w:pPr>
          </w:p>
        </w:tc>
      </w:tr>
      <w:tr>
        <w:trPr>
          <w:trHeight w:val="209"/>
        </w:trPr>
        <w:tc>
          <w:tcPr>
            <w:tcW w:w="40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0"/>
              <w:spacing w:after="0" w:line="202" w:lineRule="exact"/>
              <w:rPr>
                <w:sz w:val="20"/>
                <w:szCs w:val="20"/>
                <w:color w:val="auto"/>
              </w:rPr>
            </w:pPr>
            <w:r>
              <w:rPr>
                <w:rFonts w:ascii="Georgia" w:cs="Georgia" w:eastAsia="Georgia" w:hAnsi="Georgia"/>
                <w:sz w:val="18"/>
                <w:szCs w:val="18"/>
                <w:color w:val="auto"/>
              </w:rPr>
              <w:t>(in Euros)</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3"/>
        </w:trPr>
        <w:tc>
          <w:tcPr>
            <w:tcW w:w="4040" w:type="dxa"/>
            <w:vAlign w:val="bottom"/>
            <w:shd w:val="clear" w:color="auto" w:fill="CCEEFF"/>
          </w:tcPr>
          <w:p>
            <w:pPr>
              <w:spacing w:after="0" w:line="200" w:lineRule="exact"/>
              <w:rPr>
                <w:sz w:val="20"/>
                <w:szCs w:val="20"/>
                <w:color w:val="auto"/>
              </w:rPr>
            </w:pPr>
            <w:r>
              <w:rPr>
                <w:rFonts w:ascii="Georgia" w:cs="Georgia" w:eastAsia="Georgia" w:hAnsi="Georgia"/>
                <w:sz w:val="18"/>
                <w:szCs w:val="18"/>
                <w:color w:val="auto"/>
              </w:rPr>
              <w:t>Research &amp; development expense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6"/>
              <w:spacing w:after="0"/>
              <w:rPr>
                <w:sz w:val="20"/>
                <w:szCs w:val="20"/>
                <w:color w:val="auto"/>
              </w:rPr>
            </w:pPr>
            <w:r>
              <w:rPr>
                <w:rFonts w:ascii="Georgia" w:cs="Georgia" w:eastAsia="Georgia" w:hAnsi="Georgia"/>
                <w:sz w:val="17"/>
                <w:szCs w:val="17"/>
                <w:color w:val="auto"/>
                <w:w w:val="72"/>
              </w:rPr>
              <w:t>€</w:t>
            </w:r>
          </w:p>
        </w:tc>
        <w:tc>
          <w:tcPr>
            <w:tcW w:w="110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82,669</w:t>
            </w:r>
          </w:p>
        </w:tc>
        <w:tc>
          <w:tcPr>
            <w:tcW w:w="440" w:type="dxa"/>
            <w:vAlign w:val="bottom"/>
            <w:gridSpan w:val="2"/>
            <w:shd w:val="clear" w:color="auto" w:fill="CCEEFF"/>
          </w:tcPr>
          <w:p>
            <w:pPr>
              <w:ind w:left="240"/>
              <w:spacing w:after="0" w:line="202" w:lineRule="exact"/>
              <w:rPr>
                <w:sz w:val="20"/>
                <w:szCs w:val="20"/>
                <w:color w:val="auto"/>
              </w:rPr>
            </w:pPr>
            <w:r>
              <w:rPr>
                <w:rFonts w:ascii="Georgia" w:cs="Georgia" w:eastAsia="Georgia" w:hAnsi="Georgia"/>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540" w:type="dxa"/>
            <w:vAlign w:val="bottom"/>
            <w:gridSpan w:val="2"/>
            <w:shd w:val="clear" w:color="auto" w:fill="CCEEFF"/>
          </w:tcPr>
          <w:p>
            <w:pPr>
              <w:jc w:val="right"/>
              <w:ind w:right="70"/>
              <w:spacing w:after="0" w:line="202" w:lineRule="exact"/>
              <w:rPr>
                <w:sz w:val="20"/>
                <w:szCs w:val="20"/>
                <w:color w:val="auto"/>
              </w:rPr>
            </w:pPr>
            <w:r>
              <w:rPr>
                <w:rFonts w:ascii="Georgia" w:cs="Georgia" w:eastAsia="Georgia" w:hAnsi="Georgia"/>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21,804</w:t>
            </w:r>
          </w:p>
        </w:tc>
        <w:tc>
          <w:tcPr>
            <w:tcW w:w="80" w:type="dxa"/>
            <w:vAlign w:val="bottom"/>
            <w:shd w:val="clear" w:color="auto" w:fill="CCEEFF"/>
          </w:tcPr>
          <w:p>
            <w:pPr>
              <w:spacing w:after="0"/>
              <w:rPr>
                <w:sz w:val="17"/>
                <w:szCs w:val="17"/>
                <w:color w:val="auto"/>
              </w:rPr>
            </w:pPr>
          </w:p>
        </w:tc>
      </w:tr>
      <w:tr>
        <w:trPr>
          <w:trHeight w:val="199"/>
        </w:trPr>
        <w:tc>
          <w:tcPr>
            <w:tcW w:w="4040" w:type="dxa"/>
            <w:vAlign w:val="bottom"/>
          </w:tcPr>
          <w:p>
            <w:pPr>
              <w:spacing w:after="0" w:line="200" w:lineRule="exact"/>
              <w:rPr>
                <w:sz w:val="20"/>
                <w:szCs w:val="20"/>
                <w:color w:val="auto"/>
              </w:rPr>
            </w:pPr>
            <w:r>
              <w:rPr>
                <w:rFonts w:ascii="Georgia" w:cs="Georgia" w:eastAsia="Georgia" w:hAnsi="Georgia"/>
                <w:sz w:val="18"/>
                <w:szCs w:val="18"/>
                <w:color w:val="auto"/>
              </w:rPr>
              <w:t>Research &amp; development expense - related party</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40" w:type="dxa"/>
            <w:vAlign w:val="bottom"/>
          </w:tcPr>
          <w:p>
            <w:pPr>
              <w:spacing w:after="0" w:line="203" w:lineRule="exact"/>
              <w:rPr>
                <w:sz w:val="20"/>
                <w:szCs w:val="20"/>
                <w:color w:val="auto"/>
              </w:rPr>
            </w:pPr>
            <w:r>
              <w:rPr>
                <w:rFonts w:ascii="Georgia" w:cs="Georgia" w:eastAsia="Georgia" w:hAnsi="Georgia"/>
                <w:sz w:val="18"/>
                <w:szCs w:val="18"/>
                <w:color w:val="auto"/>
              </w:rPr>
              <w:t>(Note 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Georgia" w:cs="Georgia" w:eastAsia="Georgia" w:hAnsi="Georgia"/>
                <w:sz w:val="18"/>
                <w:szCs w:val="18"/>
                <w:color w:val="auto"/>
              </w:rPr>
              <w:t>179,480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Georgia" w:cs="Georgia" w:eastAsia="Georgia" w:hAnsi="Georgia"/>
                <w:sz w:val="18"/>
                <w:szCs w:val="18"/>
                <w:color w:val="auto"/>
              </w:rPr>
              <w:t>326,400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Georgia" w:cs="Georgia" w:eastAsia="Georgia" w:hAnsi="Georgia"/>
                <w:sz w:val="18"/>
                <w:szCs w:val="18"/>
                <w:color w:val="auto"/>
              </w:rPr>
              <w:t>581,949</w:t>
            </w:r>
          </w:p>
        </w:tc>
        <w:tc>
          <w:tcPr>
            <w:tcW w:w="80" w:type="dxa"/>
            <w:vAlign w:val="bottom"/>
          </w:tcPr>
          <w:p>
            <w:pPr>
              <w:spacing w:after="0"/>
              <w:rPr>
                <w:sz w:val="17"/>
                <w:szCs w:val="17"/>
                <w:color w:val="auto"/>
              </w:rPr>
            </w:pPr>
          </w:p>
        </w:tc>
      </w:tr>
      <w:tr>
        <w:trPr>
          <w:trHeight w:val="237"/>
        </w:trPr>
        <w:tc>
          <w:tcPr>
            <w:tcW w:w="4040" w:type="dxa"/>
            <w:vAlign w:val="bottom"/>
            <w:tcBorders>
              <w:bottom w:val="single" w:sz="8" w:color="CCEEFF"/>
            </w:tcBorders>
            <w:shd w:val="clear" w:color="auto" w:fill="CCEEFF"/>
          </w:tcPr>
          <w:p>
            <w:pPr>
              <w:spacing w:after="0"/>
              <w:rPr>
                <w:sz w:val="20"/>
                <w:szCs w:val="20"/>
                <w:color w:val="auto"/>
              </w:rPr>
            </w:pPr>
            <w:r>
              <w:rPr>
                <w:rFonts w:ascii="Georgia" w:cs="Georgia" w:eastAsia="Georgia" w:hAnsi="Georgia"/>
                <w:sz w:val="18"/>
                <w:szCs w:val="18"/>
                <w:color w:val="auto"/>
              </w:rPr>
              <w:t>General &amp; administrative expense</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234,955</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133,794</w:t>
            </w: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Georgia" w:cs="Georgia" w:eastAsia="Georgia" w:hAnsi="Georgia"/>
                <w:sz w:val="18"/>
                <w:szCs w:val="18"/>
                <w:color w:val="auto"/>
              </w:rPr>
              <w:t>137,057</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spacing w:after="0" w:line="183" w:lineRule="exact"/>
              <w:rPr>
                <w:sz w:val="20"/>
                <w:szCs w:val="20"/>
                <w:color w:val="auto"/>
              </w:rPr>
            </w:pPr>
            <w:r>
              <w:rPr>
                <w:rFonts w:ascii="Georgia" w:cs="Georgia" w:eastAsia="Georgia" w:hAnsi="Georgia"/>
                <w:sz w:val="18"/>
                <w:szCs w:val="18"/>
                <w:color w:val="auto"/>
              </w:rPr>
              <w:t>Total</w:t>
            </w:r>
          </w:p>
        </w:tc>
        <w:tc>
          <w:tcPr>
            <w:tcW w:w="500" w:type="dxa"/>
            <w:vAlign w:val="bottom"/>
            <w:gridSpan w:val="2"/>
          </w:tcPr>
          <w:p>
            <w:pPr>
              <w:jc w:val="right"/>
              <w:ind w:right="96"/>
              <w:spacing w:after="0" w:line="203" w:lineRule="exact"/>
              <w:rPr>
                <w:sz w:val="20"/>
                <w:szCs w:val="20"/>
                <w:color w:val="auto"/>
              </w:rPr>
            </w:pPr>
            <w:r>
              <w:rPr>
                <w:rFonts w:ascii="Georgia" w:cs="Georgia" w:eastAsia="Georgia" w:hAnsi="Georgia"/>
                <w:sz w:val="18"/>
                <w:szCs w:val="18"/>
                <w:color w:val="auto"/>
              </w:rPr>
              <w:t>€</w:t>
            </w:r>
          </w:p>
        </w:tc>
        <w:tc>
          <w:tcPr>
            <w:tcW w:w="1100" w:type="dxa"/>
            <w:vAlign w:val="bottom"/>
          </w:tcPr>
          <w:p>
            <w:pPr>
              <w:jc w:val="right"/>
              <w:spacing w:after="0" w:line="203" w:lineRule="exact"/>
              <w:rPr>
                <w:sz w:val="20"/>
                <w:szCs w:val="20"/>
                <w:color w:val="auto"/>
              </w:rPr>
            </w:pPr>
            <w:r>
              <w:rPr>
                <w:rFonts w:ascii="Georgia" w:cs="Georgia" w:eastAsia="Georgia" w:hAnsi="Georgia"/>
                <w:sz w:val="18"/>
                <w:szCs w:val="18"/>
                <w:color w:val="auto"/>
              </w:rPr>
              <w:t>497,104</w:t>
            </w:r>
          </w:p>
        </w:tc>
        <w:tc>
          <w:tcPr>
            <w:tcW w:w="440" w:type="dxa"/>
            <w:vAlign w:val="bottom"/>
            <w:gridSpan w:val="2"/>
          </w:tcPr>
          <w:p>
            <w:pPr>
              <w:ind w:left="240"/>
              <w:spacing w:after="0" w:line="203" w:lineRule="exact"/>
              <w:rPr>
                <w:sz w:val="20"/>
                <w:szCs w:val="20"/>
                <w:color w:val="auto"/>
              </w:rPr>
            </w:pPr>
            <w:r>
              <w:rPr>
                <w:rFonts w:ascii="Georgia" w:cs="Georgia" w:eastAsia="Georgia" w:hAnsi="Georgia"/>
                <w:sz w:val="18"/>
                <w:szCs w:val="18"/>
                <w:color w:val="auto"/>
              </w:rPr>
              <w:t>€</w:t>
            </w:r>
          </w:p>
        </w:tc>
        <w:tc>
          <w:tcPr>
            <w:tcW w:w="1180" w:type="dxa"/>
            <w:vAlign w:val="bottom"/>
          </w:tcPr>
          <w:p>
            <w:pPr>
              <w:jc w:val="right"/>
              <w:spacing w:after="0" w:line="203" w:lineRule="exact"/>
              <w:rPr>
                <w:sz w:val="20"/>
                <w:szCs w:val="20"/>
                <w:color w:val="auto"/>
              </w:rPr>
            </w:pPr>
            <w:r>
              <w:rPr>
                <w:rFonts w:ascii="Georgia" w:cs="Georgia" w:eastAsia="Georgia" w:hAnsi="Georgia"/>
                <w:sz w:val="18"/>
                <w:szCs w:val="18"/>
                <w:color w:val="auto"/>
              </w:rPr>
              <w:t>460,194</w:t>
            </w:r>
          </w:p>
        </w:tc>
        <w:tc>
          <w:tcPr>
            <w:tcW w:w="540" w:type="dxa"/>
            <w:vAlign w:val="bottom"/>
            <w:gridSpan w:val="2"/>
          </w:tcPr>
          <w:p>
            <w:pPr>
              <w:jc w:val="right"/>
              <w:ind w:right="70"/>
              <w:spacing w:after="0" w:line="203" w:lineRule="exact"/>
              <w:rPr>
                <w:sz w:val="20"/>
                <w:szCs w:val="20"/>
                <w:color w:val="auto"/>
              </w:rPr>
            </w:pPr>
            <w:r>
              <w:rPr>
                <w:rFonts w:ascii="Georgia" w:cs="Georgia" w:eastAsia="Georgia" w:hAnsi="Georgia"/>
                <w:sz w:val="18"/>
                <w:szCs w:val="18"/>
                <w:color w:val="auto"/>
              </w:rPr>
              <w:t>€</w:t>
            </w:r>
          </w:p>
        </w:tc>
        <w:tc>
          <w:tcPr>
            <w:tcW w:w="1100" w:type="dxa"/>
            <w:vAlign w:val="bottom"/>
          </w:tcPr>
          <w:p>
            <w:pPr>
              <w:jc w:val="right"/>
              <w:spacing w:after="0" w:line="203" w:lineRule="exact"/>
              <w:rPr>
                <w:sz w:val="20"/>
                <w:szCs w:val="20"/>
                <w:color w:val="auto"/>
              </w:rPr>
            </w:pPr>
            <w:r>
              <w:rPr>
                <w:rFonts w:ascii="Georgia" w:cs="Georgia" w:eastAsia="Georgia" w:hAnsi="Georgia"/>
                <w:sz w:val="18"/>
                <w:szCs w:val="18"/>
                <w:color w:val="auto"/>
              </w:rPr>
              <w:t>740,810</w:t>
            </w:r>
          </w:p>
        </w:tc>
        <w:tc>
          <w:tcPr>
            <w:tcW w:w="80" w:type="dxa"/>
            <w:vAlign w:val="bottom"/>
          </w:tcPr>
          <w:p>
            <w:pPr>
              <w:spacing w:after="0"/>
              <w:rPr>
                <w:sz w:val="21"/>
                <w:szCs w:val="21"/>
                <w:color w:val="auto"/>
              </w:rPr>
            </w:pPr>
          </w:p>
        </w:tc>
      </w:tr>
      <w:tr>
        <w:trPr>
          <w:trHeight w:val="184"/>
        </w:trPr>
        <w:tc>
          <w:tcPr>
            <w:tcW w:w="4040" w:type="dxa"/>
            <w:vAlign w:val="bottom"/>
            <w:tcBorders>
              <w:top w:val="single" w:sz="8" w:color="CCEEFF"/>
              <w:bottom w:val="single" w:sz="8" w:color="CCEEFF"/>
            </w:tcBorders>
            <w:shd w:val="clear" w:color="auto" w:fill="CCEEFF"/>
          </w:tcPr>
          <w:p>
            <w:pPr>
              <w:spacing w:after="0" w:line="163" w:lineRule="exact"/>
              <w:rPr>
                <w:sz w:val="20"/>
                <w:szCs w:val="20"/>
                <w:color w:val="auto"/>
              </w:rPr>
            </w:pPr>
            <w:r>
              <w:rPr>
                <w:rFonts w:ascii="Georgia" w:cs="Georgia" w:eastAsia="Georgia" w:hAnsi="Georgia"/>
                <w:sz w:val="18"/>
                <w:szCs w:val="18"/>
                <w:color w:val="auto"/>
              </w:rPr>
              <w:t>Unrecognized expense</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96"/>
              <w:spacing w:after="0" w:line="184" w:lineRule="exact"/>
              <w:rPr>
                <w:sz w:val="20"/>
                <w:szCs w:val="20"/>
                <w:color w:val="auto"/>
              </w:rPr>
            </w:pPr>
            <w:r>
              <w:rPr>
                <w:rFonts w:ascii="Georgia" w:cs="Georgia" w:eastAsia="Georgia" w:hAnsi="Georgia"/>
                <w:sz w:val="17"/>
                <w:szCs w:val="17"/>
                <w:color w:val="auto"/>
                <w:w w:val="72"/>
              </w:rPr>
              <w:t>€</w:t>
            </w:r>
          </w:p>
        </w:tc>
        <w:tc>
          <w:tcPr>
            <w:tcW w:w="110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Georgia" w:cs="Georgia" w:eastAsia="Georgia" w:hAnsi="Georgia"/>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line="185" w:lineRule="exact"/>
              <w:rPr>
                <w:sz w:val="20"/>
                <w:szCs w:val="20"/>
                <w:color w:val="auto"/>
              </w:rPr>
            </w:pPr>
            <w:r>
              <w:rPr>
                <w:rFonts w:ascii="Georgia" w:cs="Georgia" w:eastAsia="Georgia" w:hAnsi="Georgia"/>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Georgia" w:cs="Georgia" w:eastAsia="Georgia" w:hAnsi="Georgia"/>
                <w:sz w:val="18"/>
                <w:szCs w:val="18"/>
                <w:color w:val="auto"/>
              </w:rPr>
              <w:t>313,273</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70"/>
              <w:spacing w:after="0" w:line="185" w:lineRule="exact"/>
              <w:rPr>
                <w:sz w:val="20"/>
                <w:szCs w:val="20"/>
                <w:color w:val="auto"/>
              </w:rPr>
            </w:pPr>
            <w:r>
              <w:rPr>
                <w:rFonts w:ascii="Georgia" w:cs="Georgia" w:eastAsia="Georgia" w:hAnsi="Georgia"/>
                <w:sz w:val="18"/>
                <w:szCs w:val="18"/>
                <w:color w:val="auto"/>
                <w:w w:val="86"/>
              </w:rPr>
              <w:t>€</w:t>
            </w:r>
          </w:p>
        </w:tc>
        <w:tc>
          <w:tcPr>
            <w:tcW w:w="110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Georgia" w:cs="Georgia" w:eastAsia="Georgia" w:hAnsi="Georgia"/>
                <w:sz w:val="18"/>
                <w:szCs w:val="18"/>
                <w:color w:val="auto"/>
              </w:rPr>
              <w:t>769,779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firstLine="648"/>
        <w:spacing w:after="0" w:line="237" w:lineRule="auto"/>
        <w:rPr>
          <w:sz w:val="20"/>
          <w:szCs w:val="20"/>
          <w:color w:val="auto"/>
        </w:rPr>
      </w:pPr>
      <w:r>
        <w:rPr>
          <w:rFonts w:ascii="Georgia" w:cs="Georgia" w:eastAsia="Georgia" w:hAnsi="Georgia"/>
          <w:sz w:val="18"/>
          <w:szCs w:val="18"/>
          <w:color w:val="auto"/>
        </w:rPr>
        <w:t>The weighted average fair value of the options granted during 2021 and 2019 was €1,088 per quota B. There were no options granted in 2020.</w:t>
      </w:r>
    </w:p>
    <w:p>
      <w:pPr>
        <w:spacing w:after="0" w:line="204" w:lineRule="exact"/>
        <w:rPr>
          <w:sz w:val="20"/>
          <w:szCs w:val="20"/>
          <w:color w:val="auto"/>
        </w:rPr>
      </w:pPr>
    </w:p>
    <w:p>
      <w:pPr>
        <w:ind w:right="200" w:firstLine="648"/>
        <w:spacing w:after="0" w:line="237" w:lineRule="auto"/>
        <w:rPr>
          <w:sz w:val="20"/>
          <w:szCs w:val="20"/>
          <w:color w:val="auto"/>
        </w:rPr>
      </w:pPr>
      <w:r>
        <w:rPr>
          <w:rFonts w:ascii="Georgia" w:cs="Georgia" w:eastAsia="Georgia" w:hAnsi="Georgia"/>
          <w:sz w:val="18"/>
          <w:szCs w:val="18"/>
          <w:color w:val="auto"/>
        </w:rPr>
        <w:t>For the years ended December 31, 2021, 2020 and 2019, the Company recorded €497,104, €460,194 and €740,810, respectively, as the fair value of the stock options granted. The Company awarded eight options to a consultant on September 30, 2019 for assistance in raising additional Quota E capital for the Company in 2019. The Company recorded the €8,702, which was the fair value of the option as a charge to additional paid-in capital. There was no amount of unrecognized expense at December 31, 2021, since there were no outstanding stock options.</w:t>
      </w:r>
    </w:p>
    <w:p>
      <w:pPr>
        <w:spacing w:after="0" w:line="204"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Quota B Valuations</w:t>
      </w:r>
    </w:p>
    <w:p>
      <w:pPr>
        <w:spacing w:after="0" w:line="202"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The fair value of the Quota B underlying the Company’s share-based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205" w:lineRule="exact"/>
        <w:rPr>
          <w:sz w:val="20"/>
          <w:szCs w:val="20"/>
          <w:color w:val="auto"/>
        </w:rPr>
      </w:pPr>
    </w:p>
    <w:p>
      <w:pPr>
        <w:ind w:left="800" w:hanging="144"/>
        <w:spacing w:after="0"/>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valuations of the Quota B equity performed by third-party specialists;</w:t>
      </w:r>
    </w:p>
    <w:p>
      <w:pPr>
        <w:spacing w:after="0" w:line="201" w:lineRule="exact"/>
        <w:rPr>
          <w:rFonts w:ascii="Georgia" w:cs="Georgia" w:eastAsia="Georgia" w:hAnsi="Georgia"/>
          <w:sz w:val="18"/>
          <w:szCs w:val="18"/>
          <w:color w:val="auto"/>
        </w:rPr>
      </w:pPr>
    </w:p>
    <w:p>
      <w:pPr>
        <w:ind w:right="260" w:firstLine="656"/>
        <w:spacing w:after="0" w:line="237" w:lineRule="auto"/>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the price of the Company’s equity to third-party, arms-length, sophisticated, and qualified investors, which was used in the OPM Backsolve Model;</w:t>
      </w:r>
    </w:p>
    <w:p>
      <w:pPr>
        <w:spacing w:after="0" w:line="203" w:lineRule="exact"/>
        <w:rPr>
          <w:rFonts w:ascii="Georgia" w:cs="Georgia" w:eastAsia="Georgia" w:hAnsi="Georgia"/>
          <w:sz w:val="18"/>
          <w:szCs w:val="18"/>
          <w:color w:val="auto"/>
        </w:rPr>
      </w:pPr>
    </w:p>
    <w:p>
      <w:pPr>
        <w:ind w:right="280" w:firstLine="656"/>
        <w:spacing w:after="0" w:line="237" w:lineRule="auto"/>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the prices, rights, preferences, and privileges of the Company’s Quota C, D, and E preferred equity classes relative to those of the Company’s equity;</w:t>
      </w:r>
    </w:p>
    <w:p>
      <w:pPr>
        <w:spacing w:after="0" w:line="202" w:lineRule="exact"/>
        <w:rPr>
          <w:rFonts w:ascii="Georgia" w:cs="Georgia" w:eastAsia="Georgia" w:hAnsi="Georgia"/>
          <w:sz w:val="18"/>
          <w:szCs w:val="18"/>
          <w:color w:val="auto"/>
        </w:rPr>
      </w:pPr>
    </w:p>
    <w:p>
      <w:pPr>
        <w:ind w:left="800" w:hanging="144"/>
        <w:spacing w:after="0"/>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lack of marketability of the Quota B;</w:t>
      </w:r>
    </w:p>
    <w:p>
      <w:pPr>
        <w:spacing w:after="0" w:line="200" w:lineRule="exact"/>
        <w:rPr>
          <w:rFonts w:ascii="Georgia" w:cs="Georgia" w:eastAsia="Georgia" w:hAnsi="Georgia"/>
          <w:sz w:val="18"/>
          <w:szCs w:val="18"/>
          <w:color w:val="auto"/>
        </w:rPr>
      </w:pPr>
    </w:p>
    <w:p>
      <w:pPr>
        <w:ind w:left="800" w:hanging="144"/>
        <w:spacing w:after="0"/>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lack of voting rights of the Quota B;</w:t>
      </w:r>
    </w:p>
    <w:p>
      <w:pPr>
        <w:spacing w:after="0" w:line="200" w:lineRule="exact"/>
        <w:rPr>
          <w:rFonts w:ascii="Georgia" w:cs="Georgia" w:eastAsia="Georgia" w:hAnsi="Georgia"/>
          <w:sz w:val="18"/>
          <w:szCs w:val="18"/>
          <w:color w:val="auto"/>
        </w:rPr>
      </w:pPr>
    </w:p>
    <w:p>
      <w:pPr>
        <w:ind w:left="800" w:hanging="144"/>
        <w:spacing w:after="0"/>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current business conditions and projections;</w:t>
      </w:r>
    </w:p>
    <w:p>
      <w:pPr>
        <w:spacing w:after="0" w:line="200" w:lineRule="exact"/>
        <w:rPr>
          <w:rFonts w:ascii="Georgia" w:cs="Georgia" w:eastAsia="Georgia" w:hAnsi="Georgia"/>
          <w:sz w:val="18"/>
          <w:szCs w:val="18"/>
          <w:color w:val="auto"/>
        </w:rPr>
      </w:pPr>
    </w:p>
    <w:p>
      <w:pPr>
        <w:ind w:left="800" w:hanging="144"/>
        <w:spacing w:after="0"/>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hiring of key personnel and the experience of management;</w:t>
      </w:r>
    </w:p>
    <w:p>
      <w:pPr>
        <w:spacing w:after="0" w:line="200" w:lineRule="exact"/>
        <w:rPr>
          <w:rFonts w:ascii="Georgia" w:cs="Georgia" w:eastAsia="Georgia" w:hAnsi="Georgia"/>
          <w:sz w:val="18"/>
          <w:szCs w:val="18"/>
          <w:color w:val="auto"/>
        </w:rPr>
      </w:pPr>
    </w:p>
    <w:p>
      <w:pPr>
        <w:ind w:left="800" w:hanging="144"/>
        <w:spacing w:after="0"/>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the Company’s stage of development;</w:t>
      </w:r>
    </w:p>
    <w:p>
      <w:pPr>
        <w:spacing w:after="0" w:line="201" w:lineRule="exact"/>
        <w:rPr>
          <w:rFonts w:ascii="Georgia" w:cs="Georgia" w:eastAsia="Georgia" w:hAnsi="Georgia"/>
          <w:sz w:val="18"/>
          <w:szCs w:val="18"/>
          <w:color w:val="auto"/>
        </w:rPr>
      </w:pPr>
    </w:p>
    <w:p>
      <w:pPr>
        <w:ind w:right="220" w:firstLine="656"/>
        <w:spacing w:after="0" w:line="237" w:lineRule="auto"/>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204" w:lineRule="exact"/>
        <w:rPr>
          <w:rFonts w:ascii="Georgia" w:cs="Georgia" w:eastAsia="Georgia" w:hAnsi="Georgia"/>
          <w:sz w:val="18"/>
          <w:szCs w:val="18"/>
          <w:color w:val="auto"/>
        </w:rPr>
      </w:pPr>
    </w:p>
    <w:p>
      <w:pPr>
        <w:ind w:right="140" w:firstLine="656"/>
        <w:spacing w:after="0" w:line="237" w:lineRule="auto"/>
        <w:tabs>
          <w:tab w:leader="none" w:pos="800" w:val="left"/>
        </w:tabs>
        <w:numPr>
          <w:ilvl w:val="0"/>
          <w:numId w:val="108"/>
        </w:numPr>
        <w:rPr>
          <w:rFonts w:ascii="Georgia" w:cs="Georgia" w:eastAsia="Georgia" w:hAnsi="Georgia"/>
          <w:sz w:val="18"/>
          <w:szCs w:val="18"/>
          <w:color w:val="auto"/>
        </w:rPr>
      </w:pPr>
      <w:r>
        <w:rPr>
          <w:rFonts w:ascii="Georgia" w:cs="Georgia" w:eastAsia="Georgia" w:hAnsi="Georgia"/>
          <w:sz w:val="18"/>
          <w:szCs w:val="18"/>
          <w:color w:val="auto"/>
        </w:rPr>
        <w:t>likelihood of achieving a liquidity event, such as an initial public offering, a merger or acquisition of the Company given prevailing market conditions, or other liquidation events;</w:t>
      </w:r>
    </w:p>
    <w:p>
      <w:pPr>
        <w:sectPr>
          <w:pgSz w:w="11900" w:h="16838" w:orient="portrait"/>
          <w:cols w:equalWidth="0" w:num="1">
            <w:col w:w="11240"/>
          </w:cols>
          <w:pgMar w:left="320" w:top="580" w:right="339" w:bottom="0" w:gutter="0" w:footer="0" w:header="0"/>
        </w:sectPr>
      </w:pPr>
    </w:p>
    <w:bookmarkStart w:id="160" w:name="page161"/>
    <w:bookmarkEnd w:id="160"/>
    <w:p>
      <w:pPr>
        <w:ind w:left="144" w:hanging="144"/>
        <w:spacing w:after="0"/>
        <w:tabs>
          <w:tab w:leader="none" w:pos="144" w:val="left"/>
        </w:tabs>
        <w:numPr>
          <w:ilvl w:val="0"/>
          <w:numId w:val="109"/>
        </w:numPr>
        <w:rPr>
          <w:rFonts w:ascii="Georgia" w:cs="Georgia" w:eastAsia="Georgia" w:hAnsi="Georgia"/>
          <w:sz w:val="17"/>
          <w:szCs w:val="17"/>
          <w:color w:val="auto"/>
        </w:rPr>
      </w:pPr>
      <w:r>
        <w:rPr>
          <w:rFonts w:ascii="Georgia" w:cs="Georgia" w:eastAsia="Georgia" w:hAnsi="Georgia"/>
          <w:sz w:val="17"/>
          <w:szCs w:val="17"/>
          <w:color w:val="auto"/>
        </w:rPr>
        <w:t>the market performance of comparable publicly traded companies; and</w:t>
      </w:r>
    </w:p>
    <w:p>
      <w:pPr>
        <w:spacing w:after="0" w:line="210" w:lineRule="exact"/>
        <w:rPr>
          <w:rFonts w:ascii="Georgia" w:cs="Georgia" w:eastAsia="Georgia" w:hAnsi="Georgia"/>
          <w:sz w:val="17"/>
          <w:szCs w:val="17"/>
          <w:color w:val="auto"/>
        </w:rPr>
      </w:pPr>
    </w:p>
    <w:p>
      <w:pPr>
        <w:ind w:left="144" w:hanging="144"/>
        <w:spacing w:after="0"/>
        <w:tabs>
          <w:tab w:leader="none" w:pos="144" w:val="left"/>
        </w:tabs>
        <w:numPr>
          <w:ilvl w:val="0"/>
          <w:numId w:val="109"/>
        </w:numPr>
        <w:rPr>
          <w:rFonts w:ascii="Georgia" w:cs="Georgia" w:eastAsia="Georgia" w:hAnsi="Georgia"/>
          <w:sz w:val="18"/>
          <w:szCs w:val="18"/>
          <w:color w:val="auto"/>
        </w:rPr>
      </w:pPr>
      <w:r>
        <w:rPr>
          <w:rFonts w:ascii="Georgia" w:cs="Georgia" w:eastAsia="Georgia" w:hAnsi="Georgia"/>
          <w:sz w:val="18"/>
          <w:szCs w:val="18"/>
          <w:color w:val="auto"/>
        </w:rPr>
        <w:t>the European, U.S. and global capital market conditions.</w:t>
      </w:r>
    </w:p>
    <w:p>
      <w:pPr>
        <w:spacing w:after="0" w:line="187" w:lineRule="exact"/>
        <w:rPr>
          <w:sz w:val="20"/>
          <w:szCs w:val="20"/>
          <w:color w:val="auto"/>
        </w:rPr>
      </w:pPr>
    </w:p>
    <w:p>
      <w:pPr>
        <w:jc w:val="center"/>
        <w:ind w:right="-444"/>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339" w:right="1440" w:bottom="1440" w:gutter="0" w:footer="0" w:header="0"/>
        </w:sectPr>
      </w:pPr>
    </w:p>
    <w:bookmarkStart w:id="161" w:name="page162"/>
    <w:bookmarkEnd w:id="161"/>
    <w:p>
      <w:pPr>
        <w:ind w:right="60" w:firstLine="648"/>
        <w:spacing w:after="0" w:line="237" w:lineRule="auto"/>
        <w:rPr>
          <w:sz w:val="20"/>
          <w:szCs w:val="20"/>
          <w:color w:val="auto"/>
        </w:rPr>
      </w:pPr>
      <w:r>
        <w:rPr>
          <w:rFonts w:ascii="Georgia" w:cs="Georgia" w:eastAsia="Georgia" w:hAnsi="Georgia"/>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205"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206" w:lineRule="exact"/>
        <w:rPr>
          <w:sz w:val="20"/>
          <w:szCs w:val="20"/>
          <w:color w:val="auto"/>
        </w:rPr>
      </w:pPr>
    </w:p>
    <w:p>
      <w:pPr>
        <w:ind w:right="120" w:firstLine="648"/>
        <w:spacing w:after="0" w:line="237" w:lineRule="auto"/>
        <w:rPr>
          <w:sz w:val="20"/>
          <w:szCs w:val="20"/>
          <w:color w:val="auto"/>
        </w:rPr>
      </w:pPr>
      <w:r>
        <w:rPr>
          <w:rFonts w:ascii="Georgia" w:cs="Georgia" w:eastAsia="Georgia" w:hAnsi="Georgia"/>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Weighted average shares</w:t>
      </w:r>
    </w:p>
    <w:p>
      <w:pPr>
        <w:spacing w:after="0" w:line="202" w:lineRule="exact"/>
        <w:rPr>
          <w:sz w:val="20"/>
          <w:szCs w:val="20"/>
          <w:color w:val="auto"/>
        </w:rPr>
      </w:pPr>
    </w:p>
    <w:p>
      <w:pPr>
        <w:ind w:right="80" w:firstLine="648"/>
        <w:spacing w:after="0" w:line="237" w:lineRule="auto"/>
        <w:rPr>
          <w:sz w:val="20"/>
          <w:szCs w:val="20"/>
          <w:color w:val="auto"/>
        </w:rPr>
      </w:pPr>
      <w:r>
        <w:rPr>
          <w:rFonts w:ascii="Georgia" w:cs="Georgia" w:eastAsia="Georgia" w:hAnsi="Georgia"/>
          <w:sz w:val="18"/>
          <w:szCs w:val="18"/>
          <w:color w:val="auto"/>
        </w:rPr>
        <w:t>As a result of the Company’s conversion to an S.P.A. in June 2021, the Company converted all of its ownership to common stock. From that point forward, the Company was able to calculate both a weighted average and pro forma weighted average number of shares outstanding. The calculation was performed by taking the number of shares outstanding during a given period and weighting them for the number of days that number of shares were outstanding. Prior to June 2021, the Company was unable to convert quota to shares, in part due to the fact that quota carried different rights and privileges, so the Company was not sure how all quota would be treated in the conversion; however, shareholders agreed at the conversion in June 2021 that all classes of quota would be treated equally and all quota were exchanged for shares on a 1:1 basis and all the preferences were removed. Therefore, the Company was able to calculate a weighted average for the Company’s December 31, 2021 consolidated financial statement presentation. For the year ended December 31, 2021, there was a weighted average of 15,083,825 shares of the Company’s common stock, no par value. No corresponding calculation was available at December 31, 2020.</w:t>
      </w:r>
    </w:p>
    <w:p>
      <w:pPr>
        <w:spacing w:after="0" w:line="206" w:lineRule="exact"/>
        <w:rPr>
          <w:sz w:val="20"/>
          <w:szCs w:val="20"/>
          <w:color w:val="auto"/>
        </w:rPr>
      </w:pPr>
    </w:p>
    <w:p>
      <w:pPr>
        <w:ind w:left="20"/>
        <w:spacing w:after="0"/>
        <w:rPr>
          <w:sz w:val="20"/>
          <w:szCs w:val="20"/>
          <w:color w:val="auto"/>
        </w:rPr>
      </w:pPr>
      <w:r>
        <w:rPr>
          <w:rFonts w:ascii="Georgia" w:cs="Georgia" w:eastAsia="Georgia" w:hAnsi="Georgia"/>
          <w:sz w:val="18"/>
          <w:szCs w:val="18"/>
          <w:b w:val="1"/>
          <w:bCs w:val="1"/>
          <w:color w:val="auto"/>
        </w:rPr>
        <w:t>12. Related parties</w:t>
      </w:r>
    </w:p>
    <w:p>
      <w:pPr>
        <w:spacing w:after="0" w:line="202" w:lineRule="exact"/>
        <w:rPr>
          <w:sz w:val="20"/>
          <w:szCs w:val="20"/>
          <w:color w:val="auto"/>
        </w:rPr>
      </w:pPr>
    </w:p>
    <w:p>
      <w:pPr>
        <w:ind w:right="620" w:firstLine="647"/>
        <w:spacing w:after="0" w:line="237" w:lineRule="auto"/>
        <w:rPr>
          <w:sz w:val="20"/>
          <w:szCs w:val="20"/>
          <w:color w:val="auto"/>
        </w:rPr>
      </w:pPr>
      <w:r>
        <w:rPr>
          <w:rFonts w:ascii="Georgia" w:cs="Georgia" w:eastAsia="Georgia" w:hAnsi="Georgia"/>
          <w:sz w:val="18"/>
          <w:szCs w:val="18"/>
          <w:color w:val="auto"/>
        </w:rPr>
        <w:t>The Company’s research and development expenses are a combination of third-party expenses, and related party expenses, as detailed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right"/>
              <w:ind w:right="650"/>
              <w:spacing w:after="0"/>
              <w:rPr>
                <w:sz w:val="20"/>
                <w:szCs w:val="20"/>
                <w:color w:val="auto"/>
              </w:rPr>
            </w:pPr>
            <w:r>
              <w:rPr>
                <w:rFonts w:ascii="Georgia" w:cs="Georgia" w:eastAsia="Georgia" w:hAnsi="Georgia"/>
                <w:sz w:val="18"/>
                <w:szCs w:val="18"/>
                <w:b w:val="1"/>
                <w:bCs w:val="1"/>
                <w:color w:val="auto"/>
              </w:rPr>
              <w:t>For the Year Ended December 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460"/>
              <w:spacing w:after="0"/>
              <w:rPr>
                <w:sz w:val="20"/>
                <w:szCs w:val="20"/>
                <w:color w:val="auto"/>
              </w:rPr>
            </w:pPr>
            <w:r>
              <w:rPr>
                <w:rFonts w:ascii="Georgia" w:cs="Georgia" w:eastAsia="Georgia" w:hAnsi="Georgia"/>
                <w:sz w:val="18"/>
                <w:szCs w:val="18"/>
                <w:b w:val="1"/>
                <w:bCs w:val="1"/>
                <w:color w:val="auto"/>
                <w:w w:val="99"/>
              </w:rPr>
              <w:t>Third Parties</w:t>
            </w:r>
          </w:p>
        </w:tc>
        <w:tc>
          <w:tcPr>
            <w:tcW w:w="1780" w:type="dxa"/>
            <w:vAlign w:val="bottom"/>
            <w:gridSpan w:val="3"/>
          </w:tcPr>
          <w:p>
            <w:pPr>
              <w:ind w:left="20"/>
              <w:spacing w:after="0"/>
              <w:rPr>
                <w:sz w:val="20"/>
                <w:szCs w:val="20"/>
                <w:color w:val="auto"/>
              </w:rPr>
            </w:pPr>
            <w:r>
              <w:rPr>
                <w:rFonts w:ascii="Georgia" w:cs="Georgia" w:eastAsia="Georgia" w:hAnsi="Georgia"/>
                <w:sz w:val="18"/>
                <w:szCs w:val="18"/>
                <w:b w:val="1"/>
                <w:bCs w:val="1"/>
                <w:color w:val="auto"/>
              </w:rPr>
              <w:t>Related Parties</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Georgia" w:cs="Georgia" w:eastAsia="Georgia" w:hAnsi="Georgia"/>
                <w:sz w:val="18"/>
                <w:szCs w:val="18"/>
                <w:b w:val="1"/>
                <w:bCs w:val="1"/>
                <w:color w:val="auto"/>
              </w:rPr>
              <w:t>Total</w:t>
            </w: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660"/>
              <w:spacing w:after="0" w:line="202" w:lineRule="exact"/>
              <w:rPr>
                <w:sz w:val="20"/>
                <w:szCs w:val="20"/>
                <w:color w:val="auto"/>
              </w:rPr>
            </w:pPr>
            <w:r>
              <w:rPr>
                <w:rFonts w:ascii="Georgia" w:cs="Georgia" w:eastAsia="Georgia" w:hAnsi="Georgia"/>
                <w:sz w:val="18"/>
                <w:szCs w:val="18"/>
                <w:color w:val="auto"/>
              </w:rPr>
              <w:t>(in Euros)</w:t>
            </w: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Consultants &amp; other third parties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w w:val="86"/>
              </w:rPr>
              <w:t>€</w:t>
            </w:r>
          </w:p>
        </w:tc>
        <w:tc>
          <w:tcPr>
            <w:tcW w:w="170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946,156</w:t>
            </w:r>
          </w:p>
        </w:tc>
        <w:tc>
          <w:tcPr>
            <w:tcW w:w="2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711,464</w:t>
            </w:r>
          </w:p>
        </w:tc>
        <w:tc>
          <w:tcPr>
            <w:tcW w:w="3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26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1,657,620</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Georgia" w:cs="Georgia" w:eastAsia="Georgia" w:hAnsi="Georgia"/>
                <w:sz w:val="18"/>
                <w:szCs w:val="18"/>
                <w:color w:val="auto"/>
              </w:rPr>
              <w:t>Materials &amp; supplies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1,231,019</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1,231,019</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Compensation (including share-based)</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284,957</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214,892</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499,849</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Georgia" w:cs="Georgia" w:eastAsia="Georgia" w:hAnsi="Georgia"/>
                <w:sz w:val="18"/>
                <w:szCs w:val="18"/>
                <w:color w:val="auto"/>
              </w:rPr>
              <w:t>Travel &amp; entertainment</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596</w:t>
            </w:r>
          </w:p>
        </w:tc>
        <w:tc>
          <w:tcPr>
            <w:tcW w:w="30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596</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Other</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Georgia" w:cs="Georgia" w:eastAsia="Georgia" w:hAnsi="Georgia"/>
                <w:sz w:val="18"/>
                <w:szCs w:val="18"/>
                <w:color w:val="auto"/>
              </w:rPr>
              <w:t>1,593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Georgia" w:cs="Georgia" w:eastAsia="Georgia" w:hAnsi="Georgia"/>
                <w:sz w:val="18"/>
                <w:szCs w:val="18"/>
                <w:color w:val="auto"/>
              </w:rPr>
              <w:t>1,593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vMerge w:val="restart"/>
          </w:tcPr>
          <w:p>
            <w:pPr>
              <w:spacing w:after="0" w:line="203" w:lineRule="exact"/>
              <w:rPr>
                <w:sz w:val="20"/>
                <w:szCs w:val="20"/>
                <w:color w:val="auto"/>
              </w:rPr>
            </w:pPr>
            <w:r>
              <w:rPr>
                <w:rFonts w:ascii="Georgia" w:cs="Georgia" w:eastAsia="Georgia" w:hAnsi="Georgia"/>
                <w:sz w:val="18"/>
                <w:szCs w:val="18"/>
                <w:color w:val="auto"/>
              </w:rPr>
              <w:t>Total</w:t>
            </w: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Georgia" w:cs="Georgia" w:eastAsia="Georgia" w:hAnsi="Georgia"/>
                <w:sz w:val="18"/>
                <w:szCs w:val="18"/>
                <w:color w:val="auto"/>
                <w:w w:val="86"/>
              </w:rPr>
              <w:t>€</w:t>
            </w:r>
          </w:p>
        </w:tc>
        <w:tc>
          <w:tcPr>
            <w:tcW w:w="1700" w:type="dxa"/>
            <w:vAlign w:val="bottom"/>
            <w:gridSpan w:val="2"/>
          </w:tcPr>
          <w:p>
            <w:pPr>
              <w:jc w:val="right"/>
              <w:ind w:right="340"/>
              <w:spacing w:after="0" w:line="203" w:lineRule="exact"/>
              <w:rPr>
                <w:sz w:val="20"/>
                <w:szCs w:val="20"/>
                <w:color w:val="auto"/>
              </w:rPr>
            </w:pPr>
            <w:r>
              <w:rPr>
                <w:rFonts w:ascii="Georgia" w:cs="Georgia" w:eastAsia="Georgia" w:hAnsi="Georgia"/>
                <w:sz w:val="18"/>
                <w:szCs w:val="18"/>
                <w:color w:val="auto"/>
              </w:rPr>
              <w:t>2,463,725</w:t>
            </w:r>
          </w:p>
        </w:tc>
        <w:tc>
          <w:tcPr>
            <w:tcW w:w="2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58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926,952</w:t>
            </w:r>
          </w:p>
        </w:tc>
        <w:tc>
          <w:tcPr>
            <w:tcW w:w="3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260" w:type="dxa"/>
            <w:vAlign w:val="bottom"/>
            <w:gridSpan w:val="2"/>
          </w:tcPr>
          <w:p>
            <w:pPr>
              <w:jc w:val="right"/>
              <w:ind w:right="100"/>
              <w:spacing w:after="0" w:line="203" w:lineRule="exact"/>
              <w:rPr>
                <w:sz w:val="20"/>
                <w:szCs w:val="20"/>
                <w:color w:val="auto"/>
              </w:rPr>
            </w:pPr>
            <w:r>
              <w:rPr>
                <w:rFonts w:ascii="Georgia" w:cs="Georgia" w:eastAsia="Georgia" w:hAnsi="Georgia"/>
                <w:sz w:val="18"/>
                <w:szCs w:val="18"/>
                <w:color w:val="auto"/>
              </w:rPr>
              <w:t>3,390,677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rPr>
              <w:t>F-21</w:t>
            </w: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right"/>
              <w:ind w:right="630"/>
              <w:spacing w:after="0"/>
              <w:rPr>
                <w:sz w:val="20"/>
                <w:szCs w:val="20"/>
                <w:color w:val="auto"/>
              </w:rPr>
            </w:pPr>
            <w:r>
              <w:rPr>
                <w:rFonts w:ascii="Georgia" w:cs="Georgia" w:eastAsia="Georgia" w:hAnsi="Georgia"/>
                <w:sz w:val="18"/>
                <w:szCs w:val="18"/>
                <w:b w:val="1"/>
                <w:bCs w:val="1"/>
                <w:color w:val="auto"/>
              </w:rPr>
              <w:t>For the Year Ended December 31, 2020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460"/>
              <w:spacing w:after="0"/>
              <w:rPr>
                <w:sz w:val="20"/>
                <w:szCs w:val="20"/>
                <w:color w:val="auto"/>
              </w:rPr>
            </w:pPr>
            <w:r>
              <w:rPr>
                <w:rFonts w:ascii="Georgia" w:cs="Georgia" w:eastAsia="Georgia" w:hAnsi="Georgia"/>
                <w:sz w:val="18"/>
                <w:szCs w:val="18"/>
                <w:b w:val="1"/>
                <w:bCs w:val="1"/>
                <w:color w:val="auto"/>
                <w:w w:val="99"/>
              </w:rPr>
              <w:t>Third Parties</w:t>
            </w:r>
          </w:p>
        </w:tc>
        <w:tc>
          <w:tcPr>
            <w:tcW w:w="1780" w:type="dxa"/>
            <w:vAlign w:val="bottom"/>
            <w:gridSpan w:val="3"/>
          </w:tcPr>
          <w:p>
            <w:pPr>
              <w:ind w:left="20"/>
              <w:spacing w:after="0"/>
              <w:rPr>
                <w:sz w:val="20"/>
                <w:szCs w:val="20"/>
                <w:color w:val="auto"/>
              </w:rPr>
            </w:pPr>
            <w:r>
              <w:rPr>
                <w:rFonts w:ascii="Georgia" w:cs="Georgia" w:eastAsia="Georgia" w:hAnsi="Georgia"/>
                <w:sz w:val="18"/>
                <w:szCs w:val="18"/>
                <w:b w:val="1"/>
                <w:bCs w:val="1"/>
                <w:color w:val="auto"/>
              </w:rPr>
              <w:t>Related Parties</w:t>
            </w:r>
          </w:p>
        </w:tc>
        <w:tc>
          <w:tcPr>
            <w:tcW w:w="300" w:type="dxa"/>
            <w:vAlign w:val="bottom"/>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Georgia" w:cs="Georgia" w:eastAsia="Georgia" w:hAnsi="Georgia"/>
                <w:sz w:val="18"/>
                <w:szCs w:val="18"/>
                <w:b w:val="1"/>
                <w:bCs w:val="1"/>
                <w:color w:val="auto"/>
              </w:rPr>
              <w:t>Total</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660"/>
              <w:spacing w:after="0" w:line="202" w:lineRule="exact"/>
              <w:rPr>
                <w:sz w:val="20"/>
                <w:szCs w:val="20"/>
                <w:color w:val="auto"/>
              </w:rPr>
            </w:pPr>
            <w:r>
              <w:rPr>
                <w:rFonts w:ascii="Georgia" w:cs="Georgia" w:eastAsia="Georgia" w:hAnsi="Georgia"/>
                <w:sz w:val="18"/>
                <w:szCs w:val="18"/>
                <w:color w:val="auto"/>
              </w:rPr>
              <w:t>(in Euros)</w:t>
            </w: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Consultants &amp; other third parties</w:t>
            </w:r>
          </w:p>
        </w:tc>
        <w:tc>
          <w:tcPr>
            <w:tcW w:w="1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w w:val="86"/>
              </w:rPr>
              <w:t>€</w:t>
            </w:r>
          </w:p>
        </w:tc>
        <w:tc>
          <w:tcPr>
            <w:tcW w:w="170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1,454,576</w:t>
            </w:r>
          </w:p>
        </w:tc>
        <w:tc>
          <w:tcPr>
            <w:tcW w:w="2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2,009,884</w:t>
            </w:r>
          </w:p>
        </w:tc>
        <w:tc>
          <w:tcPr>
            <w:tcW w:w="3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180" w:type="dxa"/>
            <w:vAlign w:val="bottom"/>
            <w:gridSpan w:val="2"/>
            <w:shd w:val="clear" w:color="auto" w:fill="CCEEFF"/>
          </w:tcPr>
          <w:p>
            <w:pPr>
              <w:jc w:val="right"/>
              <w:ind w:right="20"/>
              <w:spacing w:after="0" w:line="202" w:lineRule="exact"/>
              <w:rPr>
                <w:sz w:val="20"/>
                <w:szCs w:val="20"/>
                <w:color w:val="auto"/>
              </w:rPr>
            </w:pPr>
            <w:r>
              <w:rPr>
                <w:rFonts w:ascii="Georgia" w:cs="Georgia" w:eastAsia="Georgia" w:hAnsi="Georgia"/>
                <w:sz w:val="18"/>
                <w:szCs w:val="18"/>
                <w:color w:val="auto"/>
              </w:rPr>
              <w:t>3,464,460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Materials &amp; supplies</w:t>
            </w:r>
          </w:p>
        </w:tc>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709,183</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3,124</w:t>
            </w:r>
          </w:p>
        </w:tc>
        <w:tc>
          <w:tcPr>
            <w:tcW w:w="30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Georgia" w:cs="Georgia" w:eastAsia="Georgia" w:hAnsi="Georgia"/>
                <w:sz w:val="18"/>
                <w:szCs w:val="18"/>
                <w:color w:val="auto"/>
              </w:rPr>
              <w:t>712,307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Compensation (including share-based)</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145,700</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326,400</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line="202" w:lineRule="exact"/>
              <w:rPr>
                <w:sz w:val="20"/>
                <w:szCs w:val="20"/>
                <w:color w:val="auto"/>
              </w:rPr>
            </w:pPr>
            <w:r>
              <w:rPr>
                <w:rFonts w:ascii="Georgia" w:cs="Georgia" w:eastAsia="Georgia" w:hAnsi="Georgia"/>
                <w:sz w:val="18"/>
                <w:szCs w:val="18"/>
                <w:color w:val="auto"/>
              </w:rPr>
              <w:t>472,100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Travel &amp; entertainment</w:t>
            </w:r>
          </w:p>
        </w:tc>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16,742</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17,724</w:t>
            </w:r>
          </w:p>
        </w:tc>
        <w:tc>
          <w:tcPr>
            <w:tcW w:w="30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Georgia" w:cs="Georgia" w:eastAsia="Georgia" w:hAnsi="Georgia"/>
                <w:sz w:val="18"/>
                <w:szCs w:val="18"/>
                <w:color w:val="auto"/>
              </w:rPr>
              <w:t>34,466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Other</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Georgia" w:cs="Georgia" w:eastAsia="Georgia" w:hAnsi="Georgia"/>
                <w:sz w:val="18"/>
                <w:szCs w:val="18"/>
                <w:color w:val="auto"/>
              </w:rPr>
              <w:t>5,128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Georgia" w:cs="Georgia" w:eastAsia="Georgia" w:hAnsi="Georgia"/>
                <w:sz w:val="18"/>
                <w:szCs w:val="18"/>
                <w:color w:val="auto"/>
              </w:rPr>
              <w:t>5,128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vMerge w:val="restart"/>
          </w:tcPr>
          <w:p>
            <w:pPr>
              <w:spacing w:after="0" w:line="203" w:lineRule="exact"/>
              <w:rPr>
                <w:sz w:val="20"/>
                <w:szCs w:val="20"/>
                <w:color w:val="auto"/>
              </w:rPr>
            </w:pPr>
            <w:r>
              <w:rPr>
                <w:rFonts w:ascii="Georgia" w:cs="Georgia" w:eastAsia="Georgia" w:hAnsi="Georgia"/>
                <w:sz w:val="18"/>
                <w:szCs w:val="18"/>
                <w:color w:val="auto"/>
              </w:rPr>
              <w:t>Total</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120" w:type="dxa"/>
            <w:vAlign w:val="bottom"/>
          </w:tcPr>
          <w:p>
            <w:pPr>
              <w:spacing w:after="0" w:line="203" w:lineRule="exact"/>
              <w:rPr>
                <w:sz w:val="20"/>
                <w:szCs w:val="20"/>
                <w:color w:val="auto"/>
              </w:rPr>
            </w:pPr>
            <w:r>
              <w:rPr>
                <w:rFonts w:ascii="Georgia" w:cs="Georgia" w:eastAsia="Georgia" w:hAnsi="Georgia"/>
                <w:sz w:val="18"/>
                <w:szCs w:val="18"/>
                <w:color w:val="auto"/>
                <w:w w:val="86"/>
              </w:rPr>
              <w:t>€</w:t>
            </w:r>
          </w:p>
        </w:tc>
        <w:tc>
          <w:tcPr>
            <w:tcW w:w="1700" w:type="dxa"/>
            <w:vAlign w:val="bottom"/>
            <w:gridSpan w:val="2"/>
          </w:tcPr>
          <w:p>
            <w:pPr>
              <w:jc w:val="right"/>
              <w:ind w:right="340"/>
              <w:spacing w:after="0" w:line="203" w:lineRule="exact"/>
              <w:rPr>
                <w:sz w:val="20"/>
                <w:szCs w:val="20"/>
                <w:color w:val="auto"/>
              </w:rPr>
            </w:pPr>
            <w:r>
              <w:rPr>
                <w:rFonts w:ascii="Georgia" w:cs="Georgia" w:eastAsia="Georgia" w:hAnsi="Georgia"/>
                <w:sz w:val="18"/>
                <w:szCs w:val="18"/>
                <w:color w:val="auto"/>
              </w:rPr>
              <w:t>2,331,329</w:t>
            </w:r>
          </w:p>
        </w:tc>
        <w:tc>
          <w:tcPr>
            <w:tcW w:w="2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58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2,357,132</w:t>
            </w:r>
          </w:p>
        </w:tc>
        <w:tc>
          <w:tcPr>
            <w:tcW w:w="3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180" w:type="dxa"/>
            <w:vAlign w:val="bottom"/>
            <w:gridSpan w:val="2"/>
          </w:tcPr>
          <w:p>
            <w:pPr>
              <w:jc w:val="right"/>
              <w:ind w:right="20"/>
              <w:spacing w:after="0" w:line="203" w:lineRule="exact"/>
              <w:rPr>
                <w:sz w:val="20"/>
                <w:szCs w:val="20"/>
                <w:color w:val="auto"/>
              </w:rPr>
            </w:pPr>
            <w:r>
              <w:rPr>
                <w:rFonts w:ascii="Georgia" w:cs="Georgia" w:eastAsia="Georgia" w:hAnsi="Georgia"/>
                <w:sz w:val="18"/>
                <w:szCs w:val="18"/>
                <w:color w:val="auto"/>
              </w:rPr>
              <w:t>4,688,461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right"/>
              <w:ind w:right="650"/>
              <w:spacing w:after="0"/>
              <w:rPr>
                <w:sz w:val="20"/>
                <w:szCs w:val="20"/>
                <w:color w:val="auto"/>
              </w:rPr>
            </w:pPr>
            <w:r>
              <w:rPr>
                <w:rFonts w:ascii="Georgia" w:cs="Georgia" w:eastAsia="Georgia" w:hAnsi="Georgia"/>
                <w:sz w:val="18"/>
                <w:szCs w:val="18"/>
                <w:b w:val="1"/>
                <w:bCs w:val="1"/>
                <w:color w:val="auto"/>
              </w:rPr>
              <w:t>For the Year Ended December 31, 2019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460"/>
              <w:spacing w:after="0"/>
              <w:rPr>
                <w:sz w:val="20"/>
                <w:szCs w:val="20"/>
                <w:color w:val="auto"/>
              </w:rPr>
            </w:pPr>
            <w:r>
              <w:rPr>
                <w:rFonts w:ascii="Georgia" w:cs="Georgia" w:eastAsia="Georgia" w:hAnsi="Georgia"/>
                <w:sz w:val="18"/>
                <w:szCs w:val="18"/>
                <w:b w:val="1"/>
                <w:bCs w:val="1"/>
                <w:color w:val="auto"/>
                <w:w w:val="99"/>
              </w:rPr>
              <w:t>Third Parties</w:t>
            </w:r>
          </w:p>
        </w:tc>
        <w:tc>
          <w:tcPr>
            <w:tcW w:w="1780" w:type="dxa"/>
            <w:vAlign w:val="bottom"/>
            <w:gridSpan w:val="3"/>
          </w:tcPr>
          <w:p>
            <w:pPr>
              <w:ind w:left="20"/>
              <w:spacing w:after="0"/>
              <w:rPr>
                <w:sz w:val="20"/>
                <w:szCs w:val="20"/>
                <w:color w:val="auto"/>
              </w:rPr>
            </w:pPr>
            <w:r>
              <w:rPr>
                <w:rFonts w:ascii="Georgia" w:cs="Georgia" w:eastAsia="Georgia" w:hAnsi="Georgia"/>
                <w:sz w:val="18"/>
                <w:szCs w:val="18"/>
                <w:b w:val="1"/>
                <w:bCs w:val="1"/>
                <w:color w:val="auto"/>
              </w:rPr>
              <w:t>Related Parties</w:t>
            </w:r>
          </w:p>
        </w:tc>
        <w:tc>
          <w:tcPr>
            <w:tcW w:w="300" w:type="dxa"/>
            <w:vAlign w:val="bottom"/>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Georgia" w:cs="Georgia" w:eastAsia="Georgia" w:hAnsi="Georgia"/>
                <w:sz w:val="18"/>
                <w:szCs w:val="18"/>
                <w:b w:val="1"/>
                <w:bCs w:val="1"/>
                <w:color w:val="auto"/>
              </w:rPr>
              <w:t>Total</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ind w:right="600"/>
              <w:spacing w:after="0" w:line="202" w:lineRule="exact"/>
              <w:rPr>
                <w:sz w:val="20"/>
                <w:szCs w:val="20"/>
                <w:color w:val="auto"/>
              </w:rPr>
            </w:pPr>
            <w:r>
              <w:rPr>
                <w:rFonts w:ascii="Georgia" w:cs="Georgia" w:eastAsia="Georgia" w:hAnsi="Georgia"/>
                <w:sz w:val="18"/>
                <w:szCs w:val="18"/>
                <w:color w:val="auto"/>
              </w:rPr>
              <w:t>(in Euros)</w:t>
            </w: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Consultants &amp; other third parties</w:t>
            </w:r>
          </w:p>
        </w:tc>
        <w:tc>
          <w:tcPr>
            <w:tcW w:w="12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w w:val="86"/>
              </w:rPr>
              <w:t>€</w:t>
            </w:r>
          </w:p>
        </w:tc>
        <w:tc>
          <w:tcPr>
            <w:tcW w:w="170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74,518</w:t>
            </w:r>
          </w:p>
        </w:tc>
        <w:tc>
          <w:tcPr>
            <w:tcW w:w="2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54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2,036,870</w:t>
            </w:r>
          </w:p>
        </w:tc>
        <w:tc>
          <w:tcPr>
            <w:tcW w:w="3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180" w:type="dxa"/>
            <w:vAlign w:val="bottom"/>
            <w:gridSpan w:val="2"/>
            <w:shd w:val="clear" w:color="auto" w:fill="CCEEFF"/>
          </w:tcPr>
          <w:p>
            <w:pPr>
              <w:jc w:val="right"/>
              <w:ind w:right="20"/>
              <w:spacing w:after="0" w:line="202" w:lineRule="exact"/>
              <w:rPr>
                <w:sz w:val="20"/>
                <w:szCs w:val="20"/>
                <w:color w:val="auto"/>
              </w:rPr>
            </w:pPr>
            <w:r>
              <w:rPr>
                <w:rFonts w:ascii="Georgia" w:cs="Georgia" w:eastAsia="Georgia" w:hAnsi="Georgia"/>
                <w:sz w:val="18"/>
                <w:szCs w:val="18"/>
                <w:color w:val="auto"/>
              </w:rPr>
              <w:t>2,111,388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Compensation (including share-based)</w:t>
            </w:r>
          </w:p>
        </w:tc>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171,289</w:t>
            </w:r>
          </w:p>
        </w:tc>
        <w:tc>
          <w:tcPr>
            <w:tcW w:w="240" w:type="dxa"/>
            <w:vAlign w:val="bottom"/>
          </w:tcPr>
          <w:p>
            <w:pPr>
              <w:spacing w:after="0"/>
              <w:rPr>
                <w:sz w:val="17"/>
                <w:szCs w:val="17"/>
                <w:color w:val="auto"/>
              </w:rPr>
            </w:pPr>
          </w:p>
        </w:tc>
        <w:tc>
          <w:tcPr>
            <w:tcW w:w="154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581,949</w:t>
            </w:r>
          </w:p>
        </w:tc>
        <w:tc>
          <w:tcPr>
            <w:tcW w:w="30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Georgia" w:cs="Georgia" w:eastAsia="Georgia" w:hAnsi="Georgia"/>
                <w:sz w:val="18"/>
                <w:szCs w:val="18"/>
                <w:color w:val="auto"/>
              </w:rPr>
              <w:t>753,238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Materials &amp; supplies</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649,574</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line="202" w:lineRule="exact"/>
              <w:rPr>
                <w:sz w:val="20"/>
                <w:szCs w:val="20"/>
                <w:color w:val="auto"/>
              </w:rPr>
            </w:pPr>
            <w:r>
              <w:rPr>
                <w:rFonts w:ascii="Georgia" w:cs="Georgia" w:eastAsia="Georgia" w:hAnsi="Georgia"/>
                <w:sz w:val="18"/>
                <w:szCs w:val="18"/>
                <w:color w:val="auto"/>
              </w:rPr>
              <w:t>649,574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Travel &amp; entertainment</w:t>
            </w:r>
          </w:p>
        </w:tc>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97,063</w:t>
            </w:r>
          </w:p>
        </w:tc>
        <w:tc>
          <w:tcPr>
            <w:tcW w:w="240" w:type="dxa"/>
            <w:vAlign w:val="bottom"/>
          </w:tcPr>
          <w:p>
            <w:pPr>
              <w:spacing w:after="0"/>
              <w:rPr>
                <w:sz w:val="17"/>
                <w:szCs w:val="17"/>
                <w:color w:val="auto"/>
              </w:rPr>
            </w:pPr>
          </w:p>
        </w:tc>
        <w:tc>
          <w:tcPr>
            <w:tcW w:w="154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36,510</w:t>
            </w:r>
          </w:p>
        </w:tc>
        <w:tc>
          <w:tcPr>
            <w:tcW w:w="30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Georgia" w:cs="Georgia" w:eastAsia="Georgia" w:hAnsi="Georgia"/>
                <w:sz w:val="18"/>
                <w:szCs w:val="18"/>
                <w:color w:val="auto"/>
              </w:rPr>
              <w:t>133,573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spacing w:after="0" w:line="203" w:lineRule="exact"/>
              <w:rPr>
                <w:sz w:val="20"/>
                <w:szCs w:val="20"/>
                <w:color w:val="auto"/>
              </w:rPr>
            </w:pPr>
            <w:r>
              <w:rPr>
                <w:rFonts w:ascii="Georgia" w:cs="Georgia" w:eastAsia="Georgia" w:hAnsi="Georgia"/>
                <w:sz w:val="18"/>
                <w:szCs w:val="18"/>
                <w:color w:val="auto"/>
              </w:rPr>
              <w:t>Other</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Georgia" w:cs="Georgia" w:eastAsia="Georgia" w:hAnsi="Georgia"/>
                <w:sz w:val="18"/>
                <w:szCs w:val="18"/>
                <w:color w:val="auto"/>
              </w:rPr>
              <w:t>55,209</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Georgia" w:cs="Georgia" w:eastAsia="Georgia" w:hAnsi="Georgia"/>
                <w:sz w:val="18"/>
                <w:szCs w:val="18"/>
                <w:color w:val="auto"/>
              </w:rPr>
              <w:t>55,209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vMerge w:val="restart"/>
          </w:tcPr>
          <w:p>
            <w:pPr>
              <w:spacing w:after="0" w:line="203" w:lineRule="exact"/>
              <w:rPr>
                <w:sz w:val="20"/>
                <w:szCs w:val="20"/>
                <w:color w:val="auto"/>
              </w:rPr>
            </w:pPr>
            <w:r>
              <w:rPr>
                <w:rFonts w:ascii="Georgia" w:cs="Georgia" w:eastAsia="Georgia" w:hAnsi="Georgia"/>
                <w:sz w:val="18"/>
                <w:szCs w:val="18"/>
                <w:color w:val="auto"/>
              </w:rPr>
              <w:t>Total</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120" w:type="dxa"/>
            <w:vAlign w:val="bottom"/>
          </w:tcPr>
          <w:p>
            <w:pPr>
              <w:spacing w:after="0" w:line="203" w:lineRule="exact"/>
              <w:rPr>
                <w:sz w:val="20"/>
                <w:szCs w:val="20"/>
                <w:color w:val="auto"/>
              </w:rPr>
            </w:pPr>
            <w:r>
              <w:rPr>
                <w:rFonts w:ascii="Georgia" w:cs="Georgia" w:eastAsia="Georgia" w:hAnsi="Georgia"/>
                <w:sz w:val="18"/>
                <w:szCs w:val="18"/>
                <w:color w:val="auto"/>
                <w:w w:val="86"/>
              </w:rPr>
              <w:t>€</w:t>
            </w:r>
          </w:p>
        </w:tc>
        <w:tc>
          <w:tcPr>
            <w:tcW w:w="1700" w:type="dxa"/>
            <w:vAlign w:val="bottom"/>
            <w:gridSpan w:val="2"/>
          </w:tcPr>
          <w:p>
            <w:pPr>
              <w:jc w:val="right"/>
              <w:ind w:right="340"/>
              <w:spacing w:after="0" w:line="203" w:lineRule="exact"/>
              <w:rPr>
                <w:sz w:val="20"/>
                <w:szCs w:val="20"/>
                <w:color w:val="auto"/>
              </w:rPr>
            </w:pPr>
            <w:r>
              <w:rPr>
                <w:rFonts w:ascii="Georgia" w:cs="Georgia" w:eastAsia="Georgia" w:hAnsi="Georgia"/>
                <w:sz w:val="18"/>
                <w:szCs w:val="18"/>
                <w:color w:val="auto"/>
              </w:rPr>
              <w:t>1,047,653</w:t>
            </w:r>
          </w:p>
        </w:tc>
        <w:tc>
          <w:tcPr>
            <w:tcW w:w="24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54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2,655,329</w:t>
            </w:r>
          </w:p>
        </w:tc>
        <w:tc>
          <w:tcPr>
            <w:tcW w:w="3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180" w:type="dxa"/>
            <w:vAlign w:val="bottom"/>
            <w:gridSpan w:val="2"/>
          </w:tcPr>
          <w:p>
            <w:pPr>
              <w:jc w:val="right"/>
              <w:ind w:right="20"/>
              <w:spacing w:after="0" w:line="203" w:lineRule="exact"/>
              <w:rPr>
                <w:sz w:val="20"/>
                <w:szCs w:val="20"/>
                <w:color w:val="auto"/>
              </w:rPr>
            </w:pPr>
            <w:r>
              <w:rPr>
                <w:rFonts w:ascii="Georgia" w:cs="Georgia" w:eastAsia="Georgia" w:hAnsi="Georgia"/>
                <w:sz w:val="18"/>
                <w:szCs w:val="18"/>
                <w:color w:val="auto"/>
              </w:rPr>
              <w:t>3,702,982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40" w:firstLine="648"/>
        <w:spacing w:after="0" w:line="237" w:lineRule="auto"/>
        <w:rPr>
          <w:sz w:val="20"/>
          <w:szCs w:val="20"/>
          <w:color w:val="auto"/>
        </w:rPr>
      </w:pPr>
      <w:r>
        <w:rPr>
          <w:rFonts w:ascii="Georgia" w:cs="Georgia" w:eastAsia="Georgia" w:hAnsi="Georgia"/>
          <w:sz w:val="18"/>
          <w:szCs w:val="18"/>
          <w:color w:val="auto"/>
        </w:rPr>
        <w:t>Research and development (related party) expenses during the years ended December 31, 2021, 2020 and 2019, mainly relate to the clinical trial activity done as per the agreement with the OSR - San Raffaele Hospital. The Company recorded a research and development expense of approximately €3.4 million in 2021 (€4.6 million less €1.2 million from the compensation effect of the tax credit benefit), €4.7 million in 2020 (€5.0 million less €0.3 million from the compensation effect of the tax credit benefit) and €3.7 million in 2019 (€4.1 million less €0.4 million from the compensation effect of the tax credit benefit).</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Company’s general and administrative expenses are also a combination of third-party and related party expenses, as detailed</w:t>
      </w:r>
    </w:p>
    <w:p>
      <w:pPr>
        <w:spacing w:after="0" w:line="238" w:lineRule="auto"/>
        <w:rPr>
          <w:sz w:val="20"/>
          <w:szCs w:val="20"/>
          <w:color w:val="auto"/>
        </w:rPr>
      </w:pPr>
      <w:r>
        <w:rPr>
          <w:rFonts w:ascii="Georgia" w:cs="Georgia" w:eastAsia="Georgia" w:hAnsi="Georgia"/>
          <w:sz w:val="18"/>
          <w:szCs w:val="18"/>
          <w:color w:val="auto"/>
        </w:rPr>
        <w:t>below:</w:t>
      </w:r>
    </w:p>
    <w:p>
      <w:pPr>
        <w:spacing w:after="0" w:line="214" w:lineRule="exact"/>
        <w:rPr>
          <w:sz w:val="20"/>
          <w:szCs w:val="20"/>
          <w:color w:val="auto"/>
        </w:rPr>
      </w:pPr>
    </w:p>
    <w:p>
      <w:pPr>
        <w:ind w:left="6940"/>
        <w:spacing w:after="0"/>
        <w:rPr>
          <w:sz w:val="20"/>
          <w:szCs w:val="20"/>
          <w:color w:val="auto"/>
        </w:rPr>
      </w:pPr>
      <w:r>
        <w:rPr>
          <w:rFonts w:ascii="Georgia" w:cs="Georgia" w:eastAsia="Georgia" w:hAnsi="Georgia"/>
          <w:sz w:val="18"/>
          <w:szCs w:val="18"/>
          <w:b w:val="1"/>
          <w:bCs w:val="1"/>
          <w:color w:val="auto"/>
        </w:rPr>
        <w:t>For the Year Ended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061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6220"/>
        <w:spacing w:after="0"/>
        <w:tabs>
          <w:tab w:leader="none" w:pos="7900" w:val="left"/>
          <w:tab w:leader="none" w:pos="10140" w:val="left"/>
        </w:tabs>
        <w:rPr>
          <w:sz w:val="20"/>
          <w:szCs w:val="20"/>
          <w:color w:val="auto"/>
        </w:rPr>
      </w:pPr>
      <w:r>
        <w:rPr>
          <w:rFonts w:ascii="Georgia" w:cs="Georgia" w:eastAsia="Georgia" w:hAnsi="Georgia"/>
          <w:sz w:val="18"/>
          <w:szCs w:val="18"/>
          <w:b w:val="1"/>
          <w:bCs w:val="1"/>
          <w:color w:val="auto"/>
        </w:rPr>
        <w:t>Third Parties</w:t>
      </w:r>
      <w:r>
        <w:rPr>
          <w:sz w:val="20"/>
          <w:szCs w:val="20"/>
          <w:color w:val="auto"/>
        </w:rPr>
        <w:tab/>
      </w:r>
      <w:r>
        <w:rPr>
          <w:rFonts w:ascii="Georgia" w:cs="Georgia" w:eastAsia="Georgia" w:hAnsi="Georgia"/>
          <w:sz w:val="18"/>
          <w:szCs w:val="18"/>
          <w:b w:val="1"/>
          <w:bCs w:val="1"/>
          <w:color w:val="auto"/>
        </w:rPr>
        <w:t>Related Parties</w:t>
      </w:r>
      <w:r>
        <w:rPr>
          <w:sz w:val="20"/>
          <w:szCs w:val="20"/>
          <w:color w:val="auto"/>
        </w:rPr>
        <w:tab/>
      </w:r>
      <w:r>
        <w:rPr>
          <w:rFonts w:ascii="Georgia" w:cs="Georgia" w:eastAsia="Georgia" w:hAnsi="Georgia"/>
          <w:sz w:val="18"/>
          <w:szCs w:val="18"/>
          <w:b w:val="1"/>
          <w:bCs w:val="1"/>
          <w:color w:val="auto"/>
        </w:rPr>
        <w:t>Total</w:t>
      </w:r>
    </w:p>
    <w:p>
      <w:pPr>
        <w:sectPr>
          <w:pgSz w:w="11900" w:h="16838" w:orient="portrait"/>
          <w:cols w:equalWidth="0" w:num="1">
            <w:col w:w="11240"/>
          </w:cols>
          <w:pgMar w:left="320" w:top="594" w:right="339" w:bottom="1440" w:gutter="0" w:footer="0" w:header="0"/>
        </w:sectPr>
      </w:pPr>
    </w:p>
    <w:p>
      <w:pPr>
        <w:spacing w:after="0" w:line="229" w:lineRule="exact"/>
        <w:rPr>
          <w:sz w:val="20"/>
          <w:szCs w:val="20"/>
          <w:color w:val="auto"/>
        </w:rPr>
      </w:pPr>
    </w:p>
    <w:p>
      <w:pPr>
        <w:ind w:right="2260"/>
        <w:spacing w:after="0"/>
        <w:rPr>
          <w:sz w:val="20"/>
          <w:szCs w:val="20"/>
          <w:color w:val="auto"/>
        </w:rPr>
      </w:pPr>
      <w:r>
        <w:rPr>
          <w:rFonts w:ascii="Georgia" w:cs="Georgia" w:eastAsia="Georgia" w:hAnsi="Georgia"/>
          <w:sz w:val="18"/>
          <w:szCs w:val="18"/>
          <w:color w:val="auto"/>
        </w:rPr>
        <w:t>Compensation (including share-based) Accounting, legal &amp; other professional Communication &amp; IT related Facility &amp; insurance related Consultants &amp; other third parties Other</w:t>
      </w: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660"/>
              <w:spacing w:after="0"/>
              <w:rPr>
                <w:sz w:val="20"/>
                <w:szCs w:val="20"/>
                <w:color w:val="auto"/>
              </w:rPr>
            </w:pPr>
            <w:r>
              <w:rPr>
                <w:rFonts w:ascii="Georgia" w:cs="Georgia" w:eastAsia="Georgia" w:hAnsi="Georgia"/>
                <w:sz w:val="18"/>
                <w:szCs w:val="18"/>
                <w:color w:val="auto"/>
              </w:rPr>
              <w:t>(in Euros)</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03"/>
        </w:trPr>
        <w:tc>
          <w:tcPr>
            <w:tcW w:w="120" w:type="dxa"/>
            <w:vAlign w:val="bottom"/>
          </w:tcPr>
          <w:p>
            <w:pPr>
              <w:spacing w:after="0" w:line="202" w:lineRule="exact"/>
              <w:rPr>
                <w:sz w:val="20"/>
                <w:szCs w:val="20"/>
                <w:color w:val="auto"/>
              </w:rPr>
            </w:pPr>
            <w:r>
              <w:rPr>
                <w:rFonts w:ascii="Georgia" w:cs="Georgia" w:eastAsia="Georgia" w:hAnsi="Georgia"/>
                <w:sz w:val="18"/>
                <w:szCs w:val="18"/>
                <w:color w:val="auto"/>
                <w:w w:val="86"/>
              </w:rPr>
              <w:t>€</w:t>
            </w: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353,177</w:t>
            </w:r>
          </w:p>
        </w:tc>
        <w:tc>
          <w:tcPr>
            <w:tcW w:w="20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567,624</w:t>
            </w:r>
          </w:p>
        </w:tc>
        <w:tc>
          <w:tcPr>
            <w:tcW w:w="300" w:type="dxa"/>
            <w:vAlign w:val="bottom"/>
          </w:tcPr>
          <w:p>
            <w:pPr>
              <w:spacing w:after="0" w:line="202" w:lineRule="exact"/>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line="202" w:lineRule="exact"/>
              <w:rPr>
                <w:sz w:val="20"/>
                <w:szCs w:val="20"/>
                <w:color w:val="auto"/>
              </w:rPr>
            </w:pPr>
            <w:r>
              <w:rPr>
                <w:rFonts w:ascii="Georgia" w:cs="Georgia" w:eastAsia="Georgia" w:hAnsi="Georgia"/>
                <w:sz w:val="18"/>
                <w:szCs w:val="18"/>
                <w:color w:val="auto"/>
              </w:rPr>
              <w:t>920,801</w:t>
            </w:r>
          </w:p>
        </w:tc>
      </w:tr>
      <w:tr>
        <w:trPr>
          <w:trHeight w:val="203"/>
        </w:trPr>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390,134</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Georgia" w:cs="Georgia" w:eastAsia="Georgia" w:hAnsi="Georgia"/>
                <w:sz w:val="18"/>
                <w:szCs w:val="18"/>
                <w:color w:val="auto"/>
              </w:rPr>
              <w:t>390,134</w:t>
            </w:r>
          </w:p>
        </w:tc>
      </w:tr>
      <w:tr>
        <w:trPr>
          <w:trHeight w:val="203"/>
        </w:trPr>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52,230</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Georgia" w:cs="Georgia" w:eastAsia="Georgia" w:hAnsi="Georgia"/>
                <w:sz w:val="18"/>
                <w:szCs w:val="18"/>
                <w:color w:val="auto"/>
              </w:rPr>
              <w:t>52,230</w:t>
            </w:r>
          </w:p>
        </w:tc>
      </w:tr>
      <w:tr>
        <w:trPr>
          <w:trHeight w:val="203"/>
        </w:trPr>
        <w:tc>
          <w:tcPr>
            <w:tcW w:w="120" w:type="dxa"/>
            <w:vAlign w:val="bottom"/>
          </w:tcPr>
          <w:p>
            <w:pPr>
              <w:spacing w:after="0"/>
              <w:rPr>
                <w:sz w:val="17"/>
                <w:szCs w:val="17"/>
                <w:color w:val="auto"/>
              </w:rPr>
            </w:pPr>
          </w:p>
        </w:tc>
        <w:tc>
          <w:tcPr>
            <w:tcW w:w="170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71,181</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14,399</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Georgia" w:cs="Georgia" w:eastAsia="Georgia" w:hAnsi="Georgia"/>
                <w:sz w:val="18"/>
                <w:szCs w:val="18"/>
                <w:color w:val="auto"/>
              </w:rPr>
              <w:t>85,580</w:t>
            </w:r>
          </w:p>
        </w:tc>
      </w:tr>
      <w:tr>
        <w:trPr>
          <w:trHeight w:val="203"/>
        </w:trPr>
        <w:tc>
          <w:tcPr>
            <w:tcW w:w="120" w:type="dxa"/>
            <w:vAlign w:val="bottom"/>
          </w:tcPr>
          <w:p>
            <w:pPr>
              <w:spacing w:after="0"/>
              <w:rPr>
                <w:sz w:val="17"/>
                <w:szCs w:val="17"/>
                <w:color w:val="auto"/>
              </w:rPr>
            </w:pPr>
          </w:p>
        </w:tc>
        <w:tc>
          <w:tcPr>
            <w:tcW w:w="1700" w:type="dxa"/>
            <w:vAlign w:val="bottom"/>
            <w:gridSpan w:val="2"/>
          </w:tcPr>
          <w:p>
            <w:pPr>
              <w:jc w:val="right"/>
              <w:ind w:right="340"/>
              <w:spacing w:after="0" w:line="203" w:lineRule="exact"/>
              <w:rPr>
                <w:sz w:val="20"/>
                <w:szCs w:val="20"/>
                <w:color w:val="auto"/>
              </w:rPr>
            </w:pPr>
            <w:r>
              <w:rPr>
                <w:rFonts w:ascii="Georgia" w:cs="Georgia" w:eastAsia="Georgia" w:hAnsi="Georgia"/>
                <w:sz w:val="18"/>
                <w:szCs w:val="18"/>
                <w:color w:val="auto"/>
              </w:rPr>
              <w:t>675,688</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3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Georgia" w:cs="Georgia" w:eastAsia="Georgia" w:hAnsi="Georgia"/>
                <w:sz w:val="18"/>
                <w:szCs w:val="18"/>
                <w:color w:val="auto"/>
              </w:rPr>
              <w:t>675,688</w:t>
            </w:r>
          </w:p>
        </w:tc>
      </w:tr>
      <w:tr>
        <w:trPr>
          <w:trHeight w:val="217"/>
        </w:trPr>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164,468</w:t>
            </w: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7,695</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Georgia" w:cs="Georgia" w:eastAsia="Georgia" w:hAnsi="Georgia"/>
                <w:sz w:val="18"/>
                <w:szCs w:val="18"/>
                <w:color w:val="auto"/>
              </w:rPr>
              <w:t>172,163</w:t>
            </w:r>
          </w:p>
        </w:tc>
      </w:tr>
      <w:tr>
        <w:trPr>
          <w:trHeight w:val="28"/>
        </w:trPr>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r>
        <w:trPr>
          <w:trHeight w:val="215"/>
        </w:trPr>
        <w:tc>
          <w:tcPr>
            <w:tcW w:w="120" w:type="dxa"/>
            <w:vAlign w:val="bottom"/>
          </w:tcPr>
          <w:p>
            <w:pPr>
              <w:spacing w:after="0"/>
              <w:rPr>
                <w:sz w:val="20"/>
                <w:szCs w:val="20"/>
                <w:color w:val="auto"/>
              </w:rPr>
            </w:pPr>
            <w:r>
              <w:rPr>
                <w:rFonts w:ascii="Georgia" w:cs="Georgia" w:eastAsia="Georgia" w:hAnsi="Georgia"/>
                <w:sz w:val="18"/>
                <w:szCs w:val="18"/>
                <w:color w:val="auto"/>
                <w:w w:val="86"/>
              </w:rPr>
              <w:t>€</w:t>
            </w:r>
          </w:p>
        </w:tc>
        <w:tc>
          <w:tcPr>
            <w:tcW w:w="170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1,706,878</w:t>
            </w:r>
          </w:p>
        </w:tc>
        <w:tc>
          <w:tcPr>
            <w:tcW w:w="200" w:type="dxa"/>
            <w:vAlign w:val="bottom"/>
          </w:tcPr>
          <w:p>
            <w:pPr>
              <w:spacing w:after="0"/>
              <w:rPr>
                <w:sz w:val="20"/>
                <w:szCs w:val="20"/>
                <w:color w:val="auto"/>
              </w:rPr>
            </w:pPr>
            <w:r>
              <w:rPr>
                <w:rFonts w:ascii="Georgia" w:cs="Georgia" w:eastAsia="Georgia" w:hAnsi="Georgia"/>
                <w:sz w:val="18"/>
                <w:szCs w:val="18"/>
                <w:color w:val="auto"/>
              </w:rPr>
              <w:t>€</w:t>
            </w:r>
          </w:p>
        </w:tc>
        <w:tc>
          <w:tcPr>
            <w:tcW w:w="158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589,718</w:t>
            </w:r>
          </w:p>
        </w:tc>
        <w:tc>
          <w:tcPr>
            <w:tcW w:w="300" w:type="dxa"/>
            <w:vAlign w:val="bottom"/>
          </w:tcPr>
          <w:p>
            <w:pPr>
              <w:spacing w:after="0"/>
              <w:rPr>
                <w:sz w:val="20"/>
                <w:szCs w:val="20"/>
                <w:color w:val="auto"/>
              </w:rPr>
            </w:pPr>
            <w:r>
              <w:rPr>
                <w:rFonts w:ascii="Georgia" w:cs="Georgia" w:eastAsia="Georgia" w:hAnsi="Georgia"/>
                <w:sz w:val="18"/>
                <w:szCs w:val="18"/>
                <w:color w:val="auto"/>
              </w:rPr>
              <w:t>€</w:t>
            </w:r>
          </w:p>
        </w:tc>
        <w:tc>
          <w:tcPr>
            <w:tcW w:w="1160" w:type="dxa"/>
            <w:vAlign w:val="bottom"/>
          </w:tcPr>
          <w:p>
            <w:pPr>
              <w:jc w:val="right"/>
              <w:spacing w:after="0"/>
              <w:rPr>
                <w:sz w:val="20"/>
                <w:szCs w:val="20"/>
                <w:color w:val="auto"/>
              </w:rPr>
            </w:pPr>
            <w:r>
              <w:rPr>
                <w:rFonts w:ascii="Georgia" w:cs="Georgia" w:eastAsia="Georgia" w:hAnsi="Georgia"/>
                <w:sz w:val="18"/>
                <w:szCs w:val="18"/>
                <w:color w:val="auto"/>
              </w:rPr>
              <w:t>2,296,596</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r>
      <w:tr>
        <w:trPr>
          <w:trHeight w:val="407"/>
        </w:trPr>
        <w:tc>
          <w:tcPr>
            <w:tcW w:w="1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7"/>
          </w:tcPr>
          <w:p>
            <w:pPr>
              <w:jc w:val="right"/>
              <w:ind w:right="630"/>
              <w:spacing w:after="0"/>
              <w:rPr>
                <w:sz w:val="20"/>
                <w:szCs w:val="20"/>
                <w:color w:val="auto"/>
              </w:rPr>
            </w:pPr>
            <w:r>
              <w:rPr>
                <w:rFonts w:ascii="Georgia" w:cs="Georgia" w:eastAsia="Georgia" w:hAnsi="Georgia"/>
                <w:sz w:val="18"/>
                <w:szCs w:val="18"/>
                <w:b w:val="1"/>
                <w:bCs w:val="1"/>
                <w:color w:val="auto"/>
              </w:rPr>
              <w:t>For the Year Ended December 31, 2020</w:t>
            </w:r>
          </w:p>
        </w:tc>
      </w:tr>
      <w:tr>
        <w:trPr>
          <w:trHeight w:val="213"/>
        </w:trPr>
        <w:tc>
          <w:tcPr>
            <w:tcW w:w="12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Georgia" w:cs="Georgia" w:eastAsia="Georgia" w:hAnsi="Georgia"/>
                <w:sz w:val="18"/>
                <w:szCs w:val="18"/>
                <w:b w:val="1"/>
                <w:bCs w:val="1"/>
                <w:color w:val="auto"/>
                <w:w w:val="99"/>
              </w:rPr>
              <w:t>Third Parties</w:t>
            </w:r>
          </w:p>
        </w:tc>
        <w:tc>
          <w:tcPr>
            <w:tcW w:w="1780" w:type="dxa"/>
            <w:vAlign w:val="bottom"/>
            <w:gridSpan w:val="3"/>
          </w:tcPr>
          <w:p>
            <w:pPr>
              <w:ind w:left="20"/>
              <w:spacing w:after="0"/>
              <w:rPr>
                <w:sz w:val="20"/>
                <w:szCs w:val="20"/>
                <w:color w:val="auto"/>
              </w:rPr>
            </w:pPr>
            <w:r>
              <w:rPr>
                <w:rFonts w:ascii="Georgia" w:cs="Georgia" w:eastAsia="Georgia" w:hAnsi="Georgia"/>
                <w:sz w:val="18"/>
                <w:szCs w:val="18"/>
                <w:b w:val="1"/>
                <w:bCs w:val="1"/>
                <w:color w:val="auto"/>
              </w:rPr>
              <w:t>Related Parties</w:t>
            </w:r>
          </w:p>
        </w:tc>
        <w:tc>
          <w:tcPr>
            <w:tcW w:w="300" w:type="dxa"/>
            <w:vAlign w:val="bottom"/>
          </w:tcPr>
          <w:p>
            <w:pPr>
              <w:spacing w:after="0"/>
              <w:rPr>
                <w:sz w:val="18"/>
                <w:szCs w:val="18"/>
                <w:color w:val="auto"/>
              </w:rPr>
            </w:pPr>
          </w:p>
        </w:tc>
        <w:tc>
          <w:tcPr>
            <w:tcW w:w="1160" w:type="dxa"/>
            <w:vAlign w:val="bottom"/>
          </w:tcPr>
          <w:p>
            <w:pPr>
              <w:jc w:val="right"/>
              <w:ind w:right="410"/>
              <w:spacing w:after="0"/>
              <w:rPr>
                <w:sz w:val="20"/>
                <w:szCs w:val="20"/>
                <w:color w:val="auto"/>
              </w:rPr>
            </w:pPr>
            <w:r>
              <w:rPr>
                <w:rFonts w:ascii="Georgia" w:cs="Georgia" w:eastAsia="Georgia" w:hAnsi="Georgia"/>
                <w:sz w:val="18"/>
                <w:szCs w:val="18"/>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-1377950</wp:posOffset>
            </wp:positionV>
            <wp:extent cx="713232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-1120775</wp:posOffset>
            </wp:positionV>
            <wp:extent cx="71323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-863600</wp:posOffset>
            </wp:positionV>
            <wp:extent cx="713232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-589280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60" w:space="720"/>
            <w:col w:w="5160"/>
          </w:cols>
          <w:pgMar w:left="320" w:top="594"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660"/>
              <w:spacing w:after="0"/>
              <w:rPr>
                <w:sz w:val="20"/>
                <w:szCs w:val="20"/>
                <w:color w:val="auto"/>
              </w:rPr>
            </w:pPr>
            <w:r>
              <w:rPr>
                <w:rFonts w:ascii="Georgia" w:cs="Georgia" w:eastAsia="Georgia" w:hAnsi="Georgia"/>
                <w:sz w:val="18"/>
                <w:szCs w:val="18"/>
                <w:color w:val="auto"/>
              </w:rPr>
              <w:t>(in Euros)</w:t>
            </w: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Compensation (including share-based)</w:t>
            </w:r>
          </w:p>
        </w:tc>
        <w:tc>
          <w:tcPr>
            <w:tcW w:w="1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191,998</w:t>
            </w:r>
          </w:p>
        </w:tc>
        <w:tc>
          <w:tcPr>
            <w:tcW w:w="2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298,628</w:t>
            </w:r>
          </w:p>
        </w:tc>
        <w:tc>
          <w:tcPr>
            <w:tcW w:w="4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490,626</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Georgia" w:cs="Georgia" w:eastAsia="Georgia" w:hAnsi="Georgia"/>
                <w:sz w:val="18"/>
                <w:szCs w:val="18"/>
                <w:color w:val="auto"/>
              </w:rPr>
              <w:t>Accounting, legal &amp; other professional</w:t>
            </w: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239,861</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4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239,861</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Communication &amp; IT related</w:t>
            </w:r>
          </w:p>
        </w:tc>
        <w:tc>
          <w:tcPr>
            <w:tcW w:w="1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64,430</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64,430</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Georgia" w:cs="Georgia" w:eastAsia="Georgia" w:hAnsi="Georgia"/>
                <w:sz w:val="18"/>
                <w:szCs w:val="18"/>
                <w:color w:val="auto"/>
              </w:rPr>
              <w:t>Facility &amp; insurance related</w:t>
            </w: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24,685</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14,402</w:t>
            </w:r>
          </w:p>
        </w:tc>
        <w:tc>
          <w:tcPr>
            <w:tcW w:w="4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39,087</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Consultants &amp; other third parties</w:t>
            </w:r>
          </w:p>
        </w:tc>
        <w:tc>
          <w:tcPr>
            <w:tcW w:w="1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59,648</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1,495</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61,143</w:t>
            </w:r>
          </w:p>
        </w:tc>
        <w:tc>
          <w:tcPr>
            <w:tcW w:w="0" w:type="dxa"/>
            <w:vAlign w:val="bottom"/>
          </w:tcPr>
          <w:p>
            <w:pPr>
              <w:spacing w:after="0"/>
              <w:rPr>
                <w:sz w:val="1"/>
                <w:szCs w:val="1"/>
                <w:color w:val="auto"/>
              </w:rPr>
            </w:pPr>
          </w:p>
        </w:tc>
      </w:tr>
      <w:tr>
        <w:trPr>
          <w:trHeight w:val="215"/>
        </w:trPr>
        <w:tc>
          <w:tcPr>
            <w:tcW w:w="4280" w:type="dxa"/>
            <w:vAlign w:val="bottom"/>
          </w:tcPr>
          <w:p>
            <w:pPr>
              <w:spacing w:after="0" w:line="203" w:lineRule="exact"/>
              <w:rPr>
                <w:sz w:val="20"/>
                <w:szCs w:val="20"/>
                <w:color w:val="auto"/>
              </w:rPr>
            </w:pPr>
            <w:r>
              <w:rPr>
                <w:rFonts w:ascii="Georgia" w:cs="Georgia" w:eastAsia="Georgia" w:hAnsi="Georgia"/>
                <w:sz w:val="18"/>
                <w:szCs w:val="18"/>
                <w:color w:val="auto"/>
              </w:rPr>
              <w:t>Other</w:t>
            </w: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6,618</w:t>
            </w: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Georgia" w:cs="Georgia" w:eastAsia="Georgia" w:hAnsi="Georgia"/>
                <w:sz w:val="18"/>
                <w:szCs w:val="18"/>
                <w:color w:val="auto"/>
              </w:rPr>
              <w:t>6,618</w:t>
            </w:r>
          </w:p>
        </w:tc>
        <w:tc>
          <w:tcPr>
            <w:tcW w:w="0" w:type="dxa"/>
            <w:vAlign w:val="bottom"/>
          </w:tcPr>
          <w:p>
            <w:pPr>
              <w:spacing w:after="0"/>
              <w:rPr>
                <w:sz w:val="1"/>
                <w:szCs w:val="1"/>
                <w:color w:val="auto"/>
              </w:rPr>
            </w:pPr>
          </w:p>
        </w:tc>
      </w:tr>
      <w:tr>
        <w:trPr>
          <w:trHeight w:val="28"/>
        </w:trPr>
        <w:tc>
          <w:tcPr>
            <w:tcW w:w="428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Total</w:t>
            </w:r>
          </w:p>
        </w:tc>
        <w:tc>
          <w:tcPr>
            <w:tcW w:w="18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280" w:type="dxa"/>
            <w:vAlign w:val="bottom"/>
            <w:vMerge w:val="continue"/>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Georgia" w:cs="Georgia" w:eastAsia="Georgia" w:hAnsi="Georgia"/>
                <w:sz w:val="18"/>
                <w:szCs w:val="18"/>
                <w:color w:val="auto"/>
              </w:rPr>
              <w:t>587,240</w:t>
            </w:r>
          </w:p>
        </w:tc>
        <w:tc>
          <w:tcPr>
            <w:tcW w:w="20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314,525</w:t>
            </w:r>
          </w:p>
        </w:tc>
        <w:tc>
          <w:tcPr>
            <w:tcW w:w="44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Georgia" w:cs="Georgia" w:eastAsia="Georgia" w:hAnsi="Georgia"/>
                <w:sz w:val="18"/>
                <w:szCs w:val="18"/>
                <w:color w:val="auto"/>
              </w:rPr>
              <w:t>901,765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rPr>
              <w:t>F-22</w:t>
            </w: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4" w:right="339" w:bottom="1440" w:gutter="0" w:footer="0" w:header="0"/>
          <w:type w:val="continuous"/>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gridSpan w:val="8"/>
          </w:tcPr>
          <w:p>
            <w:pPr>
              <w:jc w:val="center"/>
              <w:ind w:right="360"/>
              <w:spacing w:after="0"/>
              <w:rPr>
                <w:sz w:val="20"/>
                <w:szCs w:val="20"/>
                <w:color w:val="auto"/>
              </w:rPr>
            </w:pPr>
            <w:r>
              <w:rPr>
                <w:rFonts w:ascii="Georgia" w:cs="Georgia" w:eastAsia="Georgia" w:hAnsi="Georgia"/>
                <w:sz w:val="18"/>
                <w:szCs w:val="18"/>
                <w:b w:val="1"/>
                <w:bCs w:val="1"/>
                <w:color w:val="auto"/>
                <w:w w:val="99"/>
              </w:rPr>
              <w:t>For the Year Ended December 31, 2019</w:t>
            </w:r>
          </w:p>
        </w:tc>
        <w:tc>
          <w:tcPr>
            <w:tcW w:w="0" w:type="dxa"/>
            <w:vAlign w:val="bottom"/>
          </w:tcPr>
          <w:p>
            <w:pPr>
              <w:spacing w:after="0"/>
              <w:rPr>
                <w:sz w:val="1"/>
                <w:szCs w:val="1"/>
                <w:color w:val="auto"/>
              </w:rPr>
            </w:pPr>
          </w:p>
        </w:tc>
      </w:tr>
      <w:tr>
        <w:trPr>
          <w:trHeight w:val="199"/>
        </w:trPr>
        <w:tc>
          <w:tcPr>
            <w:tcW w:w="60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820"/>
              <w:spacing w:after="0" w:line="200" w:lineRule="exact"/>
              <w:rPr>
                <w:sz w:val="20"/>
                <w:szCs w:val="20"/>
                <w:color w:val="auto"/>
              </w:rPr>
            </w:pPr>
            <w:r>
              <w:rPr>
                <w:rFonts w:ascii="Georgia" w:cs="Georgia" w:eastAsia="Georgia" w:hAnsi="Georgia"/>
                <w:sz w:val="18"/>
                <w:szCs w:val="18"/>
                <w:b w:val="1"/>
                <w:bCs w:val="1"/>
                <w:color w:val="auto"/>
              </w:rPr>
              <w:t>Third</w:t>
            </w: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540"/>
              <w:spacing w:after="0" w:line="200" w:lineRule="exact"/>
              <w:rPr>
                <w:sz w:val="20"/>
                <w:szCs w:val="20"/>
                <w:color w:val="auto"/>
              </w:rPr>
            </w:pPr>
            <w:r>
              <w:rPr>
                <w:rFonts w:ascii="Georgia" w:cs="Georgia" w:eastAsia="Georgia" w:hAnsi="Georgia"/>
                <w:sz w:val="18"/>
                <w:szCs w:val="18"/>
                <w:b w:val="1"/>
                <w:bCs w:val="1"/>
                <w:color w:val="auto"/>
              </w:rPr>
              <w:t>Related</w:t>
            </w: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740"/>
              <w:spacing w:after="0" w:line="203" w:lineRule="exact"/>
              <w:rPr>
                <w:sz w:val="20"/>
                <w:szCs w:val="20"/>
                <w:color w:val="auto"/>
              </w:rPr>
            </w:pPr>
            <w:r>
              <w:rPr>
                <w:rFonts w:ascii="Georgia" w:cs="Georgia" w:eastAsia="Georgia" w:hAnsi="Georgia"/>
                <w:sz w:val="18"/>
                <w:szCs w:val="18"/>
                <w:b w:val="1"/>
                <w:bCs w:val="1"/>
                <w:color w:val="auto"/>
              </w:rPr>
              <w:t>Parties</w:t>
            </w:r>
          </w:p>
        </w:tc>
        <w:tc>
          <w:tcPr>
            <w:tcW w:w="200" w:type="dxa"/>
            <w:vAlign w:val="bottom"/>
          </w:tcPr>
          <w:p>
            <w:pPr>
              <w:spacing w:after="0"/>
              <w:rPr>
                <w:sz w:val="18"/>
                <w:szCs w:val="18"/>
                <w:color w:val="auto"/>
              </w:rPr>
            </w:pPr>
          </w:p>
        </w:tc>
        <w:tc>
          <w:tcPr>
            <w:tcW w:w="1580" w:type="dxa"/>
            <w:vAlign w:val="bottom"/>
            <w:gridSpan w:val="2"/>
          </w:tcPr>
          <w:p>
            <w:pPr>
              <w:jc w:val="center"/>
              <w:ind w:right="540"/>
              <w:spacing w:after="0" w:line="203" w:lineRule="exact"/>
              <w:rPr>
                <w:sz w:val="20"/>
                <w:szCs w:val="20"/>
                <w:color w:val="auto"/>
              </w:rPr>
            </w:pPr>
            <w:r>
              <w:rPr>
                <w:rFonts w:ascii="Georgia" w:cs="Georgia" w:eastAsia="Georgia" w:hAnsi="Georgia"/>
                <w:sz w:val="18"/>
                <w:szCs w:val="18"/>
                <w:b w:val="1"/>
                <w:bCs w:val="1"/>
                <w:color w:val="auto"/>
                <w:w w:val="97"/>
              </w:rPr>
              <w:t>Parties</w:t>
            </w:r>
          </w:p>
        </w:tc>
        <w:tc>
          <w:tcPr>
            <w:tcW w:w="300" w:type="dxa"/>
            <w:vAlign w:val="bottom"/>
          </w:tcPr>
          <w:p>
            <w:pPr>
              <w:spacing w:after="0"/>
              <w:rPr>
                <w:sz w:val="18"/>
                <w:szCs w:val="18"/>
                <w:color w:val="auto"/>
              </w:rPr>
            </w:pPr>
          </w:p>
        </w:tc>
        <w:tc>
          <w:tcPr>
            <w:tcW w:w="1260" w:type="dxa"/>
            <w:vAlign w:val="bottom"/>
            <w:gridSpan w:val="2"/>
          </w:tcPr>
          <w:p>
            <w:pPr>
              <w:ind w:left="180"/>
              <w:spacing w:after="0" w:line="203" w:lineRule="exact"/>
              <w:rPr>
                <w:sz w:val="20"/>
                <w:szCs w:val="20"/>
                <w:color w:val="auto"/>
              </w:rPr>
            </w:pPr>
            <w:r>
              <w:rPr>
                <w:rFonts w:ascii="Georgia" w:cs="Georgia" w:eastAsia="Georgia" w:hAnsi="Georgia"/>
                <w:sz w:val="18"/>
                <w:szCs w:val="18"/>
                <w:b w:val="1"/>
                <w:bCs w:val="1"/>
                <w:color w:val="auto"/>
              </w:rPr>
              <w:t>Total</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560"/>
              <w:spacing w:after="0" w:line="202" w:lineRule="exact"/>
              <w:rPr>
                <w:sz w:val="20"/>
                <w:szCs w:val="20"/>
                <w:color w:val="auto"/>
              </w:rPr>
            </w:pPr>
            <w:r>
              <w:rPr>
                <w:rFonts w:ascii="Georgia" w:cs="Georgia" w:eastAsia="Georgia" w:hAnsi="Georgia"/>
                <w:sz w:val="18"/>
                <w:szCs w:val="18"/>
                <w:color w:val="auto"/>
                <w:w w:val="99"/>
              </w:rPr>
              <w:t>(In Euros)</w:t>
            </w: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Consultants &amp; other third parties</w:t>
            </w:r>
          </w:p>
        </w:tc>
        <w:tc>
          <w:tcPr>
            <w:tcW w:w="26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5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375,201</w:t>
            </w:r>
          </w:p>
        </w:tc>
        <w:tc>
          <w:tcPr>
            <w:tcW w:w="2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0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w:t>
            </w:r>
          </w:p>
        </w:tc>
        <w:tc>
          <w:tcPr>
            <w:tcW w:w="126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375,201</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Compensation (including share-based)</w:t>
            </w:r>
          </w:p>
        </w:tc>
        <w:tc>
          <w:tcPr>
            <w:tcW w:w="26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171,698</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277,849</w:t>
            </w:r>
          </w:p>
        </w:tc>
        <w:tc>
          <w:tcPr>
            <w:tcW w:w="30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449,547</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Accounting, legal &amp; other professional</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40,745</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40,745</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Georgia" w:cs="Georgia" w:eastAsia="Georgia" w:hAnsi="Georgia"/>
                <w:sz w:val="18"/>
                <w:szCs w:val="18"/>
                <w:color w:val="auto"/>
              </w:rPr>
              <w:t>Communication &amp; IT related</w:t>
            </w:r>
          </w:p>
        </w:tc>
        <w:tc>
          <w:tcPr>
            <w:tcW w:w="26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Georgia" w:cs="Georgia" w:eastAsia="Georgia" w:hAnsi="Georgia"/>
                <w:sz w:val="18"/>
                <w:szCs w:val="18"/>
                <w:color w:val="auto"/>
              </w:rPr>
              <w:t>14,759</w:t>
            </w:r>
          </w:p>
        </w:tc>
        <w:tc>
          <w:tcPr>
            <w:tcW w:w="20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Georgia" w:cs="Georgia" w:eastAsia="Georgia" w:hAnsi="Georgia"/>
                <w:sz w:val="18"/>
                <w:szCs w:val="18"/>
                <w:color w:val="auto"/>
              </w:rPr>
              <w:t>14,759</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Facility &amp; insurance related</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Georgia" w:cs="Georgia" w:eastAsia="Georgia" w:hAnsi="Georgia"/>
                <w:sz w:val="18"/>
                <w:szCs w:val="18"/>
                <w:color w:val="auto"/>
              </w:rPr>
              <w:t>13,630</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Georgia" w:cs="Georgia" w:eastAsia="Georgia" w:hAnsi="Georgia"/>
                <w:sz w:val="18"/>
                <w:szCs w:val="18"/>
                <w:color w:val="auto"/>
              </w:rPr>
              <w:t>-</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2" w:lineRule="exact"/>
              <w:rPr>
                <w:sz w:val="20"/>
                <w:szCs w:val="20"/>
                <w:color w:val="auto"/>
              </w:rPr>
            </w:pPr>
            <w:r>
              <w:rPr>
                <w:rFonts w:ascii="Georgia" w:cs="Georgia" w:eastAsia="Georgia" w:hAnsi="Georgia"/>
                <w:sz w:val="18"/>
                <w:szCs w:val="18"/>
                <w:color w:val="auto"/>
              </w:rPr>
              <w:t>13,630</w:t>
            </w:r>
          </w:p>
        </w:tc>
        <w:tc>
          <w:tcPr>
            <w:tcW w:w="0" w:type="dxa"/>
            <w:vAlign w:val="bottom"/>
          </w:tcPr>
          <w:p>
            <w:pPr>
              <w:spacing w:after="0"/>
              <w:rPr>
                <w:sz w:val="1"/>
                <w:szCs w:val="1"/>
                <w:color w:val="auto"/>
              </w:rPr>
            </w:pPr>
          </w:p>
        </w:tc>
      </w:tr>
      <w:tr>
        <w:trPr>
          <w:trHeight w:val="215"/>
        </w:trPr>
        <w:tc>
          <w:tcPr>
            <w:tcW w:w="6080" w:type="dxa"/>
            <w:vAlign w:val="bottom"/>
          </w:tcPr>
          <w:p>
            <w:pPr>
              <w:spacing w:after="0" w:line="203" w:lineRule="exact"/>
              <w:rPr>
                <w:sz w:val="20"/>
                <w:szCs w:val="20"/>
                <w:color w:val="auto"/>
              </w:rPr>
            </w:pPr>
            <w:r>
              <w:rPr>
                <w:rFonts w:ascii="Georgia" w:cs="Georgia" w:eastAsia="Georgia" w:hAnsi="Georgia"/>
                <w:sz w:val="18"/>
                <w:szCs w:val="18"/>
                <w:color w:val="auto"/>
              </w:rPr>
              <w:t>Other</w:t>
            </w:r>
          </w:p>
        </w:tc>
        <w:tc>
          <w:tcPr>
            <w:tcW w:w="2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Georgia" w:cs="Georgia" w:eastAsia="Georgia" w:hAnsi="Georgia"/>
                <w:sz w:val="18"/>
                <w:szCs w:val="18"/>
                <w:color w:val="auto"/>
              </w:rPr>
              <w:t>22,336</w:t>
            </w: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5,302</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Georgia" w:cs="Georgia" w:eastAsia="Georgia" w:hAnsi="Georgia"/>
                <w:sz w:val="18"/>
                <w:szCs w:val="18"/>
                <w:color w:val="auto"/>
              </w:rPr>
              <w:t>27,638</w:t>
            </w:r>
          </w:p>
        </w:tc>
        <w:tc>
          <w:tcPr>
            <w:tcW w:w="0" w:type="dxa"/>
            <w:vAlign w:val="bottom"/>
          </w:tcPr>
          <w:p>
            <w:pPr>
              <w:spacing w:after="0"/>
              <w:rPr>
                <w:sz w:val="1"/>
                <w:szCs w:val="1"/>
                <w:color w:val="auto"/>
              </w:rPr>
            </w:pPr>
          </w:p>
        </w:tc>
      </w:tr>
      <w:tr>
        <w:trPr>
          <w:trHeight w:val="28"/>
        </w:trPr>
        <w:tc>
          <w:tcPr>
            <w:tcW w:w="6080" w:type="dxa"/>
            <w:vAlign w:val="bottom"/>
            <w:vMerge w:val="restart"/>
            <w:shd w:val="clear" w:color="auto" w:fill="CCEEFF"/>
          </w:tcPr>
          <w:p>
            <w:pPr>
              <w:spacing w:after="0"/>
              <w:rPr>
                <w:sz w:val="20"/>
                <w:szCs w:val="20"/>
                <w:color w:val="auto"/>
              </w:rPr>
            </w:pPr>
            <w:r>
              <w:rPr>
                <w:rFonts w:ascii="Georgia" w:cs="Georgia" w:eastAsia="Georgia" w:hAnsi="Georgia"/>
                <w:sz w:val="18"/>
                <w:szCs w:val="18"/>
                <w:color w:val="auto"/>
              </w:rPr>
              <w:t>Total</w:t>
            </w: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0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Georgia" w:cs="Georgia" w:eastAsia="Georgia" w:hAnsi="Georgia"/>
                <w:sz w:val="18"/>
                <w:szCs w:val="18"/>
                <w:color w:val="auto"/>
              </w:rPr>
              <w:t>638,369</w:t>
            </w:r>
          </w:p>
        </w:tc>
        <w:tc>
          <w:tcPr>
            <w:tcW w:w="20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Georgia" w:cs="Georgia" w:eastAsia="Georgia" w:hAnsi="Georgia"/>
                <w:sz w:val="18"/>
                <w:szCs w:val="18"/>
                <w:color w:val="auto"/>
              </w:rPr>
              <w:t>283,151</w:t>
            </w:r>
          </w:p>
        </w:tc>
        <w:tc>
          <w:tcPr>
            <w:tcW w:w="300" w:type="dxa"/>
            <w:vAlign w:val="bottom"/>
            <w:shd w:val="clear" w:color="auto" w:fill="CCEEFF"/>
          </w:tcPr>
          <w:p>
            <w:pPr>
              <w:spacing w:after="0"/>
              <w:rPr>
                <w:sz w:val="20"/>
                <w:szCs w:val="20"/>
                <w:color w:val="auto"/>
              </w:rPr>
            </w:pPr>
            <w:r>
              <w:rPr>
                <w:rFonts w:ascii="Georgia" w:cs="Georgia" w:eastAsia="Georgia" w:hAnsi="Georgia"/>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Georgia" w:cs="Georgia" w:eastAsia="Georgia" w:hAnsi="Georgia"/>
                <w:sz w:val="18"/>
                <w:szCs w:val="18"/>
                <w:color w:val="auto"/>
              </w:rPr>
              <w:t>921,520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Company’s accounts payable to related parties are comprised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8"/>
                <w:szCs w:val="18"/>
                <w:b w:val="1"/>
                <w:bCs w:val="1"/>
                <w:color w:val="auto"/>
                <w:w w:val="99"/>
              </w:rPr>
              <w:t>At December 31,</w:t>
            </w: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340" w:type="dxa"/>
            <w:vAlign w:val="bottom"/>
          </w:tcPr>
          <w:p>
            <w:pPr>
              <w:spacing w:after="0"/>
              <w:rPr>
                <w:sz w:val="19"/>
                <w:szCs w:val="19"/>
                <w:color w:val="auto"/>
              </w:rPr>
            </w:pPr>
          </w:p>
        </w:tc>
        <w:tc>
          <w:tcPr>
            <w:tcW w:w="2480" w:type="dxa"/>
            <w:vAlign w:val="bottom"/>
            <w:gridSpan w:val="2"/>
          </w:tcPr>
          <w:p>
            <w:pPr>
              <w:jc w:val="right"/>
              <w:ind w:right="100"/>
              <w:spacing w:after="0"/>
              <w:rPr>
                <w:sz w:val="20"/>
                <w:szCs w:val="20"/>
                <w:color w:val="auto"/>
              </w:rPr>
            </w:pPr>
            <w:r>
              <w:rPr>
                <w:rFonts w:ascii="Georgia" w:cs="Georgia" w:eastAsia="Georgia" w:hAnsi="Georgia"/>
                <w:sz w:val="18"/>
                <w:szCs w:val="18"/>
                <w:b w:val="1"/>
                <w:bCs w:val="1"/>
                <w:color w:val="auto"/>
              </w:rPr>
              <w:t>2021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ind w:right="730"/>
              <w:spacing w:after="0"/>
              <w:rPr>
                <w:sz w:val="20"/>
                <w:szCs w:val="20"/>
                <w:color w:val="auto"/>
              </w:rPr>
            </w:pPr>
            <w:r>
              <w:rPr>
                <w:rFonts w:ascii="Georgia" w:cs="Georgia" w:eastAsia="Georgia" w:hAnsi="Georgia"/>
                <w:sz w:val="18"/>
                <w:szCs w:val="18"/>
                <w:b w:val="1"/>
                <w:bCs w:val="1"/>
                <w:color w:val="auto"/>
              </w:rPr>
              <w:t>2020</w:t>
            </w:r>
          </w:p>
        </w:tc>
        <w:tc>
          <w:tcPr>
            <w:tcW w:w="80" w:type="dxa"/>
            <w:vAlign w:val="bottom"/>
          </w:tcPr>
          <w:p>
            <w:pPr>
              <w:spacing w:after="0"/>
              <w:rPr>
                <w:sz w:val="19"/>
                <w:szCs w:val="19"/>
                <w:color w:val="auto"/>
              </w:rPr>
            </w:pPr>
          </w:p>
        </w:tc>
      </w:tr>
      <w:tr>
        <w:trPr>
          <w:trHeight w:val="203"/>
        </w:trPr>
        <w:tc>
          <w:tcPr>
            <w:tcW w:w="3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jc w:val="center"/>
              <w:spacing w:after="0" w:line="202" w:lineRule="exact"/>
              <w:rPr>
                <w:sz w:val="20"/>
                <w:szCs w:val="20"/>
                <w:color w:val="auto"/>
              </w:rPr>
            </w:pPr>
            <w:r>
              <w:rPr>
                <w:rFonts w:ascii="Georgia" w:cs="Georgia" w:eastAsia="Georgia" w:hAnsi="Georgia"/>
                <w:sz w:val="18"/>
                <w:szCs w:val="18"/>
                <w:color w:val="auto"/>
              </w:rPr>
              <w:t>(in Euros)</w:t>
            </w: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OSR - San Raffaele Hospital</w:t>
            </w:r>
          </w:p>
        </w:tc>
        <w:tc>
          <w:tcPr>
            <w:tcW w:w="2480" w:type="dxa"/>
            <w:vAlign w:val="bottom"/>
            <w:gridSpan w:val="2"/>
            <w:shd w:val="clear" w:color="auto" w:fill="CCEEFF"/>
          </w:tcPr>
          <w:p>
            <w:pPr>
              <w:ind w:left="1120"/>
              <w:spacing w:after="0" w:line="202" w:lineRule="exact"/>
              <w:rPr>
                <w:sz w:val="20"/>
                <w:szCs w:val="20"/>
                <w:color w:val="auto"/>
              </w:rPr>
            </w:pPr>
            <w:r>
              <w:rPr>
                <w:rFonts w:ascii="Georgia" w:cs="Georgia" w:eastAsia="Georgia" w:hAnsi="Georgia"/>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25,047</w:t>
            </w:r>
          </w:p>
        </w:tc>
        <w:tc>
          <w:tcPr>
            <w:tcW w:w="980" w:type="dxa"/>
            <w:vAlign w:val="bottom"/>
            <w:gridSpan w:val="2"/>
            <w:shd w:val="clear" w:color="auto" w:fill="CCEEFF"/>
          </w:tcPr>
          <w:p>
            <w:pPr>
              <w:ind w:left="260"/>
              <w:spacing w:after="0" w:line="202" w:lineRule="exact"/>
              <w:rPr>
                <w:sz w:val="20"/>
                <w:szCs w:val="20"/>
                <w:color w:val="auto"/>
              </w:rPr>
            </w:pPr>
            <w:r>
              <w:rPr>
                <w:rFonts w:ascii="Georgia" w:cs="Georgia" w:eastAsia="Georgia" w:hAnsi="Georgia"/>
                <w:sz w:val="18"/>
                <w:szCs w:val="18"/>
                <w:color w:val="auto"/>
              </w:rPr>
              <w:t>€</w:t>
            </w:r>
          </w:p>
        </w:tc>
        <w:tc>
          <w:tcPr>
            <w:tcW w:w="138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4,085</w:t>
            </w:r>
          </w:p>
        </w:tc>
        <w:tc>
          <w:tcPr>
            <w:tcW w:w="80" w:type="dxa"/>
            <w:vAlign w:val="bottom"/>
            <w:shd w:val="clear" w:color="auto" w:fill="CCEEFF"/>
          </w:tcPr>
          <w:p>
            <w:pPr>
              <w:spacing w:after="0"/>
              <w:rPr>
                <w:sz w:val="17"/>
                <w:szCs w:val="17"/>
                <w:color w:val="auto"/>
              </w:rPr>
            </w:pPr>
          </w:p>
        </w:tc>
      </w:tr>
      <w:tr>
        <w:trPr>
          <w:trHeight w:val="223"/>
        </w:trPr>
        <w:tc>
          <w:tcPr>
            <w:tcW w:w="3340" w:type="dxa"/>
            <w:vAlign w:val="bottom"/>
            <w:tcBorders>
              <w:bottom w:val="single" w:sz="8" w:color="CCEEFF"/>
            </w:tcBorders>
          </w:tcPr>
          <w:p>
            <w:pPr>
              <w:spacing w:after="0" w:line="203" w:lineRule="exact"/>
              <w:rPr>
                <w:sz w:val="20"/>
                <w:szCs w:val="20"/>
                <w:color w:val="auto"/>
              </w:rPr>
            </w:pPr>
            <w:r>
              <w:rPr>
                <w:rFonts w:ascii="Georgia" w:cs="Georgia" w:eastAsia="Georgia" w:hAnsi="Georgia"/>
                <w:sz w:val="18"/>
                <w:szCs w:val="18"/>
                <w:color w:val="auto"/>
              </w:rPr>
              <w:t>XDG Biomed</w:t>
            </w:r>
          </w:p>
        </w:tc>
        <w:tc>
          <w:tcPr>
            <w:tcW w:w="1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w:t>
            </w: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5,942</w:t>
            </w:r>
          </w:p>
        </w:tc>
        <w:tc>
          <w:tcPr>
            <w:tcW w:w="80" w:type="dxa"/>
            <w:vAlign w:val="bottom"/>
            <w:tcBorders>
              <w:bottom w:val="single" w:sz="8" w:color="CCEEFF"/>
            </w:tcBorders>
          </w:tcPr>
          <w:p>
            <w:pPr>
              <w:spacing w:after="0"/>
              <w:rPr>
                <w:sz w:val="19"/>
                <w:szCs w:val="19"/>
                <w:color w:val="auto"/>
              </w:rPr>
            </w:pPr>
          </w:p>
        </w:tc>
      </w:tr>
      <w:tr>
        <w:trPr>
          <w:trHeight w:val="215"/>
        </w:trPr>
        <w:tc>
          <w:tcPr>
            <w:tcW w:w="3340" w:type="dxa"/>
            <w:vAlign w:val="bottom"/>
            <w:shd w:val="clear" w:color="auto" w:fill="CCEEFF"/>
          </w:tcPr>
          <w:p>
            <w:pPr>
              <w:spacing w:after="0" w:line="190" w:lineRule="exact"/>
              <w:rPr>
                <w:sz w:val="20"/>
                <w:szCs w:val="20"/>
                <w:color w:val="auto"/>
              </w:rPr>
            </w:pPr>
            <w:r>
              <w:rPr>
                <w:rFonts w:ascii="Georgia" w:cs="Georgia" w:eastAsia="Georgia" w:hAnsi="Georgia"/>
                <w:sz w:val="18"/>
                <w:szCs w:val="18"/>
                <w:color w:val="auto"/>
              </w:rPr>
              <w:t>Total</w:t>
            </w:r>
          </w:p>
        </w:tc>
        <w:tc>
          <w:tcPr>
            <w:tcW w:w="2480" w:type="dxa"/>
            <w:vAlign w:val="bottom"/>
            <w:gridSpan w:val="2"/>
            <w:shd w:val="clear" w:color="auto" w:fill="CCEEFF"/>
          </w:tcPr>
          <w:p>
            <w:pPr>
              <w:ind w:left="1120"/>
              <w:spacing w:after="0"/>
              <w:rPr>
                <w:sz w:val="20"/>
                <w:szCs w:val="20"/>
                <w:color w:val="auto"/>
              </w:rPr>
            </w:pPr>
            <w:r>
              <w:rPr>
                <w:rFonts w:ascii="Georgia" w:cs="Georgia" w:eastAsia="Georgia" w:hAnsi="Georgia"/>
                <w:sz w:val="18"/>
                <w:szCs w:val="18"/>
                <w:color w:val="auto"/>
              </w:rPr>
              <w:t>€</w:t>
            </w:r>
          </w:p>
        </w:tc>
        <w:tc>
          <w:tcPr>
            <w:tcW w:w="7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25,047</w:t>
            </w:r>
          </w:p>
        </w:tc>
        <w:tc>
          <w:tcPr>
            <w:tcW w:w="980" w:type="dxa"/>
            <w:vAlign w:val="bottom"/>
            <w:gridSpan w:val="2"/>
            <w:shd w:val="clear" w:color="auto" w:fill="CCEEFF"/>
          </w:tcPr>
          <w:p>
            <w:pPr>
              <w:ind w:left="260"/>
              <w:spacing w:after="0"/>
              <w:rPr>
                <w:sz w:val="20"/>
                <w:szCs w:val="20"/>
                <w:color w:val="auto"/>
              </w:rPr>
            </w:pPr>
            <w:r>
              <w:rPr>
                <w:rFonts w:ascii="Georgia" w:cs="Georgia" w:eastAsia="Georgia" w:hAnsi="Georgia"/>
                <w:sz w:val="18"/>
                <w:szCs w:val="18"/>
                <w:color w:val="auto"/>
              </w:rPr>
              <w:t>€</w:t>
            </w:r>
          </w:p>
        </w:tc>
        <w:tc>
          <w:tcPr>
            <w:tcW w:w="13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10,027</w:t>
            </w:r>
          </w:p>
        </w:tc>
        <w:tc>
          <w:tcPr>
            <w:tcW w:w="80" w:type="dxa"/>
            <w:vAlign w:val="bottom"/>
            <w:shd w:val="clear" w:color="auto" w:fill="CCEEFF"/>
          </w:tcPr>
          <w:p>
            <w:pPr>
              <w:spacing w:after="0"/>
              <w:rPr>
                <w:sz w:val="18"/>
                <w:szCs w:val="18"/>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Company’s accrued expenses to related parties are comprised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Georgia" w:cs="Georgia" w:eastAsia="Georgia" w:hAnsi="Georgia"/>
                <w:sz w:val="18"/>
                <w:szCs w:val="18"/>
                <w:b w:val="1"/>
                <w:bCs w:val="1"/>
                <w:color w:val="auto"/>
                <w:w w:val="99"/>
              </w:rPr>
              <w:t>At December 31,</w:t>
            </w: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340" w:type="dxa"/>
            <w:vAlign w:val="bottom"/>
          </w:tcPr>
          <w:p>
            <w:pPr>
              <w:spacing w:after="0"/>
              <w:rPr>
                <w:sz w:val="19"/>
                <w:szCs w:val="19"/>
                <w:color w:val="auto"/>
              </w:rPr>
            </w:pPr>
          </w:p>
        </w:tc>
        <w:tc>
          <w:tcPr>
            <w:tcW w:w="2480" w:type="dxa"/>
            <w:vAlign w:val="bottom"/>
            <w:gridSpan w:val="2"/>
          </w:tcPr>
          <w:p>
            <w:pPr>
              <w:jc w:val="right"/>
              <w:ind w:right="100"/>
              <w:spacing w:after="0"/>
              <w:rPr>
                <w:sz w:val="20"/>
                <w:szCs w:val="20"/>
                <w:color w:val="auto"/>
              </w:rPr>
            </w:pPr>
            <w:r>
              <w:rPr>
                <w:rFonts w:ascii="Georgia" w:cs="Georgia" w:eastAsia="Georgia" w:hAnsi="Georgia"/>
                <w:sz w:val="18"/>
                <w:szCs w:val="18"/>
                <w:b w:val="1"/>
                <w:bCs w:val="1"/>
                <w:color w:val="auto"/>
              </w:rPr>
              <w:t>2021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ind w:right="730"/>
              <w:spacing w:after="0"/>
              <w:rPr>
                <w:sz w:val="20"/>
                <w:szCs w:val="20"/>
                <w:color w:val="auto"/>
              </w:rPr>
            </w:pPr>
            <w:r>
              <w:rPr>
                <w:rFonts w:ascii="Georgia" w:cs="Georgia" w:eastAsia="Georgia" w:hAnsi="Georgia"/>
                <w:sz w:val="18"/>
                <w:szCs w:val="18"/>
                <w:b w:val="1"/>
                <w:bCs w:val="1"/>
                <w:color w:val="auto"/>
              </w:rPr>
              <w:t>2020</w:t>
            </w:r>
          </w:p>
        </w:tc>
        <w:tc>
          <w:tcPr>
            <w:tcW w:w="80" w:type="dxa"/>
            <w:vAlign w:val="bottom"/>
          </w:tcPr>
          <w:p>
            <w:pPr>
              <w:spacing w:after="0"/>
              <w:rPr>
                <w:sz w:val="19"/>
                <w:szCs w:val="19"/>
                <w:color w:val="auto"/>
              </w:rPr>
            </w:pPr>
          </w:p>
        </w:tc>
      </w:tr>
      <w:tr>
        <w:trPr>
          <w:trHeight w:val="203"/>
        </w:trPr>
        <w:tc>
          <w:tcPr>
            <w:tcW w:w="3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jc w:val="center"/>
              <w:spacing w:after="0" w:line="202" w:lineRule="exact"/>
              <w:rPr>
                <w:sz w:val="20"/>
                <w:szCs w:val="20"/>
                <w:color w:val="auto"/>
              </w:rPr>
            </w:pPr>
            <w:r>
              <w:rPr>
                <w:rFonts w:ascii="Georgia" w:cs="Georgia" w:eastAsia="Georgia" w:hAnsi="Georgia"/>
                <w:sz w:val="18"/>
                <w:szCs w:val="18"/>
                <w:color w:val="auto"/>
              </w:rPr>
              <w:t>(in Euros)</w:t>
            </w: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OSR - San Raffaele Hospital</w:t>
            </w:r>
          </w:p>
        </w:tc>
        <w:tc>
          <w:tcPr>
            <w:tcW w:w="2480" w:type="dxa"/>
            <w:vAlign w:val="bottom"/>
            <w:gridSpan w:val="2"/>
            <w:shd w:val="clear" w:color="auto" w:fill="CCEEFF"/>
          </w:tcPr>
          <w:p>
            <w:pPr>
              <w:ind w:left="1120"/>
              <w:spacing w:after="0" w:line="202" w:lineRule="exact"/>
              <w:rPr>
                <w:sz w:val="20"/>
                <w:szCs w:val="20"/>
                <w:color w:val="auto"/>
              </w:rPr>
            </w:pPr>
            <w:r>
              <w:rPr>
                <w:rFonts w:ascii="Georgia" w:cs="Georgia" w:eastAsia="Georgia" w:hAnsi="Georgia"/>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19,201</w:t>
            </w:r>
          </w:p>
        </w:tc>
        <w:tc>
          <w:tcPr>
            <w:tcW w:w="980" w:type="dxa"/>
            <w:vAlign w:val="bottom"/>
            <w:gridSpan w:val="2"/>
            <w:shd w:val="clear" w:color="auto" w:fill="CCEEFF"/>
          </w:tcPr>
          <w:p>
            <w:pPr>
              <w:ind w:left="260"/>
              <w:spacing w:after="0" w:line="202" w:lineRule="exact"/>
              <w:rPr>
                <w:sz w:val="20"/>
                <w:szCs w:val="20"/>
                <w:color w:val="auto"/>
              </w:rPr>
            </w:pPr>
            <w:r>
              <w:rPr>
                <w:rFonts w:ascii="Georgia" w:cs="Georgia" w:eastAsia="Georgia" w:hAnsi="Georgia"/>
                <w:sz w:val="18"/>
                <w:szCs w:val="18"/>
                <w:color w:val="auto"/>
              </w:rPr>
              <w:t>€</w:t>
            </w:r>
          </w:p>
        </w:tc>
        <w:tc>
          <w:tcPr>
            <w:tcW w:w="138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1,309,191</w:t>
            </w:r>
          </w:p>
        </w:tc>
        <w:tc>
          <w:tcPr>
            <w:tcW w:w="80" w:type="dxa"/>
            <w:vAlign w:val="bottom"/>
            <w:shd w:val="clear" w:color="auto" w:fill="CCEEFF"/>
          </w:tcPr>
          <w:p>
            <w:pPr>
              <w:spacing w:after="0"/>
              <w:rPr>
                <w:sz w:val="17"/>
                <w:szCs w:val="17"/>
                <w:color w:val="auto"/>
              </w:rPr>
            </w:pPr>
          </w:p>
        </w:tc>
      </w:tr>
      <w:tr>
        <w:trPr>
          <w:trHeight w:val="202"/>
        </w:trPr>
        <w:tc>
          <w:tcPr>
            <w:tcW w:w="3340" w:type="dxa"/>
            <w:vAlign w:val="bottom"/>
          </w:tcPr>
          <w:p>
            <w:pPr>
              <w:spacing w:after="0" w:line="202" w:lineRule="exact"/>
              <w:rPr>
                <w:sz w:val="20"/>
                <w:szCs w:val="20"/>
                <w:color w:val="auto"/>
              </w:rPr>
            </w:pPr>
            <w:r>
              <w:rPr>
                <w:rFonts w:ascii="Georgia" w:cs="Georgia" w:eastAsia="Georgia" w:hAnsi="Georgia"/>
                <w:sz w:val="18"/>
                <w:szCs w:val="18"/>
                <w:color w:val="auto"/>
              </w:rPr>
              <w:t>Pierluigi Paracchi</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Georgia" w:cs="Georgia" w:eastAsia="Georgia" w:hAnsi="Georgia"/>
                <w:sz w:val="18"/>
                <w:szCs w:val="18"/>
                <w:color w:val="auto"/>
              </w:rPr>
              <w:t>25,000</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Georgia" w:cs="Georgia" w:eastAsia="Georgia" w:hAnsi="Georgia"/>
                <w:sz w:val="18"/>
                <w:szCs w:val="18"/>
                <w:color w:val="auto"/>
              </w:rPr>
              <w:t>25,000</w:t>
            </w:r>
          </w:p>
        </w:tc>
        <w:tc>
          <w:tcPr>
            <w:tcW w:w="8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Georgia" w:cs="Georgia" w:eastAsia="Georgia" w:hAnsi="Georgia"/>
                <w:sz w:val="18"/>
                <w:szCs w:val="18"/>
                <w:color w:val="auto"/>
              </w:rPr>
              <w:t>Richard Slansky</w:t>
            </w:r>
          </w:p>
        </w:tc>
        <w:tc>
          <w:tcPr>
            <w:tcW w:w="1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53,502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Georgia" w:cs="Georgia" w:eastAsia="Georgia" w:hAnsi="Georgia"/>
                <w:sz w:val="18"/>
                <w:szCs w:val="18"/>
                <w:color w:val="auto"/>
              </w:rPr>
              <w:t>-</w:t>
            </w:r>
          </w:p>
        </w:tc>
        <w:tc>
          <w:tcPr>
            <w:tcW w:w="80" w:type="dxa"/>
            <w:vAlign w:val="bottom"/>
            <w:shd w:val="clear" w:color="auto" w:fill="CCEEFF"/>
          </w:tcPr>
          <w:p>
            <w:pPr>
              <w:spacing w:after="0"/>
              <w:rPr>
                <w:sz w:val="17"/>
                <w:szCs w:val="17"/>
                <w:color w:val="auto"/>
              </w:rPr>
            </w:pPr>
          </w:p>
        </w:tc>
      </w:tr>
      <w:tr>
        <w:trPr>
          <w:trHeight w:val="223"/>
        </w:trPr>
        <w:tc>
          <w:tcPr>
            <w:tcW w:w="3340" w:type="dxa"/>
            <w:vAlign w:val="bottom"/>
            <w:tcBorders>
              <w:bottom w:val="single" w:sz="8" w:color="CCEEFF"/>
            </w:tcBorders>
          </w:tcPr>
          <w:p>
            <w:pPr>
              <w:spacing w:after="0" w:line="203" w:lineRule="exact"/>
              <w:rPr>
                <w:sz w:val="20"/>
                <w:szCs w:val="20"/>
                <w:color w:val="auto"/>
              </w:rPr>
            </w:pPr>
            <w:r>
              <w:rPr>
                <w:rFonts w:ascii="Georgia" w:cs="Georgia" w:eastAsia="Georgia" w:hAnsi="Georgia"/>
                <w:sz w:val="18"/>
                <w:szCs w:val="18"/>
                <w:color w:val="auto"/>
              </w:rPr>
              <w:t>XDG Biomed</w:t>
            </w:r>
          </w:p>
        </w:tc>
        <w:tc>
          <w:tcPr>
            <w:tcW w:w="1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34,438</w:t>
            </w: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25,000</w:t>
            </w:r>
          </w:p>
        </w:tc>
        <w:tc>
          <w:tcPr>
            <w:tcW w:w="80" w:type="dxa"/>
            <w:vAlign w:val="bottom"/>
            <w:tcBorders>
              <w:bottom w:val="single" w:sz="8" w:color="CCEEFF"/>
            </w:tcBorders>
          </w:tcPr>
          <w:p>
            <w:pPr>
              <w:spacing w:after="0"/>
              <w:rPr>
                <w:sz w:val="19"/>
                <w:szCs w:val="19"/>
                <w:color w:val="auto"/>
              </w:rPr>
            </w:pPr>
          </w:p>
        </w:tc>
      </w:tr>
      <w:tr>
        <w:trPr>
          <w:trHeight w:val="215"/>
        </w:trPr>
        <w:tc>
          <w:tcPr>
            <w:tcW w:w="3340" w:type="dxa"/>
            <w:vAlign w:val="bottom"/>
            <w:shd w:val="clear" w:color="auto" w:fill="CCEEFF"/>
          </w:tcPr>
          <w:p>
            <w:pPr>
              <w:spacing w:after="0" w:line="190" w:lineRule="exact"/>
              <w:rPr>
                <w:sz w:val="20"/>
                <w:szCs w:val="20"/>
                <w:color w:val="auto"/>
              </w:rPr>
            </w:pPr>
            <w:r>
              <w:rPr>
                <w:rFonts w:ascii="Georgia" w:cs="Georgia" w:eastAsia="Georgia" w:hAnsi="Georgia"/>
                <w:sz w:val="18"/>
                <w:szCs w:val="18"/>
                <w:color w:val="auto"/>
              </w:rPr>
              <w:t>Total</w:t>
            </w:r>
          </w:p>
        </w:tc>
        <w:tc>
          <w:tcPr>
            <w:tcW w:w="2480" w:type="dxa"/>
            <w:vAlign w:val="bottom"/>
            <w:gridSpan w:val="2"/>
            <w:shd w:val="clear" w:color="auto" w:fill="CCEEFF"/>
          </w:tcPr>
          <w:p>
            <w:pPr>
              <w:ind w:left="1120"/>
              <w:spacing w:after="0"/>
              <w:rPr>
                <w:sz w:val="20"/>
                <w:szCs w:val="20"/>
                <w:color w:val="auto"/>
              </w:rPr>
            </w:pPr>
            <w:r>
              <w:rPr>
                <w:rFonts w:ascii="Georgia" w:cs="Georgia" w:eastAsia="Georgia" w:hAnsi="Georgia"/>
                <w:sz w:val="18"/>
                <w:szCs w:val="18"/>
                <w:color w:val="auto"/>
              </w:rPr>
              <w:t>€</w:t>
            </w:r>
          </w:p>
        </w:tc>
        <w:tc>
          <w:tcPr>
            <w:tcW w:w="72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132,141</w:t>
            </w:r>
          </w:p>
        </w:tc>
        <w:tc>
          <w:tcPr>
            <w:tcW w:w="980" w:type="dxa"/>
            <w:vAlign w:val="bottom"/>
            <w:gridSpan w:val="2"/>
            <w:shd w:val="clear" w:color="auto" w:fill="CCEEFF"/>
          </w:tcPr>
          <w:p>
            <w:pPr>
              <w:ind w:left="260"/>
              <w:spacing w:after="0"/>
              <w:rPr>
                <w:sz w:val="20"/>
                <w:szCs w:val="20"/>
                <w:color w:val="auto"/>
              </w:rPr>
            </w:pPr>
            <w:r>
              <w:rPr>
                <w:rFonts w:ascii="Georgia" w:cs="Georgia" w:eastAsia="Georgia" w:hAnsi="Georgia"/>
                <w:sz w:val="18"/>
                <w:szCs w:val="18"/>
                <w:color w:val="auto"/>
              </w:rPr>
              <w:t>€</w:t>
            </w:r>
          </w:p>
        </w:tc>
        <w:tc>
          <w:tcPr>
            <w:tcW w:w="1380" w:type="dxa"/>
            <w:vAlign w:val="bottom"/>
            <w:shd w:val="clear" w:color="auto" w:fill="CCEEFF"/>
          </w:tcPr>
          <w:p>
            <w:pPr>
              <w:jc w:val="right"/>
              <w:spacing w:after="0"/>
              <w:rPr>
                <w:sz w:val="20"/>
                <w:szCs w:val="20"/>
                <w:color w:val="auto"/>
              </w:rPr>
            </w:pPr>
            <w:r>
              <w:rPr>
                <w:rFonts w:ascii="Georgia" w:cs="Georgia" w:eastAsia="Georgia" w:hAnsi="Georgia"/>
                <w:sz w:val="18"/>
                <w:szCs w:val="18"/>
                <w:color w:val="auto"/>
              </w:rPr>
              <w:t>1,359,191</w:t>
            </w:r>
          </w:p>
        </w:tc>
        <w:tc>
          <w:tcPr>
            <w:tcW w:w="80" w:type="dxa"/>
            <w:vAlign w:val="bottom"/>
            <w:shd w:val="clear" w:color="auto" w:fill="CCEEFF"/>
          </w:tcPr>
          <w:p>
            <w:pPr>
              <w:spacing w:after="0"/>
              <w:rPr>
                <w:sz w:val="18"/>
                <w:szCs w:val="18"/>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Company has identified the following related parties:</w:t>
      </w:r>
    </w:p>
    <w:p>
      <w:pPr>
        <w:spacing w:after="0" w:line="200" w:lineRule="exact"/>
        <w:rPr>
          <w:sz w:val="20"/>
          <w:szCs w:val="20"/>
          <w:color w:val="auto"/>
        </w:rPr>
      </w:pPr>
    </w:p>
    <w:p>
      <w:pPr>
        <w:ind w:left="660" w:hanging="328"/>
        <w:spacing w:after="0"/>
        <w:tabs>
          <w:tab w:leader="none" w:pos="660" w:val="left"/>
        </w:tabs>
        <w:numPr>
          <w:ilvl w:val="0"/>
          <w:numId w:val="110"/>
        </w:numPr>
        <w:rPr>
          <w:rFonts w:ascii="Georgia" w:cs="Georgia" w:eastAsia="Georgia" w:hAnsi="Georgia"/>
          <w:sz w:val="18"/>
          <w:szCs w:val="18"/>
          <w:color w:val="auto"/>
        </w:rPr>
      </w:pPr>
      <w:r>
        <w:rPr>
          <w:rFonts w:ascii="Georgia" w:cs="Georgia" w:eastAsia="Georgia" w:hAnsi="Georgia"/>
          <w:sz w:val="18"/>
          <w:szCs w:val="18"/>
          <w:u w:val="single" w:color="auto"/>
          <w:color w:val="auto"/>
        </w:rPr>
        <w:t>Pierluigi Paracchi</w:t>
      </w:r>
      <w:r>
        <w:rPr>
          <w:rFonts w:ascii="Georgia" w:cs="Georgia" w:eastAsia="Georgia" w:hAnsi="Georgia"/>
          <w:sz w:val="18"/>
          <w:szCs w:val="18"/>
          <w:color w:val="auto"/>
        </w:rPr>
        <w:t xml:space="preserve"> (director and co-founder of the Company);</w:t>
      </w:r>
    </w:p>
    <w:p>
      <w:pPr>
        <w:ind w:left="660" w:hanging="328"/>
        <w:spacing w:after="0" w:line="237" w:lineRule="auto"/>
        <w:tabs>
          <w:tab w:leader="none" w:pos="660" w:val="left"/>
        </w:tabs>
        <w:numPr>
          <w:ilvl w:val="0"/>
          <w:numId w:val="110"/>
        </w:numPr>
        <w:rPr>
          <w:rFonts w:ascii="Georgia" w:cs="Georgia" w:eastAsia="Georgia" w:hAnsi="Georgia"/>
          <w:sz w:val="18"/>
          <w:szCs w:val="18"/>
          <w:color w:val="auto"/>
        </w:rPr>
      </w:pPr>
      <w:r>
        <w:rPr>
          <w:rFonts w:ascii="Georgia" w:cs="Georgia" w:eastAsia="Georgia" w:hAnsi="Georgia"/>
          <w:sz w:val="18"/>
          <w:szCs w:val="18"/>
          <w:u w:val="single" w:color="auto"/>
          <w:color w:val="auto"/>
        </w:rPr>
        <w:t>Luigi Naldini</w:t>
      </w:r>
      <w:r>
        <w:rPr>
          <w:rFonts w:ascii="Georgia" w:cs="Georgia" w:eastAsia="Georgia" w:hAnsi="Georgia"/>
          <w:sz w:val="18"/>
          <w:szCs w:val="18"/>
          <w:color w:val="auto"/>
        </w:rPr>
        <w:t xml:space="preserve"> (co-founder of the Company and chair of the scientific advisory board);</w:t>
      </w:r>
    </w:p>
    <w:p>
      <w:pPr>
        <w:ind w:left="660" w:hanging="328"/>
        <w:spacing w:after="0" w:line="237" w:lineRule="auto"/>
        <w:tabs>
          <w:tab w:leader="none" w:pos="660" w:val="left"/>
        </w:tabs>
        <w:numPr>
          <w:ilvl w:val="0"/>
          <w:numId w:val="110"/>
        </w:numPr>
        <w:rPr>
          <w:rFonts w:ascii="Georgia" w:cs="Georgia" w:eastAsia="Georgia" w:hAnsi="Georgia"/>
          <w:sz w:val="18"/>
          <w:szCs w:val="18"/>
          <w:color w:val="auto"/>
        </w:rPr>
      </w:pPr>
      <w:r>
        <w:rPr>
          <w:rFonts w:ascii="Georgia" w:cs="Georgia" w:eastAsia="Georgia" w:hAnsi="Georgia"/>
          <w:sz w:val="18"/>
          <w:szCs w:val="18"/>
          <w:u w:val="single" w:color="auto"/>
          <w:color w:val="auto"/>
        </w:rPr>
        <w:t>Bernhard Rudolph Gentner</w:t>
      </w:r>
      <w:r>
        <w:rPr>
          <w:rFonts w:ascii="Georgia" w:cs="Georgia" w:eastAsia="Georgia" w:hAnsi="Georgia"/>
          <w:sz w:val="18"/>
          <w:szCs w:val="18"/>
          <w:color w:val="auto"/>
        </w:rPr>
        <w:t xml:space="preserve"> (co- founders of the Company and member of the scientific advisory board);</w:t>
      </w:r>
    </w:p>
    <w:p>
      <w:pPr>
        <w:ind w:left="660" w:hanging="328"/>
        <w:spacing w:after="0" w:line="237" w:lineRule="auto"/>
        <w:tabs>
          <w:tab w:leader="none" w:pos="660" w:val="left"/>
        </w:tabs>
        <w:numPr>
          <w:ilvl w:val="0"/>
          <w:numId w:val="110"/>
        </w:numPr>
        <w:rPr>
          <w:rFonts w:ascii="Georgia" w:cs="Georgia" w:eastAsia="Georgia" w:hAnsi="Georgia"/>
          <w:sz w:val="18"/>
          <w:szCs w:val="18"/>
          <w:color w:val="auto"/>
        </w:rPr>
      </w:pPr>
      <w:r>
        <w:rPr>
          <w:rFonts w:ascii="Georgia" w:cs="Georgia" w:eastAsia="Georgia" w:hAnsi="Georgia"/>
          <w:sz w:val="18"/>
          <w:szCs w:val="18"/>
          <w:u w:val="single" w:color="auto"/>
          <w:color w:val="auto"/>
        </w:rPr>
        <w:t>XDG Biomed/Carlo Russo (</w:t>
      </w:r>
      <w:r>
        <w:rPr>
          <w:rFonts w:ascii="Georgia" w:cs="Georgia" w:eastAsia="Georgia" w:hAnsi="Georgia"/>
          <w:sz w:val="18"/>
          <w:szCs w:val="18"/>
          <w:color w:val="auto"/>
        </w:rPr>
        <w:t>chief medical officer, operating by his company, XDG Biomed LLC); and,</w:t>
      </w:r>
    </w:p>
    <w:p>
      <w:pPr>
        <w:ind w:left="660" w:right="20" w:hanging="328"/>
        <w:spacing w:after="0" w:line="237" w:lineRule="auto"/>
        <w:tabs>
          <w:tab w:leader="none" w:pos="660" w:val="left"/>
        </w:tabs>
        <w:numPr>
          <w:ilvl w:val="0"/>
          <w:numId w:val="110"/>
        </w:numPr>
        <w:rPr>
          <w:rFonts w:ascii="Georgia" w:cs="Georgia" w:eastAsia="Georgia" w:hAnsi="Georgia"/>
          <w:sz w:val="18"/>
          <w:szCs w:val="18"/>
          <w:color w:val="auto"/>
        </w:rPr>
      </w:pPr>
      <w:r>
        <w:rPr>
          <w:rFonts w:ascii="Georgia" w:cs="Georgia" w:eastAsia="Georgia" w:hAnsi="Georgia"/>
          <w:sz w:val="18"/>
          <w:szCs w:val="18"/>
          <w:u w:val="single" w:color="auto"/>
          <w:color w:val="auto"/>
        </w:rPr>
        <w:t>Richard Slansky</w:t>
      </w:r>
      <w:r>
        <w:rPr>
          <w:rFonts w:ascii="Georgia" w:cs="Georgia" w:eastAsia="Georgia" w:hAnsi="Georgia"/>
          <w:sz w:val="18"/>
          <w:szCs w:val="18"/>
          <w:color w:val="auto"/>
        </w:rPr>
        <w:t xml:space="preserve"> (chief financial officer; prior to his employment on November 1, 2021, Mr. Slansky was under a consulting agreement);</w:t>
      </w:r>
    </w:p>
    <w:p>
      <w:pPr>
        <w:spacing w:after="0" w:line="1" w:lineRule="exact"/>
        <w:rPr>
          <w:rFonts w:ascii="Georgia" w:cs="Georgia" w:eastAsia="Georgia" w:hAnsi="Georgia"/>
          <w:sz w:val="18"/>
          <w:szCs w:val="18"/>
          <w:color w:val="auto"/>
        </w:rPr>
      </w:pPr>
    </w:p>
    <w:p>
      <w:pPr>
        <w:ind w:left="660" w:hanging="328"/>
        <w:spacing w:after="0" w:line="237" w:lineRule="auto"/>
        <w:tabs>
          <w:tab w:leader="none" w:pos="660" w:val="left"/>
        </w:tabs>
        <w:numPr>
          <w:ilvl w:val="0"/>
          <w:numId w:val="110"/>
        </w:numPr>
        <w:rPr>
          <w:rFonts w:ascii="Georgia" w:cs="Georgia" w:eastAsia="Georgia" w:hAnsi="Georgia"/>
          <w:sz w:val="18"/>
          <w:szCs w:val="18"/>
          <w:color w:val="auto"/>
        </w:rPr>
      </w:pPr>
      <w:r>
        <w:rPr>
          <w:rFonts w:ascii="Georgia" w:cs="Georgia" w:eastAsia="Georgia" w:hAnsi="Georgia"/>
          <w:sz w:val="18"/>
          <w:szCs w:val="18"/>
          <w:u w:val="single" w:color="auto"/>
          <w:color w:val="auto"/>
        </w:rPr>
        <w:t>Spafid S.pA. (</w:t>
      </w:r>
      <w:r>
        <w:rPr>
          <w:rFonts w:ascii="Georgia" w:cs="Georgia" w:eastAsia="Georgia" w:hAnsi="Georgia"/>
          <w:sz w:val="18"/>
          <w:szCs w:val="18"/>
          <w:color w:val="auto"/>
        </w:rPr>
        <w:t>shareholder ownership &gt; 5%)</w:t>
      </w:r>
    </w:p>
    <w:p>
      <w:pPr>
        <w:ind w:left="660" w:hanging="328"/>
        <w:spacing w:after="0" w:line="237" w:lineRule="auto"/>
        <w:tabs>
          <w:tab w:leader="none" w:pos="660" w:val="left"/>
        </w:tabs>
        <w:numPr>
          <w:ilvl w:val="0"/>
          <w:numId w:val="110"/>
        </w:numPr>
        <w:rPr>
          <w:rFonts w:ascii="Georgia" w:cs="Georgia" w:eastAsia="Georgia" w:hAnsi="Georgia"/>
          <w:sz w:val="18"/>
          <w:szCs w:val="18"/>
          <w:color w:val="auto"/>
        </w:rPr>
      </w:pPr>
      <w:r>
        <w:rPr>
          <w:rFonts w:ascii="Georgia" w:cs="Georgia" w:eastAsia="Georgia" w:hAnsi="Georgia"/>
          <w:sz w:val="18"/>
          <w:szCs w:val="18"/>
          <w:u w:val="single" w:color="auto"/>
          <w:color w:val="auto"/>
        </w:rPr>
        <w:t>Fidim Srl (</w:t>
      </w:r>
      <w:r>
        <w:rPr>
          <w:rFonts w:ascii="Georgia" w:cs="Georgia" w:eastAsia="Georgia" w:hAnsi="Georgia"/>
          <w:sz w:val="18"/>
          <w:szCs w:val="18"/>
          <w:color w:val="auto"/>
        </w:rPr>
        <w:t>shareholder ownership &gt; 5%)</w:t>
      </w:r>
    </w:p>
    <w:p>
      <w:pPr>
        <w:ind w:left="660" w:hanging="328"/>
        <w:spacing w:after="0" w:line="237" w:lineRule="auto"/>
        <w:tabs>
          <w:tab w:leader="none" w:pos="660" w:val="left"/>
        </w:tabs>
        <w:numPr>
          <w:ilvl w:val="0"/>
          <w:numId w:val="110"/>
        </w:numPr>
        <w:rPr>
          <w:rFonts w:ascii="Georgia" w:cs="Georgia" w:eastAsia="Georgia" w:hAnsi="Georgia"/>
          <w:sz w:val="18"/>
          <w:szCs w:val="18"/>
          <w:color w:val="auto"/>
        </w:rPr>
      </w:pPr>
      <w:r>
        <w:rPr>
          <w:rFonts w:ascii="Georgia" w:cs="Georgia" w:eastAsia="Georgia" w:hAnsi="Georgia"/>
          <w:sz w:val="18"/>
          <w:szCs w:val="18"/>
          <w:u w:val="single" w:color="auto"/>
          <w:color w:val="auto"/>
        </w:rPr>
        <w:t>OSR - San Raffaele Hospital</w:t>
      </w:r>
      <w:r>
        <w:rPr>
          <w:rFonts w:ascii="Georgia" w:cs="Georgia" w:eastAsia="Georgia" w:hAnsi="Georgia"/>
          <w:sz w:val="18"/>
          <w:szCs w:val="18"/>
          <w:color w:val="auto"/>
        </w:rPr>
        <w:t xml:space="preserve"> (co-founder of the Company, shareholder, main service provider for clinical activity and licensor of brands of any product that can be obtained through research).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4" w:name="page165"/>
    <w:bookmarkEnd w:id="164"/>
    <w:p>
      <w:pPr>
        <w:ind w:left="660"/>
        <w:spacing w:after="0"/>
        <w:rPr>
          <w:sz w:val="20"/>
          <w:szCs w:val="20"/>
          <w:color w:val="auto"/>
        </w:rPr>
      </w:pPr>
      <w:r>
        <w:rPr>
          <w:rFonts w:ascii="Georgia" w:cs="Georgia" w:eastAsia="Georgia" w:hAnsi="Georgia"/>
          <w:sz w:val="18"/>
          <w:szCs w:val="18"/>
          <w:color w:val="auto"/>
        </w:rPr>
        <w:t>The following is a description of the nature of the transactions between the Company and these related parties: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Pierluigi Paracchi</w:t>
      </w:r>
    </w:p>
    <w:p>
      <w:pPr>
        <w:spacing w:after="0" w:line="202" w:lineRule="exact"/>
        <w:rPr>
          <w:sz w:val="20"/>
          <w:szCs w:val="20"/>
          <w:color w:val="auto"/>
        </w:rPr>
      </w:pPr>
    </w:p>
    <w:p>
      <w:pPr>
        <w:ind w:right="20" w:firstLine="647"/>
        <w:spacing w:after="0" w:line="237" w:lineRule="auto"/>
        <w:rPr>
          <w:sz w:val="20"/>
          <w:szCs w:val="20"/>
          <w:color w:val="auto"/>
        </w:rPr>
      </w:pPr>
      <w:r>
        <w:rPr>
          <w:rFonts w:ascii="Georgia" w:cs="Georgia" w:eastAsia="Georgia" w:hAnsi="Georgia"/>
          <w:sz w:val="18"/>
          <w:szCs w:val="18"/>
          <w:color w:val="auto"/>
        </w:rPr>
        <w:t>Pierluigi Paracchi, President and Chairman of the Company prior to the conversion, is the Chief Executive Officer as well as co-founder. His annual compensation, until December 16, 2021, amounted to €250,000 per year plus an annual performance bonus of €50,000, maturing in the period July-June of each year payable after Board of Directors approval. On December 17, 2021, he was employed by the Company as chief executive officer (aka general manager in Italy), with an annual gross salary of €420,000 plus a 20% of annual bonus subject to Board of Directors approval. For the year ended December 31, 2021, and 2020, the Company expensed approximately €307,000 and €275,000, respectively, related to compensation for Mr. Paracchi. At December 31, 2021 and the year ended December 31, 2020, the Company accrued €25,000 for Mr. Paracchi’s bonuses accruing from July to December. At December 31, 2019, the Company accrued a bonus of €50,000 as approved by the Board of Directors.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Luigi Naldini/Bernhard Rudolph Gentner</w:t>
      </w:r>
    </w:p>
    <w:p>
      <w:pPr>
        <w:spacing w:after="0" w:line="202" w:lineRule="exact"/>
        <w:rPr>
          <w:sz w:val="20"/>
          <w:szCs w:val="20"/>
          <w:color w:val="auto"/>
        </w:rPr>
      </w:pPr>
    </w:p>
    <w:p>
      <w:pPr>
        <w:ind w:right="80" w:firstLine="647"/>
        <w:spacing w:after="0" w:line="237" w:lineRule="auto"/>
        <w:rPr>
          <w:sz w:val="20"/>
          <w:szCs w:val="20"/>
          <w:color w:val="auto"/>
        </w:rPr>
      </w:pPr>
      <w:r>
        <w:rPr>
          <w:rFonts w:ascii="Georgia" w:cs="Georgia" w:eastAsia="Georgia" w:hAnsi="Georgia"/>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last agreement with Dr. Naldini was signed in 2019 and it is still in force. The annual fee is €50,000 expensed for the year ended December 31, 2021, 2020 and 2019. While for the year ended December 31, 2020, he billed additional fees for €6,250. At December 31, 2021 and the year ended December 31, 2020, the Company did not accrue anything related to Dr. Naldini. In the 2019 fiscal year, Dr. Naldini’s compensation amounted to €8,750 each quarter and a year-end bonus of €20,500 which was approved by the Company’s Board of Directors.</w:t>
      </w:r>
    </w:p>
    <w:p>
      <w:pPr>
        <w:spacing w:after="0" w:line="206"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Dr. Gentner, like Dr. Naldini, oversees pre-clinical research related to the platform technology. In addition, he analyzes clinical biological data. The last agreement with Dr. Gentner, which is still in force, was signed in 2017. His annual fee is €30,000, which was expensed in 2021, 2020 and 2019. At December 31, 2021, and 2020, no amounts were accrued related to Drs. Naldini and Gentner. In the 2019 fiscal year, Dr. Gentner’s compensation was €7,800 each quarter and a year-end bonus of €13,150 as approved by the Company’s Board of Directors. No amounts were owed at the year end.</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XDG Biomed LLC</w:t>
      </w:r>
    </w:p>
    <w:p>
      <w:pPr>
        <w:spacing w:after="0" w:line="202"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XDG Biomed is the LLC of Dr. Carlo Russo. Dr. Russo has a single contract signed by XDG and the Company that has been approved by the Board of Directors and was subject to multiple amendments. In particular, Dr. Russo, via XDG, served as the Company’s Chief Medical Officer and Head of Development. Dr. Russo is responsible for the clinical development of Temferon™, the Company’s gene therapy platform. The applicable recurring fees until the IPO date was €300,000 per year, plus a performance bonus of €50,000 maturing for the period July-June of each year and payable after Board of Directors approval. From the IPO date, December 15, 2021, Dr. Russo has been employed by Genenta Science Inc. with the same role and responsibilities under a new employment agreement. The annual gross salary of Dr. Russo as an employee amounts to $500,000 per year (approximately €442,000 per year at December 31, 2021) + 30% annual bonus subject to Board of Director approval. For the year ended December 31, 2021, Dr. Russo invoiced the Company for €313,181. At year end, €25,000 was accrued for the bonus, maturing from July to December 2021. From December 15 to December 31, 2021, the cost recorded for Dr. Russo as a Genenta Science Inc. employee, amounts to €14,140. For the year ended December 31, 2021, the Company recorded a total cost for Dr. Russo amounting to €352,321 excluding social contribution. In addition, in April 2021, Dr. Russo was awarded a stock option grant and it was immediately vested, with a value accrued in the Company’s consolidated statements of operations and comprehensive loss of €179,480. In 2020 and 2019, XDG related expenses amounted to €325,000 and €283,610, respectively, and an accrual of €50,000 was made at the year-end 2019 to take into account the above reported variable compensation that was approved by the Board of Directors. The amount owed at December 31, 2019 was €59,626.</w:t>
      </w:r>
    </w:p>
    <w:p>
      <w:pPr>
        <w:spacing w:after="0" w:line="20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Richard Slansky</w:t>
      </w:r>
    </w:p>
    <w:p>
      <w:pPr>
        <w:spacing w:after="0" w:line="202" w:lineRule="exact"/>
        <w:rPr>
          <w:sz w:val="20"/>
          <w:szCs w:val="20"/>
          <w:color w:val="auto"/>
        </w:rPr>
      </w:pPr>
    </w:p>
    <w:p>
      <w:pPr>
        <w:ind w:right="100" w:firstLine="647"/>
        <w:spacing w:after="0" w:line="237" w:lineRule="auto"/>
        <w:rPr>
          <w:sz w:val="20"/>
          <w:szCs w:val="20"/>
          <w:color w:val="auto"/>
        </w:rPr>
      </w:pPr>
      <w:r>
        <w:rPr>
          <w:rFonts w:ascii="Georgia" w:cs="Georgia" w:eastAsia="Georgia" w:hAnsi="Georgia"/>
          <w:sz w:val="18"/>
          <w:szCs w:val="18"/>
          <w:color w:val="auto"/>
        </w:rPr>
        <w:t>Mr. Slansky is the Chief Financial Officer of the Company. He was engaged in late 2020 by the Company to assist with financial, accounting and audit support under an advisory agreement until the end of October 2021. On November 1, 2021, he joined the Company full time and has been employed as Chief Financial Officer. In 2021, by the advisory agreement, Mr. Slansky invoiced Genenta for €72,248. Under the new employment agreement started on November 1, 2021, Mr. Slansky is entitled to receive a gross annual compensation of $300,000 per year + 30% annual bonus subject to Board of Director approval. The personnel cost of Mr. Slansky from November 1 to December 31, 2021, amounts to €66,812 (social contribution excluded). This amount includes a bonus of $50,000 accrued at year end and paid in 2022, related to 2021 performance. For the year ended December 31, 2021, the Company recorded a total cost for Mr. Slansky amounting to €139,060 (excluding social contribution). In April 2021, Mr. Slansky was awarded a stock option grant and it was immediately vested, with value accrued into the Company’s consolidated statements of operations and comprehensive loss of €54,388. In 2020 and 2019, related expenses of Mr. Slansky amounted to €4,000 and €0, respectively.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65" w:name="page166"/>
    <w:bookmarkEnd w:id="165"/>
    <w:p>
      <w:pPr>
        <w:spacing w:after="0"/>
        <w:rPr>
          <w:sz w:val="20"/>
          <w:szCs w:val="20"/>
          <w:color w:val="auto"/>
        </w:rPr>
      </w:pPr>
      <w:r>
        <w:rPr>
          <w:rFonts w:ascii="Georgia" w:cs="Georgia" w:eastAsia="Georgia" w:hAnsi="Georgia"/>
          <w:sz w:val="18"/>
          <w:szCs w:val="18"/>
          <w:b w:val="1"/>
          <w:bCs w:val="1"/>
          <w:color w:val="auto"/>
        </w:rPr>
        <w:t>Spafid S.p.A.</w:t>
      </w:r>
    </w:p>
    <w:p>
      <w:pPr>
        <w:spacing w:after="0" w:line="202" w:lineRule="exact"/>
        <w:rPr>
          <w:sz w:val="20"/>
          <w:szCs w:val="20"/>
          <w:color w:val="auto"/>
        </w:rPr>
      </w:pPr>
    </w:p>
    <w:p>
      <w:pPr>
        <w:ind w:right="220" w:firstLine="647"/>
        <w:spacing w:after="0" w:line="237" w:lineRule="auto"/>
        <w:rPr>
          <w:sz w:val="20"/>
          <w:szCs w:val="20"/>
          <w:color w:val="auto"/>
        </w:rPr>
      </w:pPr>
      <w:r>
        <w:rPr>
          <w:rFonts w:ascii="Georgia" w:cs="Georgia" w:eastAsia="Georgia" w:hAnsi="Georgia"/>
          <w:sz w:val="18"/>
          <w:szCs w:val="18"/>
          <w:color w:val="auto"/>
        </w:rPr>
        <w:t>Spafid S.p.A. (“Spafid”) is a Genenta shareholder with an ownership of &gt; 5%. Spafid is also a service provider for Genenta. The engagement started on May 20, 2021, and relates to several services concerning corporate governance activities, such as shareholders book and shareholders meeting management, shares dematerialization and centralization, etc.</w:t>
      </w:r>
    </w:p>
    <w:p>
      <w:pPr>
        <w:spacing w:after="0" w:line="204" w:lineRule="exact"/>
        <w:rPr>
          <w:sz w:val="20"/>
          <w:szCs w:val="20"/>
          <w:color w:val="auto"/>
        </w:rPr>
      </w:pPr>
    </w:p>
    <w:p>
      <w:pPr>
        <w:ind w:right="460" w:firstLine="647"/>
        <w:spacing w:after="0" w:line="473" w:lineRule="auto"/>
        <w:rPr>
          <w:sz w:val="20"/>
          <w:szCs w:val="20"/>
          <w:color w:val="auto"/>
        </w:rPr>
      </w:pPr>
      <w:r>
        <w:rPr>
          <w:rFonts w:ascii="Georgia" w:cs="Georgia" w:eastAsia="Georgia" w:hAnsi="Georgia"/>
          <w:sz w:val="18"/>
          <w:szCs w:val="18"/>
          <w:color w:val="auto"/>
        </w:rPr>
        <w:t xml:space="preserve">For the year ended December 31, 2021, Spafid invoiced the Company €7,695 for services provided, which were paid at year end. </w:t>
      </w:r>
      <w:r>
        <w:rPr>
          <w:rFonts w:ascii="Georgia" w:cs="Georgia" w:eastAsia="Georgia" w:hAnsi="Georgia"/>
          <w:sz w:val="18"/>
          <w:szCs w:val="18"/>
          <w:b w:val="1"/>
          <w:bCs w:val="1"/>
          <w:color w:val="auto"/>
        </w:rPr>
        <w:t>OSR – San Raffaele Hospital</w:t>
      </w:r>
    </w:p>
    <w:p>
      <w:pPr>
        <w:spacing w:after="0" w:line="4" w:lineRule="exact"/>
        <w:rPr>
          <w:sz w:val="20"/>
          <w:szCs w:val="20"/>
          <w:color w:val="auto"/>
        </w:rPr>
      </w:pPr>
    </w:p>
    <w:p>
      <w:pPr>
        <w:ind w:right="240" w:firstLine="647"/>
        <w:spacing w:after="0" w:line="237" w:lineRule="auto"/>
        <w:rPr>
          <w:sz w:val="20"/>
          <w:szCs w:val="20"/>
          <w:color w:val="auto"/>
        </w:rPr>
      </w:pPr>
      <w:r>
        <w:rPr>
          <w:rFonts w:ascii="Georgia" w:cs="Georgia" w:eastAsia="Georgia" w:hAnsi="Georgia"/>
          <w:sz w:val="18"/>
          <w:szCs w:val="18"/>
          <w:color w:val="auto"/>
        </w:rPr>
        <w:t>OSR - San Raffaele Hospital is a co-founder of the Company,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License Agreement</w:t>
      </w:r>
    </w:p>
    <w:p>
      <w:pPr>
        <w:spacing w:after="0" w:line="202" w:lineRule="exact"/>
        <w:rPr>
          <w:sz w:val="20"/>
          <w:szCs w:val="20"/>
          <w:color w:val="auto"/>
        </w:rPr>
      </w:pPr>
    </w:p>
    <w:p>
      <w:pPr>
        <w:jc w:val="both"/>
        <w:ind w:firstLine="647"/>
        <w:spacing w:after="0" w:line="237" w:lineRule="auto"/>
        <w:rPr>
          <w:sz w:val="20"/>
          <w:szCs w:val="20"/>
          <w:color w:val="auto"/>
        </w:rPr>
      </w:pPr>
      <w:r>
        <w:rPr>
          <w:rFonts w:ascii="Georgia" w:cs="Georgia" w:eastAsia="Georgia" w:hAnsi="Georgia"/>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205" w:lineRule="exact"/>
        <w:rPr>
          <w:sz w:val="20"/>
          <w:szCs w:val="20"/>
          <w:color w:val="auto"/>
        </w:rPr>
      </w:pPr>
    </w:p>
    <w:p>
      <w:pPr>
        <w:ind w:right="60" w:firstLine="647"/>
        <w:spacing w:after="0" w:line="237" w:lineRule="auto"/>
        <w:rPr>
          <w:sz w:val="20"/>
          <w:szCs w:val="20"/>
          <w:color w:val="auto"/>
        </w:rPr>
      </w:pPr>
      <w:r>
        <w:rPr>
          <w:rFonts w:ascii="Georgia" w:cs="Georgia" w:eastAsia="Georgia" w:hAnsi="Georgia"/>
          <w:sz w:val="18"/>
          <w:szCs w:val="18"/>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39" w:lineRule="exact"/>
        <w:rPr>
          <w:sz w:val="20"/>
          <w:szCs w:val="20"/>
          <w:color w:val="auto"/>
        </w:rPr>
      </w:pPr>
    </w:p>
    <w:p>
      <w:pPr>
        <w:ind w:left="1300" w:hanging="320"/>
        <w:spacing w:after="0"/>
        <w:tabs>
          <w:tab w:leader="none" w:pos="1300" w:val="left"/>
        </w:tabs>
        <w:numPr>
          <w:ilvl w:val="0"/>
          <w:numId w:val="111"/>
        </w:numPr>
        <w:rPr>
          <w:rFonts w:ascii="Georgia" w:cs="Georgia" w:eastAsia="Georgia" w:hAnsi="Georgia"/>
          <w:sz w:val="36"/>
          <w:szCs w:val="36"/>
          <w:color w:val="auto"/>
          <w:vertAlign w:val="superscript"/>
        </w:rPr>
      </w:pPr>
      <w:r>
        <w:rPr>
          <w:rFonts w:ascii="Georgia" w:cs="Georgia" w:eastAsia="Georgia" w:hAnsi="Georgia"/>
          <w:sz w:val="18"/>
          <w:szCs w:val="18"/>
          <w:color w:val="auto"/>
        </w:rPr>
        <w:t>Lympho-Hematopoietic Indication</w:t>
      </w:r>
      <w:r>
        <w:rPr>
          <w:rFonts w:ascii="Georgia" w:cs="Georgia" w:eastAsia="Georgia" w:hAnsi="Georgia"/>
          <w:sz w:val="29"/>
          <w:szCs w:val="29"/>
          <w:color w:val="auto"/>
          <w:vertAlign w:val="superscript"/>
        </w:rPr>
        <w:t>1</w:t>
      </w:r>
      <w:r>
        <w:rPr>
          <w:rFonts w:ascii="Georgia" w:cs="Georgia" w:eastAsia="Georgia" w:hAnsi="Georgia"/>
          <w:sz w:val="18"/>
          <w:szCs w:val="18"/>
          <w:color w:val="auto"/>
        </w:rPr>
        <w:t>; and,</w:t>
      </w:r>
    </w:p>
    <w:p>
      <w:pPr>
        <w:ind w:left="1300" w:hanging="320"/>
        <w:spacing w:after="0" w:line="238" w:lineRule="auto"/>
        <w:tabs>
          <w:tab w:leader="none" w:pos="1300" w:val="left"/>
        </w:tabs>
        <w:numPr>
          <w:ilvl w:val="0"/>
          <w:numId w:val="111"/>
        </w:numPr>
        <w:rPr>
          <w:rFonts w:ascii="Georgia" w:cs="Georgia" w:eastAsia="Georgia" w:hAnsi="Georgia"/>
          <w:sz w:val="18"/>
          <w:szCs w:val="18"/>
          <w:color w:val="auto"/>
        </w:rPr>
      </w:pPr>
      <w:r>
        <w:rPr>
          <w:rFonts w:ascii="Georgia" w:cs="Georgia" w:eastAsia="Georgia" w:hAnsi="Georgia"/>
          <w:sz w:val="18"/>
          <w:szCs w:val="18"/>
          <w:color w:val="auto"/>
        </w:rPr>
        <w:t>Solid Cancer Indication.</w:t>
      </w:r>
    </w:p>
    <w:p>
      <w:pPr>
        <w:spacing w:after="0" w:line="201"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agreement provided for an upfront fee of €250,000 (which was paid in 2015), future option fees are as follows:</w:t>
      </w:r>
    </w:p>
    <w:p>
      <w:pPr>
        <w:spacing w:after="0" w:line="200" w:lineRule="exact"/>
        <w:rPr>
          <w:sz w:val="20"/>
          <w:szCs w:val="20"/>
          <w:color w:val="auto"/>
        </w:rPr>
      </w:pPr>
    </w:p>
    <w:p>
      <w:pPr>
        <w:ind w:left="980" w:hanging="324"/>
        <w:spacing w:after="0"/>
        <w:tabs>
          <w:tab w:leader="none" w:pos="980" w:val="left"/>
        </w:tabs>
        <w:numPr>
          <w:ilvl w:val="0"/>
          <w:numId w:val="112"/>
        </w:numPr>
        <w:rPr>
          <w:rFonts w:ascii="Georgia" w:cs="Georgia" w:eastAsia="Georgia" w:hAnsi="Georgia"/>
          <w:sz w:val="18"/>
          <w:szCs w:val="18"/>
          <w:color w:val="auto"/>
        </w:rPr>
      </w:pPr>
      <w:r>
        <w:rPr>
          <w:rFonts w:ascii="Georgia" w:cs="Georgia" w:eastAsia="Georgia" w:hAnsi="Georgia"/>
          <w:sz w:val="18"/>
          <w:szCs w:val="18"/>
          <w:color w:val="auto"/>
        </w:rPr>
        <w:t>option fee on the first indication = €1.0 million (subsequently reduced to €0.5 million);</w:t>
      </w:r>
    </w:p>
    <w:p>
      <w:pPr>
        <w:ind w:left="980" w:hanging="324"/>
        <w:spacing w:after="0" w:line="237" w:lineRule="auto"/>
        <w:tabs>
          <w:tab w:leader="none" w:pos="980" w:val="left"/>
        </w:tabs>
        <w:numPr>
          <w:ilvl w:val="0"/>
          <w:numId w:val="112"/>
        </w:numPr>
        <w:rPr>
          <w:rFonts w:ascii="Georgia" w:cs="Georgia" w:eastAsia="Georgia" w:hAnsi="Georgia"/>
          <w:sz w:val="18"/>
          <w:szCs w:val="18"/>
          <w:color w:val="auto"/>
        </w:rPr>
      </w:pPr>
      <w:r>
        <w:rPr>
          <w:rFonts w:ascii="Georgia" w:cs="Georgia" w:eastAsia="Georgia" w:hAnsi="Georgia"/>
          <w:sz w:val="18"/>
          <w:szCs w:val="18"/>
          <w:color w:val="auto"/>
        </w:rPr>
        <w:t>option fee on the second indication = €0.5 million;</w:t>
      </w:r>
    </w:p>
    <w:p>
      <w:pPr>
        <w:ind w:left="980" w:hanging="324"/>
        <w:spacing w:after="0" w:line="237" w:lineRule="auto"/>
        <w:tabs>
          <w:tab w:leader="none" w:pos="980" w:val="left"/>
        </w:tabs>
        <w:numPr>
          <w:ilvl w:val="0"/>
          <w:numId w:val="112"/>
        </w:numPr>
        <w:rPr>
          <w:rFonts w:ascii="Georgia" w:cs="Georgia" w:eastAsia="Georgia" w:hAnsi="Georgia"/>
          <w:sz w:val="18"/>
          <w:szCs w:val="18"/>
          <w:color w:val="auto"/>
        </w:rPr>
      </w:pPr>
      <w:r>
        <w:rPr>
          <w:rFonts w:ascii="Georgia" w:cs="Georgia" w:eastAsia="Georgia" w:hAnsi="Georgia"/>
          <w:sz w:val="18"/>
          <w:szCs w:val="18"/>
          <w:color w:val="auto"/>
        </w:rPr>
        <w:t>option fee on the third indication = €0.3 million; and,</w:t>
      </w:r>
    </w:p>
    <w:p>
      <w:pPr>
        <w:ind w:left="980" w:hanging="324"/>
        <w:spacing w:after="0" w:line="238" w:lineRule="auto"/>
        <w:tabs>
          <w:tab w:leader="none" w:pos="980" w:val="left"/>
        </w:tabs>
        <w:numPr>
          <w:ilvl w:val="0"/>
          <w:numId w:val="112"/>
        </w:numPr>
        <w:rPr>
          <w:rFonts w:ascii="Georgia" w:cs="Georgia" w:eastAsia="Georgia" w:hAnsi="Georgia"/>
          <w:sz w:val="18"/>
          <w:szCs w:val="18"/>
          <w:color w:val="auto"/>
        </w:rPr>
      </w:pPr>
      <w:r>
        <w:rPr>
          <w:rFonts w:ascii="Georgia" w:cs="Georgia" w:eastAsia="Georgia" w:hAnsi="Georgia"/>
          <w:sz w:val="18"/>
          <w:szCs w:val="18"/>
          <w:color w:val="auto"/>
        </w:rPr>
        <w:t>option fee on any additional indications = no license fee.</w:t>
      </w:r>
    </w:p>
    <w:p>
      <w:pPr>
        <w:spacing w:after="0" w:line="243" w:lineRule="exact"/>
        <w:rPr>
          <w:sz w:val="20"/>
          <w:szCs w:val="20"/>
          <w:color w:val="auto"/>
        </w:rPr>
      </w:pPr>
    </w:p>
    <w:p>
      <w:pPr>
        <w:ind w:firstLine="8"/>
        <w:spacing w:after="0" w:line="186" w:lineRule="auto"/>
        <w:tabs>
          <w:tab w:leader="none" w:pos="114" w:val="left"/>
        </w:tabs>
        <w:numPr>
          <w:ilvl w:val="0"/>
          <w:numId w:val="113"/>
        </w:numPr>
        <w:rPr>
          <w:rFonts w:ascii="Georgia" w:cs="Georgia" w:eastAsia="Georgia" w:hAnsi="Georgia"/>
          <w:sz w:val="29"/>
          <w:szCs w:val="29"/>
          <w:color w:val="auto"/>
          <w:vertAlign w:val="superscript"/>
        </w:rPr>
      </w:pPr>
      <w:r>
        <w:rPr>
          <w:rFonts w:ascii="Georgia" w:cs="Georgia" w:eastAsia="Georgia" w:hAnsi="Georgia"/>
          <w:sz w:val="17"/>
          <w:szCs w:val="17"/>
          <w:color w:val="auto"/>
        </w:rPr>
        <w:t>The Company later amended the License agreement focusing on GBM options. The TEM-MM option fee has never been exercised and instead the related research was abandoned in early 2021.</w:t>
      </w:r>
    </w:p>
    <w:p>
      <w:pPr>
        <w:spacing w:after="0" w:line="202" w:lineRule="exact"/>
        <w:rPr>
          <w:sz w:val="20"/>
          <w:szCs w:val="20"/>
          <w:color w:val="auto"/>
        </w:rPr>
      </w:pPr>
    </w:p>
    <w:p>
      <w:pPr>
        <w:ind w:right="700" w:firstLine="647"/>
        <w:spacing w:after="0" w:line="237" w:lineRule="auto"/>
        <w:rPr>
          <w:sz w:val="20"/>
          <w:szCs w:val="20"/>
          <w:color w:val="auto"/>
        </w:rPr>
      </w:pPr>
      <w:r>
        <w:rPr>
          <w:rFonts w:ascii="Georgia" w:cs="Georgia" w:eastAsia="Georgia" w:hAnsi="Georgia"/>
          <w:sz w:val="18"/>
          <w:szCs w:val="18"/>
          <w:color w:val="auto"/>
        </w:rPr>
        <w:t>In addition, the Company would be obligated make payments on milestones depending on the Field of Use (as defined in the agreement) and pay royalties of 4% of net sales of each Licensed Product (as defined in the agreement).</w:t>
      </w:r>
    </w:p>
    <w:p>
      <w:pPr>
        <w:spacing w:after="0" w:line="204" w:lineRule="exact"/>
        <w:rPr>
          <w:sz w:val="20"/>
          <w:szCs w:val="20"/>
          <w:color w:val="auto"/>
        </w:rPr>
      </w:pPr>
    </w:p>
    <w:p>
      <w:pPr>
        <w:ind w:right="40" w:firstLine="647"/>
        <w:spacing w:after="0" w:line="237" w:lineRule="auto"/>
        <w:rPr>
          <w:sz w:val="20"/>
          <w:szCs w:val="20"/>
          <w:color w:val="auto"/>
        </w:rPr>
      </w:pPr>
      <w:r>
        <w:rPr>
          <w:rFonts w:ascii="Georgia" w:cs="Georgia" w:eastAsia="Georgia" w:hAnsi="Georgia"/>
          <w:sz w:val="18"/>
          <w:szCs w:val="18"/>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year ended December 31, 2021, 2020 and 2019, there were no costs incurred for the above activities.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166" w:name="page167"/>
    <w:bookmarkEnd w:id="166"/>
    <w:p>
      <w:pPr>
        <w:ind w:left="80" w:right="60" w:firstLine="647"/>
        <w:spacing w:after="0" w:line="237" w:lineRule="auto"/>
        <w:rPr>
          <w:sz w:val="20"/>
          <w:szCs w:val="20"/>
          <w:color w:val="auto"/>
        </w:rPr>
      </w:pPr>
      <w:r>
        <w:rPr>
          <w:rFonts w:ascii="Georgia" w:cs="Georgia" w:eastAsia="Georgia" w:hAnsi="Georgia"/>
          <w:sz w:val="18"/>
          <w:szCs w:val="18"/>
          <w:color w:val="auto"/>
        </w:rPr>
        <w:t>The protocol TEM-GBM_001 received approval by national Competent Authorities in September 2018 and recruited the first patient in April 2019.</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ense Agreement Amendment #2</w:t>
      </w:r>
    </w:p>
    <w:p>
      <w:pPr>
        <w:spacing w:after="0" w:line="202" w:lineRule="exact"/>
        <w:rPr>
          <w:sz w:val="20"/>
          <w:szCs w:val="20"/>
          <w:color w:val="auto"/>
        </w:rPr>
      </w:pPr>
    </w:p>
    <w:p>
      <w:pPr>
        <w:ind w:left="80" w:firstLine="647"/>
        <w:spacing w:after="0" w:line="237" w:lineRule="auto"/>
        <w:rPr>
          <w:sz w:val="20"/>
          <w:szCs w:val="20"/>
          <w:color w:val="auto"/>
        </w:rPr>
      </w:pPr>
      <w:r>
        <w:rPr>
          <w:rFonts w:ascii="Georgia" w:cs="Georgia" w:eastAsia="Georgia" w:hAnsi="Georgia"/>
          <w:sz w:val="18"/>
          <w:szCs w:val="18"/>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years ended December 31, 2021, 2020 and 2019, the comparable costs incurred and expensed for the GBM program were approximately €1.0 million, €1.0 million and €0.6 million, respectively.</w:t>
      </w:r>
    </w:p>
    <w:p>
      <w:pPr>
        <w:spacing w:after="0" w:line="208" w:lineRule="exact"/>
        <w:rPr>
          <w:sz w:val="20"/>
          <w:szCs w:val="20"/>
          <w:color w:val="auto"/>
        </w:rPr>
      </w:pPr>
    </w:p>
    <w:p>
      <w:pPr>
        <w:ind w:left="80" w:right="520" w:firstLine="647"/>
        <w:spacing w:after="0" w:line="237" w:lineRule="auto"/>
        <w:rPr>
          <w:sz w:val="20"/>
          <w:szCs w:val="20"/>
          <w:color w:val="auto"/>
        </w:rPr>
      </w:pPr>
      <w:r>
        <w:rPr>
          <w:rFonts w:ascii="Georgia" w:cs="Georgia" w:eastAsia="Georgia" w:hAnsi="Georgia"/>
          <w:sz w:val="18"/>
          <w:szCs w:val="18"/>
          <w:color w:val="auto"/>
        </w:rPr>
        <w:t>Under this Amendment, the Company is obligated to cover the costs of the study-related procedures performed on the patients recruited in the Trial, according to periodic study reports delivered by OSR.</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ense Agreement Amendment #3</w:t>
      </w:r>
    </w:p>
    <w:p>
      <w:pPr>
        <w:spacing w:after="0" w:line="202" w:lineRule="exact"/>
        <w:rPr>
          <w:sz w:val="20"/>
          <w:szCs w:val="20"/>
          <w:color w:val="auto"/>
        </w:rPr>
      </w:pPr>
    </w:p>
    <w:p>
      <w:pPr>
        <w:ind w:left="80" w:right="100" w:firstLine="647"/>
        <w:spacing w:after="0" w:line="237" w:lineRule="auto"/>
        <w:rPr>
          <w:sz w:val="20"/>
          <w:szCs w:val="20"/>
          <w:color w:val="auto"/>
        </w:rPr>
      </w:pPr>
      <w:r>
        <w:rPr>
          <w:rFonts w:ascii="Georgia" w:cs="Georgia" w:eastAsia="Georgia" w:hAnsi="Georgia"/>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is not be able to obtain approval from the competent authorities to initiate a human clinical trial on or before the expiration of nine months (from December 2020), the Company has the right, at no additional costs, to convert this second solid cancer option to an “Alternate Indication,” i.e., an indication other than liver cancer.</w:t>
      </w:r>
    </w:p>
    <w:p>
      <w:pPr>
        <w:spacing w:after="0" w:line="204" w:lineRule="exact"/>
        <w:rPr>
          <w:sz w:val="20"/>
          <w:szCs w:val="20"/>
          <w:color w:val="auto"/>
        </w:rPr>
      </w:pPr>
    </w:p>
    <w:p>
      <w:pPr>
        <w:ind w:left="740"/>
        <w:spacing w:after="0"/>
        <w:rPr>
          <w:sz w:val="20"/>
          <w:szCs w:val="20"/>
          <w:color w:val="auto"/>
        </w:rPr>
      </w:pPr>
      <w:r>
        <w:rPr>
          <w:rFonts w:ascii="Georgia" w:cs="Georgia" w:eastAsia="Georgia" w:hAnsi="Georgia"/>
          <w:sz w:val="18"/>
          <w:szCs w:val="18"/>
          <w:color w:val="auto"/>
        </w:rPr>
        <w:t>In summary, the Amendment #3 formalized the new arrangement as follows:</w:t>
      </w:r>
    </w:p>
    <w:p>
      <w:pPr>
        <w:spacing w:after="0" w:line="202" w:lineRule="exact"/>
        <w:rPr>
          <w:sz w:val="20"/>
          <w:szCs w:val="20"/>
          <w:color w:val="auto"/>
        </w:rPr>
      </w:pPr>
    </w:p>
    <w:p>
      <w:pPr>
        <w:ind w:left="1060" w:right="200" w:hanging="324"/>
        <w:spacing w:after="0" w:line="237" w:lineRule="auto"/>
        <w:tabs>
          <w:tab w:leader="none" w:pos="1060" w:val="left"/>
        </w:tabs>
        <w:numPr>
          <w:ilvl w:val="0"/>
          <w:numId w:val="114"/>
        </w:numPr>
        <w:rPr>
          <w:rFonts w:ascii="Georgia" w:cs="Georgia" w:eastAsia="Georgia" w:hAnsi="Georgia"/>
          <w:sz w:val="18"/>
          <w:szCs w:val="18"/>
          <w:color w:val="auto"/>
        </w:rPr>
      </w:pPr>
      <w:r>
        <w:rPr>
          <w:rFonts w:ascii="Georgia" w:cs="Georgia" w:eastAsia="Georgia" w:hAnsi="Georgia"/>
          <w:sz w:val="18"/>
          <w:szCs w:val="18"/>
          <w:color w:val="auto"/>
        </w:rPr>
        <w:t>exercise of option fee on the first solid cancer indication = €0.5 million (accrued in 2019, since it was considered probable, and paid in December 2020); plus,</w:t>
      </w:r>
    </w:p>
    <w:p>
      <w:pPr>
        <w:spacing w:after="0" w:line="1" w:lineRule="exact"/>
        <w:rPr>
          <w:rFonts w:ascii="Georgia" w:cs="Georgia" w:eastAsia="Georgia" w:hAnsi="Georgia"/>
          <w:sz w:val="18"/>
          <w:szCs w:val="18"/>
          <w:color w:val="auto"/>
        </w:rPr>
      </w:pPr>
    </w:p>
    <w:p>
      <w:pPr>
        <w:ind w:left="1060" w:hanging="324"/>
        <w:spacing w:after="0" w:line="237" w:lineRule="auto"/>
        <w:tabs>
          <w:tab w:leader="none" w:pos="1060" w:val="left"/>
        </w:tabs>
        <w:numPr>
          <w:ilvl w:val="0"/>
          <w:numId w:val="114"/>
        </w:numPr>
        <w:rPr>
          <w:rFonts w:ascii="Georgia" w:cs="Georgia" w:eastAsia="Georgia" w:hAnsi="Georgia"/>
          <w:sz w:val="18"/>
          <w:szCs w:val="18"/>
          <w:color w:val="auto"/>
        </w:rPr>
      </w:pPr>
      <w:r>
        <w:rPr>
          <w:rFonts w:ascii="Georgia" w:cs="Georgia" w:eastAsia="Georgia" w:hAnsi="Georgia"/>
          <w:sz w:val="18"/>
          <w:szCs w:val="18"/>
          <w:color w:val="auto"/>
        </w:rPr>
        <w:t>commitment to enter into a Sponsored Research Agreement by February 2021; and,</w:t>
      </w:r>
    </w:p>
    <w:p>
      <w:pPr>
        <w:ind w:left="1060" w:hanging="324"/>
        <w:spacing w:after="0" w:line="238" w:lineRule="auto"/>
        <w:tabs>
          <w:tab w:leader="none" w:pos="1060" w:val="left"/>
        </w:tabs>
        <w:numPr>
          <w:ilvl w:val="0"/>
          <w:numId w:val="114"/>
        </w:numPr>
        <w:rPr>
          <w:rFonts w:ascii="Georgia" w:cs="Georgia" w:eastAsia="Georgia" w:hAnsi="Georgia"/>
          <w:sz w:val="18"/>
          <w:szCs w:val="18"/>
          <w:color w:val="auto"/>
        </w:rPr>
      </w:pPr>
      <w:r>
        <w:rPr>
          <w:rFonts w:ascii="Georgia" w:cs="Georgia" w:eastAsia="Georgia" w:hAnsi="Georgia"/>
          <w:sz w:val="18"/>
          <w:szCs w:val="18"/>
          <w:color w:val="auto"/>
        </w:rPr>
        <w:t>exercise of option fee on the second indication = €0.5 million (accrued at December 31, 2020 and was paid on June 30, 2021).</w:t>
      </w:r>
    </w:p>
    <w:p>
      <w:pPr>
        <w:spacing w:after="0" w:line="202" w:lineRule="exact"/>
        <w:rPr>
          <w:sz w:val="20"/>
          <w:szCs w:val="20"/>
          <w:color w:val="auto"/>
        </w:rPr>
      </w:pPr>
    </w:p>
    <w:p>
      <w:pPr>
        <w:ind w:left="80" w:right="20" w:firstLine="647"/>
        <w:spacing w:after="0" w:line="237" w:lineRule="auto"/>
        <w:rPr>
          <w:sz w:val="20"/>
          <w:szCs w:val="20"/>
          <w:color w:val="auto"/>
        </w:rPr>
      </w:pPr>
      <w:r>
        <w:rPr>
          <w:rFonts w:ascii="Georgia" w:cs="Georgia" w:eastAsia="Georgia" w:hAnsi="Georgia"/>
          <w:sz w:val="18"/>
          <w:szCs w:val="18"/>
          <w:color w:val="auto"/>
        </w:rPr>
        <w:t>At December 31, 2021, no milestones were achieved related to any indication, as provided by License Agreement and subsequent amendments, therefore, no such payments were due to OSR. The Company has paid €1.25 million to OSR, since inception under the license agreement. No events have occurred or have been achieved (and none are considered probable) to trigger any contingent payments under the license agreement at December 31, 2021. For information relating to the contingency payments or future milestones for these indications, please refer to Note 13 - Commitments and Contingencies.</w:t>
      </w:r>
    </w:p>
    <w:p>
      <w:pPr>
        <w:spacing w:after="0" w:line="205" w:lineRule="exact"/>
        <w:rPr>
          <w:sz w:val="20"/>
          <w:szCs w:val="20"/>
          <w:color w:val="auto"/>
        </w:rPr>
      </w:pPr>
    </w:p>
    <w:p>
      <w:pPr>
        <w:ind w:left="80" w:right="20" w:firstLine="647"/>
        <w:spacing w:after="0" w:line="237" w:lineRule="auto"/>
        <w:rPr>
          <w:sz w:val="20"/>
          <w:szCs w:val="20"/>
          <w:color w:val="auto"/>
        </w:rPr>
      </w:pPr>
      <w:r>
        <w:rPr>
          <w:rFonts w:ascii="Georgia" w:cs="Georgia" w:eastAsia="Georgia" w:hAnsi="Georgia"/>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167" w:name="page168"/>
    <w:bookmarkEnd w:id="167"/>
    <w:p>
      <w:pPr>
        <w:ind w:left="760"/>
        <w:spacing w:after="0"/>
        <w:rPr>
          <w:sz w:val="20"/>
          <w:szCs w:val="20"/>
          <w:color w:val="auto"/>
        </w:rPr>
      </w:pPr>
      <w:r>
        <w:rPr>
          <w:rFonts w:ascii="Georgia" w:cs="Georgia" w:eastAsia="Georgia" w:hAnsi="Georgia"/>
          <w:sz w:val="18"/>
          <w:szCs w:val="18"/>
          <w:i w:val="1"/>
          <w:iCs w:val="1"/>
          <w:color w:val="auto"/>
        </w:rPr>
        <w:t>License Agreement Amendment #4</w:t>
      </w:r>
    </w:p>
    <w:p>
      <w:pPr>
        <w:spacing w:after="0" w:line="202" w:lineRule="exact"/>
        <w:rPr>
          <w:sz w:val="20"/>
          <w:szCs w:val="20"/>
          <w:color w:val="auto"/>
        </w:rPr>
      </w:pPr>
    </w:p>
    <w:p>
      <w:pPr>
        <w:ind w:left="100" w:right="60" w:firstLine="647"/>
        <w:spacing w:after="0" w:line="237" w:lineRule="auto"/>
        <w:rPr>
          <w:sz w:val="20"/>
          <w:szCs w:val="20"/>
          <w:color w:val="auto"/>
        </w:rPr>
      </w:pPr>
      <w:r>
        <w:rPr>
          <w:rFonts w:ascii="Georgia" w:cs="Georgia" w:eastAsia="Georgia" w:hAnsi="Georgia"/>
          <w:sz w:val="18"/>
          <w:szCs w:val="18"/>
          <w:color w:val="auto"/>
        </w:rPr>
        <w:t>On September 28, 2021, the fourth amendment to the License Agreement was signed with the aim to extend the deadline for the definition of the second Solid Cancer Indication. If the Company is not able to obtain approval of the Regulatory Authorities to initiate a human clinical trial in any country with respect to solid liver cancer on or before September 30, 2022, then the Company shall have the right, at no additional cost, to convert the option exercise for the second Solid Cancer Indication to an indication (the “Alternate Indication”) other than solid liver cancer, upon written notice to OSR, such notice to be delivered to OSR within September 30, 2022. Under the amendment, the Company will be entitled to exercise the Option set forth above with respect to any other Solid Cancer Indication for the remainder of the Option Period that will expire on December 23, 2022 and shall not be subject to further extensions.</w:t>
      </w:r>
    </w:p>
    <w:p>
      <w:pPr>
        <w:spacing w:after="0" w:line="206" w:lineRule="exact"/>
        <w:rPr>
          <w:sz w:val="20"/>
          <w:szCs w:val="20"/>
          <w:color w:val="auto"/>
        </w:rPr>
      </w:pPr>
    </w:p>
    <w:p>
      <w:pPr>
        <w:ind w:left="100" w:right="60" w:firstLine="648"/>
        <w:spacing w:after="0" w:line="237" w:lineRule="auto"/>
        <w:rPr>
          <w:sz w:val="20"/>
          <w:szCs w:val="20"/>
          <w:color w:val="auto"/>
        </w:rPr>
      </w:pPr>
      <w:r>
        <w:rPr>
          <w:rFonts w:ascii="Georgia" w:cs="Georgia" w:eastAsia="Georgia" w:hAnsi="Georgia"/>
          <w:sz w:val="18"/>
          <w:szCs w:val="18"/>
          <w:color w:val="auto"/>
        </w:rPr>
        <w:t>During the years ended December 31, 2021, 2020 and 2019, the Company recorded expenses for OSR for clinical trials in the amount of approximately €1.0 million, respectively.</w:t>
      </w:r>
    </w:p>
    <w:p>
      <w:pPr>
        <w:spacing w:after="0" w:line="204" w:lineRule="exact"/>
        <w:rPr>
          <w:sz w:val="20"/>
          <w:szCs w:val="20"/>
          <w:color w:val="auto"/>
        </w:rPr>
      </w:pPr>
    </w:p>
    <w:p>
      <w:pPr>
        <w:ind w:left="100" w:right="280" w:firstLine="648"/>
        <w:spacing w:after="0" w:line="237" w:lineRule="auto"/>
        <w:rPr>
          <w:sz w:val="20"/>
          <w:szCs w:val="20"/>
          <w:color w:val="auto"/>
        </w:rPr>
      </w:pPr>
      <w:r>
        <w:rPr>
          <w:rFonts w:ascii="Georgia" w:cs="Georgia" w:eastAsia="Georgia" w:hAnsi="Georgia"/>
          <w:sz w:val="18"/>
          <w:szCs w:val="18"/>
          <w:color w:val="auto"/>
        </w:rPr>
        <w:t>At December 31, 2021, the cumulative total amount of expenses for the OSR clinical trial activity from inception amounted to €8.3 million and it includes the cost for the exercise of the first and the second Solid Cancer indication Option fee of €1.0 million.</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search Funding Agreement</w:t>
      </w:r>
    </w:p>
    <w:p>
      <w:pPr>
        <w:spacing w:after="0" w:line="202" w:lineRule="exact"/>
        <w:rPr>
          <w:sz w:val="20"/>
          <w:szCs w:val="20"/>
          <w:color w:val="auto"/>
        </w:rPr>
      </w:pPr>
    </w:p>
    <w:p>
      <w:pPr>
        <w:ind w:left="100" w:firstLine="647"/>
        <w:spacing w:after="0" w:line="237" w:lineRule="auto"/>
        <w:rPr>
          <w:sz w:val="20"/>
          <w:szCs w:val="20"/>
          <w:color w:val="auto"/>
        </w:rPr>
      </w:pPr>
      <w:r>
        <w:rPr>
          <w:rFonts w:ascii="Georgia" w:cs="Georgia" w:eastAsia="Georgia" w:hAnsi="Georgia"/>
          <w:sz w:val="18"/>
          <w:szCs w:val="18"/>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207" w:lineRule="exact"/>
        <w:rPr>
          <w:sz w:val="20"/>
          <w:szCs w:val="20"/>
          <w:color w:val="auto"/>
        </w:rPr>
      </w:pPr>
    </w:p>
    <w:p>
      <w:pPr>
        <w:ind w:left="100" w:right="80" w:firstLine="648"/>
        <w:spacing w:after="0" w:line="237" w:lineRule="auto"/>
        <w:rPr>
          <w:sz w:val="20"/>
          <w:szCs w:val="20"/>
          <w:color w:val="auto"/>
        </w:rPr>
      </w:pPr>
      <w:r>
        <w:rPr>
          <w:rFonts w:ascii="Georgia" w:cs="Georgia" w:eastAsia="Georgia" w:hAnsi="Georgia"/>
          <w:sz w:val="18"/>
          <w:szCs w:val="18"/>
          <w:color w:val="auto"/>
        </w:rPr>
        <w:t>For years ended December 2021 and 2020, the Company expensed €0 and approximately €105,000, respectively, for the analysis performed by OSR for multiple myeloma and there were no clinical procedures performed by OSR’s Hematology and Bone Transplant Unit for multiple myeloma. The Company discontinued the multiple myeloma program in early 2021 due to the relatively small number of eligible patients, and the highly competitive MM landscape. (See Note 13.)</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onsor Research Agreement (SRA)</w:t>
      </w:r>
    </w:p>
    <w:p>
      <w:pPr>
        <w:spacing w:after="0" w:line="202" w:lineRule="exact"/>
        <w:rPr>
          <w:sz w:val="20"/>
          <w:szCs w:val="20"/>
          <w:color w:val="auto"/>
        </w:rPr>
      </w:pPr>
    </w:p>
    <w:p>
      <w:pPr>
        <w:ind w:left="100" w:right="300" w:firstLine="647"/>
        <w:spacing w:after="0" w:line="237" w:lineRule="auto"/>
        <w:rPr>
          <w:sz w:val="20"/>
          <w:szCs w:val="20"/>
          <w:color w:val="auto"/>
        </w:rPr>
      </w:pPr>
      <w:r>
        <w:rPr>
          <w:rFonts w:ascii="Georgia" w:cs="Georgia" w:eastAsia="Georgia" w:hAnsi="Georgia"/>
          <w:sz w:val="18"/>
          <w:szCs w:val="18"/>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205" w:lineRule="exact"/>
        <w:rPr>
          <w:sz w:val="20"/>
          <w:szCs w:val="20"/>
          <w:color w:val="auto"/>
        </w:rPr>
      </w:pPr>
    </w:p>
    <w:p>
      <w:pPr>
        <w:ind w:left="1720" w:right="280" w:hanging="316"/>
        <w:spacing w:after="0" w:line="237" w:lineRule="auto"/>
        <w:tabs>
          <w:tab w:leader="none" w:pos="1720" w:val="left"/>
        </w:tabs>
        <w:numPr>
          <w:ilvl w:val="0"/>
          <w:numId w:val="115"/>
        </w:numPr>
        <w:rPr>
          <w:rFonts w:ascii="Georgia" w:cs="Georgia" w:eastAsia="Georgia" w:hAnsi="Georgia"/>
          <w:sz w:val="18"/>
          <w:szCs w:val="18"/>
          <w:color w:val="auto"/>
        </w:rPr>
      </w:pPr>
      <w:r>
        <w:rPr>
          <w:rFonts w:ascii="Georgia" w:cs="Georgia" w:eastAsia="Georgia" w:hAnsi="Georgia"/>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581" w:right="339" w:bottom="1440" w:gutter="0" w:footer="0" w:header="0"/>
        </w:sectPr>
      </w:pPr>
    </w:p>
    <w:bookmarkStart w:id="168" w:name="page169"/>
    <w:bookmarkEnd w:id="168"/>
    <w:p>
      <w:pPr>
        <w:ind w:left="1620" w:right="60" w:hanging="316"/>
        <w:spacing w:after="0" w:line="237" w:lineRule="auto"/>
        <w:tabs>
          <w:tab w:leader="none" w:pos="1620" w:val="left"/>
        </w:tabs>
        <w:numPr>
          <w:ilvl w:val="0"/>
          <w:numId w:val="116"/>
        </w:numPr>
        <w:rPr>
          <w:rFonts w:ascii="Georgia" w:cs="Georgia" w:eastAsia="Georgia" w:hAnsi="Georgia"/>
          <w:sz w:val="18"/>
          <w:szCs w:val="18"/>
          <w:color w:val="auto"/>
        </w:rPr>
      </w:pPr>
      <w:r>
        <w:rPr>
          <w:rFonts w:ascii="Georgia" w:cs="Georgia" w:eastAsia="Georgia" w:hAnsi="Georgia"/>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For the year ended December 31, 2021, the Company paid and expensed €500,000 related to the SRA.</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Operating leases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Company entered into a non-cancelable lease agreement for office space in January 2020 (see Note 13).</w:t>
      </w:r>
    </w:p>
    <w:p>
      <w:pPr>
        <w:spacing w:after="0" w:line="200" w:lineRule="exact"/>
        <w:rPr>
          <w:sz w:val="20"/>
          <w:szCs w:val="20"/>
          <w:color w:val="auto"/>
        </w:rPr>
      </w:pPr>
    </w:p>
    <w:p>
      <w:pPr>
        <w:ind w:left="40"/>
        <w:spacing w:after="0"/>
        <w:rPr>
          <w:sz w:val="20"/>
          <w:szCs w:val="20"/>
          <w:color w:val="auto"/>
        </w:rPr>
      </w:pPr>
      <w:r>
        <w:rPr>
          <w:rFonts w:ascii="Georgia" w:cs="Georgia" w:eastAsia="Georgia" w:hAnsi="Georgia"/>
          <w:sz w:val="18"/>
          <w:szCs w:val="18"/>
          <w:b w:val="1"/>
          <w:bCs w:val="1"/>
          <w:color w:val="auto"/>
        </w:rPr>
        <w:t>13. Commitments and contingencies</w:t>
      </w:r>
    </w:p>
    <w:p>
      <w:pPr>
        <w:spacing w:after="0" w:line="202" w:lineRule="exact"/>
        <w:rPr>
          <w:sz w:val="20"/>
          <w:szCs w:val="20"/>
          <w:color w:val="auto"/>
        </w:rPr>
      </w:pPr>
    </w:p>
    <w:p>
      <w:pPr>
        <w:ind w:right="240" w:firstLine="647"/>
        <w:spacing w:after="0" w:line="237" w:lineRule="auto"/>
        <w:rPr>
          <w:sz w:val="20"/>
          <w:szCs w:val="20"/>
          <w:color w:val="auto"/>
        </w:rPr>
      </w:pPr>
      <w:r>
        <w:rPr>
          <w:rFonts w:ascii="Georgia" w:cs="Georgia" w:eastAsia="Georgia" w:hAnsi="Georgia"/>
          <w:sz w:val="18"/>
          <w:szCs w:val="18"/>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205" w:lineRule="exact"/>
        <w:rPr>
          <w:sz w:val="20"/>
          <w:szCs w:val="20"/>
          <w:color w:val="auto"/>
        </w:rPr>
      </w:pPr>
    </w:p>
    <w:p>
      <w:pPr>
        <w:ind w:left="660"/>
        <w:spacing w:after="0"/>
        <w:rPr>
          <w:sz w:val="20"/>
          <w:szCs w:val="20"/>
          <w:color w:val="auto"/>
        </w:rPr>
      </w:pPr>
      <w:r>
        <w:rPr>
          <w:rFonts w:ascii="Georgia" w:cs="Georgia" w:eastAsia="Georgia" w:hAnsi="Georgia"/>
          <w:sz w:val="18"/>
          <w:szCs w:val="18"/>
          <w:color w:val="auto"/>
        </w:rPr>
        <w:t>The following table summarizes the Company obligations by contractual maturity at December 31, 2021:</w:t>
      </w:r>
    </w:p>
    <w:p>
      <w:pPr>
        <w:sectPr>
          <w:pgSz w:w="11900" w:h="16838" w:orient="portrait"/>
          <w:cols w:equalWidth="0" w:num="1">
            <w:col w:w="11240"/>
          </w:cols>
          <w:pgMar w:left="320" w:top="5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920"/>
        <w:spacing w:after="0" w:line="237" w:lineRule="auto"/>
        <w:rPr>
          <w:sz w:val="20"/>
          <w:szCs w:val="20"/>
          <w:color w:val="auto"/>
        </w:rPr>
      </w:pPr>
      <w:r>
        <w:rPr>
          <w:rFonts w:ascii="Georgia" w:cs="Georgia" w:eastAsia="Georgia" w:hAnsi="Georgia"/>
          <w:sz w:val="18"/>
          <w:szCs w:val="18"/>
          <w:color w:val="auto"/>
        </w:rPr>
        <w:t>OSR operating leases and office rent AGC manufacturing</w:t>
      </w:r>
    </w:p>
    <w:p>
      <w:pPr>
        <w:spacing w:after="0" w:line="27" w:lineRule="exact"/>
        <w:rPr>
          <w:sz w:val="20"/>
          <w:szCs w:val="20"/>
          <w:color w:val="auto"/>
        </w:rPr>
      </w:pPr>
    </w:p>
    <w:p>
      <w:pPr>
        <w:spacing w:after="0"/>
        <w:rPr>
          <w:sz w:val="20"/>
          <w:szCs w:val="20"/>
          <w:color w:val="auto"/>
        </w:rPr>
      </w:pPr>
      <w:r>
        <w:rPr>
          <w:rFonts w:ascii="Georgia" w:cs="Georgia" w:eastAsia="Georgia" w:hAnsi="Georgia"/>
          <w:sz w:val="18"/>
          <w:szCs w:val="18"/>
          <w:color w:val="auto"/>
        </w:rPr>
        <w:t>Total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2400"/>
        <w:spacing w:after="0"/>
        <w:rPr>
          <w:sz w:val="20"/>
          <w:szCs w:val="20"/>
          <w:color w:val="auto"/>
        </w:rPr>
      </w:pPr>
      <w:r>
        <w:rPr>
          <w:rFonts w:ascii="Georgia" w:cs="Georgia" w:eastAsia="Georgia" w:hAnsi="Georgia"/>
          <w:sz w:val="18"/>
          <w:szCs w:val="18"/>
          <w:b w:val="1"/>
          <w:bCs w:val="1"/>
          <w:color w:val="auto"/>
        </w:rPr>
        <w:t>Payments by period</w:t>
      </w:r>
    </w:p>
    <w:tbl>
      <w:tblPr>
        <w:tblLayout w:type="fixed"/>
        <w:tblInd w:w="0" w:type="dxa"/>
        <w:tblCellMar>
          <w:top w:w="0" w:type="dxa"/>
          <w:left w:w="0" w:type="dxa"/>
          <w:bottom w:w="0" w:type="dxa"/>
          <w:right w:w="0" w:type="dxa"/>
        </w:tblCellMar>
      </w:tblPr>
      <w:tr>
        <w:trPr>
          <w:trHeight w:val="209"/>
        </w:trPr>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ind w:right="260"/>
              <w:spacing w:after="0"/>
              <w:rPr>
                <w:sz w:val="20"/>
                <w:szCs w:val="20"/>
                <w:color w:val="auto"/>
              </w:rPr>
            </w:pPr>
            <w:r>
              <w:rPr>
                <w:rFonts w:ascii="Georgia" w:cs="Georgia" w:eastAsia="Georgia" w:hAnsi="Georgia"/>
                <w:sz w:val="18"/>
                <w:szCs w:val="18"/>
                <w:b w:val="1"/>
                <w:bCs w:val="1"/>
                <w:color w:val="auto"/>
              </w:rPr>
              <w:t>Less than a</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80"/>
              <w:spacing w:after="0"/>
              <w:rPr>
                <w:sz w:val="20"/>
                <w:szCs w:val="20"/>
                <w:color w:val="auto"/>
              </w:rPr>
            </w:pPr>
            <w:r>
              <w:rPr>
                <w:rFonts w:ascii="Georgia" w:cs="Georgia" w:eastAsia="Georgia" w:hAnsi="Georgia"/>
                <w:sz w:val="18"/>
                <w:szCs w:val="18"/>
                <w:b w:val="1"/>
                <w:bCs w:val="1"/>
                <w:color w:val="auto"/>
              </w:rPr>
              <w:t>1 to 3</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80"/>
              <w:spacing w:after="0"/>
              <w:rPr>
                <w:sz w:val="20"/>
                <w:szCs w:val="20"/>
                <w:color w:val="auto"/>
              </w:rPr>
            </w:pPr>
            <w:r>
              <w:rPr>
                <w:rFonts w:ascii="Georgia" w:cs="Georgia" w:eastAsia="Georgia" w:hAnsi="Georgia"/>
                <w:sz w:val="18"/>
                <w:szCs w:val="18"/>
                <w:b w:val="1"/>
                <w:bCs w:val="1"/>
                <w:color w:val="auto"/>
              </w:rPr>
              <w:t>4 to 5</w:t>
            </w: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spacing w:after="0"/>
              <w:rPr>
                <w:sz w:val="20"/>
                <w:szCs w:val="20"/>
                <w:color w:val="auto"/>
              </w:rPr>
            </w:pPr>
            <w:r>
              <w:rPr>
                <w:rFonts w:ascii="Georgia" w:cs="Georgia" w:eastAsia="Georgia" w:hAnsi="Georgia"/>
                <w:sz w:val="18"/>
                <w:szCs w:val="18"/>
                <w:b w:val="1"/>
                <w:bCs w:val="1"/>
                <w:color w:val="auto"/>
              </w:rPr>
              <w:t>More than</w:t>
            </w:r>
          </w:p>
        </w:tc>
        <w:tc>
          <w:tcPr>
            <w:tcW w:w="20" w:type="dxa"/>
            <w:vAlign w:val="bottom"/>
          </w:tcPr>
          <w:p>
            <w:pPr>
              <w:spacing w:after="0"/>
              <w:rPr>
                <w:sz w:val="18"/>
                <w:szCs w:val="18"/>
                <w:color w:val="auto"/>
              </w:rPr>
            </w:pPr>
          </w:p>
        </w:tc>
      </w:tr>
      <w:tr>
        <w:trPr>
          <w:trHeight w:val="213"/>
        </w:trPr>
        <w:tc>
          <w:tcPr>
            <w:tcW w:w="200" w:type="dxa"/>
            <w:vAlign w:val="bottom"/>
          </w:tcPr>
          <w:p>
            <w:pPr>
              <w:spacing w:after="0"/>
              <w:rPr>
                <w:sz w:val="18"/>
                <w:szCs w:val="18"/>
                <w:color w:val="auto"/>
              </w:rPr>
            </w:pPr>
          </w:p>
        </w:tc>
        <w:tc>
          <w:tcPr>
            <w:tcW w:w="1000" w:type="dxa"/>
            <w:vAlign w:val="bottom"/>
            <w:gridSpan w:val="2"/>
          </w:tcPr>
          <w:p>
            <w:pPr>
              <w:ind w:left="80"/>
              <w:spacing w:after="0" w:line="203" w:lineRule="exact"/>
              <w:rPr>
                <w:sz w:val="20"/>
                <w:szCs w:val="20"/>
                <w:color w:val="auto"/>
              </w:rPr>
            </w:pPr>
            <w:r>
              <w:rPr>
                <w:rFonts w:ascii="Georgia" w:cs="Georgia" w:eastAsia="Georgia" w:hAnsi="Georgia"/>
                <w:sz w:val="18"/>
                <w:szCs w:val="18"/>
                <w:b w:val="1"/>
                <w:bCs w:val="1"/>
                <w:color w:val="auto"/>
              </w:rPr>
              <w:t>Total</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580"/>
              <w:spacing w:after="0" w:line="203" w:lineRule="exact"/>
              <w:rPr>
                <w:sz w:val="20"/>
                <w:szCs w:val="20"/>
                <w:color w:val="auto"/>
              </w:rPr>
            </w:pPr>
            <w:r>
              <w:rPr>
                <w:rFonts w:ascii="Georgia" w:cs="Georgia" w:eastAsia="Georgia" w:hAnsi="Georgia"/>
                <w:sz w:val="18"/>
                <w:szCs w:val="18"/>
                <w:b w:val="1"/>
                <w:bCs w:val="1"/>
                <w:color w:val="auto"/>
              </w:rPr>
              <w:t>year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60"/>
              <w:spacing w:after="0" w:line="203" w:lineRule="exact"/>
              <w:rPr>
                <w:sz w:val="20"/>
                <w:szCs w:val="20"/>
                <w:color w:val="auto"/>
              </w:rPr>
            </w:pPr>
            <w:r>
              <w:rPr>
                <w:rFonts w:ascii="Georgia" w:cs="Georgia" w:eastAsia="Georgia" w:hAnsi="Georgia"/>
                <w:sz w:val="18"/>
                <w:szCs w:val="18"/>
                <w:b w:val="1"/>
                <w:bCs w:val="1"/>
                <w:color w:val="auto"/>
              </w:rPr>
              <w:t>years</w:t>
            </w:r>
          </w:p>
        </w:tc>
        <w:tc>
          <w:tcPr>
            <w:tcW w:w="180" w:type="dxa"/>
            <w:vAlign w:val="bottom"/>
          </w:tcPr>
          <w:p>
            <w:pPr>
              <w:spacing w:after="0"/>
              <w:rPr>
                <w:sz w:val="18"/>
                <w:szCs w:val="18"/>
                <w:color w:val="auto"/>
              </w:rPr>
            </w:pPr>
          </w:p>
        </w:tc>
        <w:tc>
          <w:tcPr>
            <w:tcW w:w="1160" w:type="dxa"/>
            <w:vAlign w:val="bottom"/>
            <w:gridSpan w:val="2"/>
          </w:tcPr>
          <w:p>
            <w:pPr>
              <w:ind w:left="80"/>
              <w:spacing w:after="0" w:line="203" w:lineRule="exact"/>
              <w:rPr>
                <w:sz w:val="20"/>
                <w:szCs w:val="20"/>
                <w:color w:val="auto"/>
              </w:rPr>
            </w:pPr>
            <w:r>
              <w:rPr>
                <w:rFonts w:ascii="Georgia" w:cs="Georgia" w:eastAsia="Georgia" w:hAnsi="Georgia"/>
                <w:sz w:val="18"/>
                <w:szCs w:val="18"/>
                <w:b w:val="1"/>
                <w:bCs w:val="1"/>
                <w:color w:val="auto"/>
              </w:rPr>
              <w:t>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0"/>
              <w:spacing w:after="0" w:line="203" w:lineRule="exact"/>
              <w:rPr>
                <w:sz w:val="20"/>
                <w:szCs w:val="20"/>
                <w:color w:val="auto"/>
              </w:rPr>
            </w:pPr>
            <w:r>
              <w:rPr>
                <w:rFonts w:ascii="Georgia" w:cs="Georgia" w:eastAsia="Georgia" w:hAnsi="Georgia"/>
                <w:sz w:val="18"/>
                <w:szCs w:val="18"/>
                <w:b w:val="1"/>
                <w:bCs w:val="1"/>
                <w:color w:val="auto"/>
              </w:rPr>
              <w:t>5 years</w:t>
            </w:r>
          </w:p>
        </w:tc>
      </w:tr>
      <w:tr>
        <w:trPr>
          <w:trHeight w:val="199"/>
        </w:trPr>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4"/>
          </w:tcPr>
          <w:p>
            <w:pPr>
              <w:ind w:left="140"/>
              <w:spacing w:after="0" w:line="200" w:lineRule="exact"/>
              <w:rPr>
                <w:sz w:val="20"/>
                <w:szCs w:val="20"/>
                <w:color w:val="auto"/>
              </w:rPr>
            </w:pPr>
            <w:r>
              <w:rPr>
                <w:rFonts w:ascii="Georgia" w:cs="Georgia" w:eastAsia="Georgia" w:hAnsi="Georgia"/>
                <w:sz w:val="18"/>
                <w:szCs w:val="18"/>
                <w:color w:val="auto"/>
              </w:rPr>
              <w:t>(in Euros)</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000" w:type="dxa"/>
            <w:vAlign w:val="bottom"/>
            <w:gridSpan w:val="2"/>
          </w:tcPr>
          <w:p>
            <w:pPr>
              <w:jc w:val="right"/>
              <w:ind w:right="160"/>
              <w:spacing w:after="0" w:line="203" w:lineRule="exact"/>
              <w:rPr>
                <w:sz w:val="20"/>
                <w:szCs w:val="20"/>
                <w:color w:val="auto"/>
              </w:rPr>
            </w:pPr>
            <w:r>
              <w:rPr>
                <w:rFonts w:ascii="Georgia" w:cs="Georgia" w:eastAsia="Georgia" w:hAnsi="Georgia"/>
                <w:sz w:val="18"/>
                <w:szCs w:val="18"/>
                <w:color w:val="auto"/>
              </w:rPr>
              <w:t>40,200</w:t>
            </w:r>
          </w:p>
        </w:tc>
        <w:tc>
          <w:tcPr>
            <w:tcW w:w="420" w:type="dxa"/>
            <w:vAlign w:val="bottom"/>
            <w:gridSpan w:val="2"/>
          </w:tcPr>
          <w:p>
            <w:pPr>
              <w:ind w:left="160"/>
              <w:spacing w:after="0" w:line="203" w:lineRule="exact"/>
              <w:rPr>
                <w:sz w:val="20"/>
                <w:szCs w:val="20"/>
                <w:color w:val="auto"/>
              </w:rPr>
            </w:pPr>
            <w:r>
              <w:rPr>
                <w:rFonts w:ascii="Georgia" w:cs="Georgia" w:eastAsia="Georgia" w:hAnsi="Georgia"/>
                <w:sz w:val="18"/>
                <w:szCs w:val="18"/>
                <w:color w:val="auto"/>
              </w:rPr>
              <w:t>€</w:t>
            </w:r>
          </w:p>
        </w:tc>
        <w:tc>
          <w:tcPr>
            <w:tcW w:w="1140" w:type="dxa"/>
            <w:vAlign w:val="bottom"/>
            <w:gridSpan w:val="2"/>
          </w:tcPr>
          <w:p>
            <w:pPr>
              <w:jc w:val="right"/>
              <w:ind w:right="160"/>
              <w:spacing w:after="0" w:line="203" w:lineRule="exact"/>
              <w:rPr>
                <w:sz w:val="20"/>
                <w:szCs w:val="20"/>
                <w:color w:val="auto"/>
              </w:rPr>
            </w:pPr>
            <w:r>
              <w:rPr>
                <w:rFonts w:ascii="Georgia" w:cs="Georgia" w:eastAsia="Georgia" w:hAnsi="Georgia"/>
                <w:sz w:val="18"/>
                <w:szCs w:val="18"/>
                <w:color w:val="auto"/>
              </w:rPr>
              <w:t>13,400</w:t>
            </w:r>
          </w:p>
        </w:tc>
        <w:tc>
          <w:tcPr>
            <w:tcW w:w="360" w:type="dxa"/>
            <w:vAlign w:val="bottom"/>
            <w:gridSpan w:val="2"/>
          </w:tcPr>
          <w:p>
            <w:pPr>
              <w:ind w:left="160"/>
              <w:spacing w:after="0" w:line="203" w:lineRule="exact"/>
              <w:rPr>
                <w:sz w:val="20"/>
                <w:szCs w:val="20"/>
                <w:color w:val="auto"/>
              </w:rPr>
            </w:pPr>
            <w:r>
              <w:rPr>
                <w:rFonts w:ascii="Georgia" w:cs="Georgia" w:eastAsia="Georgia" w:hAnsi="Georgia"/>
                <w:sz w:val="18"/>
                <w:szCs w:val="18"/>
                <w:color w:val="auto"/>
              </w:rPr>
              <w:t>€</w:t>
            </w:r>
          </w:p>
        </w:tc>
        <w:tc>
          <w:tcPr>
            <w:tcW w:w="114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26,800</w:t>
            </w:r>
          </w:p>
        </w:tc>
        <w:tc>
          <w:tcPr>
            <w:tcW w:w="180" w:type="dxa"/>
            <w:vAlign w:val="bottom"/>
          </w:tcPr>
          <w:p>
            <w:pPr>
              <w:spacing w:after="0" w:line="203" w:lineRule="exact"/>
              <w:rPr>
                <w:sz w:val="20"/>
                <w:szCs w:val="20"/>
                <w:color w:val="auto"/>
              </w:rPr>
            </w:pPr>
            <w:r>
              <w:rPr>
                <w:rFonts w:ascii="Georgia" w:cs="Georgia" w:eastAsia="Georgia" w:hAnsi="Georgia"/>
                <w:sz w:val="18"/>
                <w:szCs w:val="18"/>
                <w:color w:val="auto"/>
              </w:rPr>
              <w:t>€</w:t>
            </w:r>
          </w:p>
        </w:tc>
        <w:tc>
          <w:tcPr>
            <w:tcW w:w="1160" w:type="dxa"/>
            <w:vAlign w:val="bottom"/>
            <w:gridSpan w:val="2"/>
          </w:tcPr>
          <w:p>
            <w:pPr>
              <w:jc w:val="right"/>
              <w:ind w:right="320"/>
              <w:spacing w:after="0" w:line="203" w:lineRule="exact"/>
              <w:rPr>
                <w:sz w:val="20"/>
                <w:szCs w:val="20"/>
                <w:color w:val="auto"/>
              </w:rPr>
            </w:pPr>
            <w:r>
              <w:rPr>
                <w:rFonts w:ascii="Georgia" w:cs="Georgia" w:eastAsia="Georgia" w:hAnsi="Georgia"/>
                <w:sz w:val="18"/>
                <w:szCs w:val="18"/>
                <w:color w:val="auto"/>
              </w:rPr>
              <w:t>-</w:t>
            </w:r>
          </w:p>
        </w:tc>
        <w:tc>
          <w:tcPr>
            <w:tcW w:w="140" w:type="dxa"/>
            <w:vAlign w:val="bottom"/>
            <w:gridSpan w:val="2"/>
          </w:tcPr>
          <w:p>
            <w:pPr>
              <w:spacing w:after="0" w:line="203" w:lineRule="exact"/>
              <w:rPr>
                <w:sz w:val="20"/>
                <w:szCs w:val="20"/>
                <w:color w:val="auto"/>
              </w:rPr>
            </w:pPr>
            <w:r>
              <w:rPr>
                <w:rFonts w:ascii="Georgia" w:cs="Georgia" w:eastAsia="Georgia" w:hAnsi="Georgia"/>
                <w:sz w:val="18"/>
                <w:szCs w:val="18"/>
                <w:color w:val="auto"/>
              </w:rPr>
              <w:t>€</w:t>
            </w:r>
          </w:p>
        </w:tc>
        <w:tc>
          <w:tcPr>
            <w:tcW w:w="900" w:type="dxa"/>
            <w:vAlign w:val="bottom"/>
            <w:gridSpan w:val="2"/>
          </w:tcPr>
          <w:p>
            <w:pPr>
              <w:jc w:val="right"/>
              <w:ind w:right="20"/>
              <w:spacing w:after="0" w:line="203" w:lineRule="exact"/>
              <w:rPr>
                <w:sz w:val="20"/>
                <w:szCs w:val="20"/>
                <w:color w:val="auto"/>
              </w:rPr>
            </w:pPr>
            <w:r>
              <w:rPr>
                <w:rFonts w:ascii="Georgia" w:cs="Georgia" w:eastAsia="Georgia" w:hAnsi="Georgia"/>
                <w:sz w:val="18"/>
                <w:szCs w:val="18"/>
                <w:color w:val="auto"/>
              </w:rPr>
              <w:t>-</w:t>
            </w:r>
          </w:p>
        </w:tc>
      </w:tr>
      <w:tr>
        <w:trPr>
          <w:trHeight w:val="225"/>
        </w:trPr>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Georgia" w:cs="Georgia" w:eastAsia="Georgia" w:hAnsi="Georgia"/>
                <w:sz w:val="18"/>
                <w:szCs w:val="18"/>
                <w:color w:val="auto"/>
              </w:rPr>
              <w:t>383,368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Georgia" w:cs="Georgia" w:eastAsia="Georgia" w:hAnsi="Georgia"/>
                <w:sz w:val="18"/>
                <w:szCs w:val="18"/>
                <w:color w:val="auto"/>
              </w:rPr>
              <w:t>308,218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58,150</w:t>
            </w:r>
          </w:p>
        </w:tc>
        <w:tc>
          <w:tcPr>
            <w:tcW w:w="1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Georgia" w:cs="Georgia" w:eastAsia="Georgia" w:hAnsi="Georgia"/>
                <w:sz w:val="18"/>
                <w:szCs w:val="18"/>
                <w:color w:val="auto"/>
              </w:rPr>
              <w:t>17,000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Georgia" w:cs="Georgia" w:eastAsia="Georgia" w:hAnsi="Georgia"/>
                <w:sz w:val="18"/>
                <w:szCs w:val="18"/>
                <w:color w:val="auto"/>
              </w:rPr>
              <w:t>-</w:t>
            </w:r>
          </w:p>
        </w:tc>
      </w:tr>
      <w:tr>
        <w:trPr>
          <w:trHeight w:val="209"/>
        </w:trPr>
        <w:tc>
          <w:tcPr>
            <w:tcW w:w="200" w:type="dxa"/>
            <w:vAlign w:val="bottom"/>
            <w:tcBorders>
              <w:top w:val="single" w:sz="8" w:color="auto"/>
              <w:bottom w:val="single" w:sz="8" w:color="auto"/>
            </w:tcBorders>
          </w:tcPr>
          <w:p>
            <w:pPr>
              <w:spacing w:after="0" w:line="202" w:lineRule="exact"/>
              <w:rPr>
                <w:sz w:val="20"/>
                <w:szCs w:val="20"/>
                <w:color w:val="auto"/>
              </w:rPr>
            </w:pPr>
            <w:r>
              <w:rPr>
                <w:rFonts w:ascii="Georgia" w:cs="Georgia" w:eastAsia="Georgia" w:hAnsi="Georgia"/>
                <w:sz w:val="18"/>
                <w:szCs w:val="18"/>
                <w:color w:val="auto"/>
              </w:rPr>
              <w:t>€</w:t>
            </w:r>
          </w:p>
        </w:tc>
        <w:tc>
          <w:tcPr>
            <w:tcW w:w="840" w:type="dxa"/>
            <w:vAlign w:val="bottom"/>
            <w:tcBorders>
              <w:top w:val="single" w:sz="8" w:color="auto"/>
              <w:bottom w:val="single" w:sz="8" w:color="auto"/>
            </w:tcBorders>
          </w:tcPr>
          <w:p>
            <w:pPr>
              <w:jc w:val="right"/>
              <w:spacing w:after="0" w:line="202" w:lineRule="exact"/>
              <w:rPr>
                <w:sz w:val="20"/>
                <w:szCs w:val="20"/>
                <w:color w:val="auto"/>
              </w:rPr>
            </w:pPr>
            <w:r>
              <w:rPr>
                <w:rFonts w:ascii="Georgia" w:cs="Georgia" w:eastAsia="Georgia" w:hAnsi="Georgia"/>
                <w:sz w:val="18"/>
                <w:szCs w:val="18"/>
                <w:color w:val="auto"/>
              </w:rPr>
              <w:t>423,568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line="202" w:lineRule="exact"/>
              <w:rPr>
                <w:sz w:val="20"/>
                <w:szCs w:val="20"/>
                <w:color w:val="auto"/>
              </w:rPr>
            </w:pPr>
            <w:r>
              <w:rPr>
                <w:rFonts w:ascii="Georgia" w:cs="Georgia" w:eastAsia="Georgia" w:hAnsi="Georgia"/>
                <w:sz w:val="18"/>
                <w:szCs w:val="18"/>
                <w:color w:val="auto"/>
              </w:rPr>
              <w:t>€</w:t>
            </w:r>
          </w:p>
        </w:tc>
        <w:tc>
          <w:tcPr>
            <w:tcW w:w="980" w:type="dxa"/>
            <w:vAlign w:val="bottom"/>
            <w:tcBorders>
              <w:top w:val="single" w:sz="8" w:color="auto"/>
              <w:bottom w:val="single" w:sz="8" w:color="auto"/>
            </w:tcBorders>
          </w:tcPr>
          <w:p>
            <w:pPr>
              <w:jc w:val="right"/>
              <w:spacing w:after="0" w:line="202" w:lineRule="exact"/>
              <w:rPr>
                <w:sz w:val="20"/>
                <w:szCs w:val="20"/>
                <w:color w:val="auto"/>
              </w:rPr>
            </w:pPr>
            <w:r>
              <w:rPr>
                <w:rFonts w:ascii="Georgia" w:cs="Georgia" w:eastAsia="Georgia" w:hAnsi="Georgia"/>
                <w:sz w:val="18"/>
                <w:szCs w:val="18"/>
                <w:color w:val="auto"/>
              </w:rPr>
              <w:t>321,618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line="202" w:lineRule="exact"/>
              <w:rPr>
                <w:sz w:val="20"/>
                <w:szCs w:val="20"/>
                <w:color w:val="auto"/>
              </w:rPr>
            </w:pPr>
            <w:r>
              <w:rPr>
                <w:rFonts w:ascii="Georgia" w:cs="Georgia" w:eastAsia="Georgia" w:hAnsi="Georgia"/>
                <w:sz w:val="18"/>
                <w:szCs w:val="18"/>
                <w:color w:val="auto"/>
              </w:rPr>
              <w:t>€</w:t>
            </w: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Georgia" w:cs="Georgia" w:eastAsia="Georgia" w:hAnsi="Georgia"/>
                <w:sz w:val="18"/>
                <w:szCs w:val="18"/>
                <w:color w:val="auto"/>
              </w:rPr>
              <w:t>84,950</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line="202" w:lineRule="exact"/>
              <w:rPr>
                <w:sz w:val="20"/>
                <w:szCs w:val="20"/>
                <w:color w:val="auto"/>
              </w:rPr>
            </w:pPr>
            <w:r>
              <w:rPr>
                <w:rFonts w:ascii="Georgia" w:cs="Georgia" w:eastAsia="Georgia" w:hAnsi="Georgia"/>
                <w:sz w:val="18"/>
                <w:szCs w:val="18"/>
                <w:color w:val="auto"/>
              </w:rPr>
              <w:t>€</w:t>
            </w:r>
          </w:p>
        </w:tc>
        <w:tc>
          <w:tcPr>
            <w:tcW w:w="840" w:type="dxa"/>
            <w:vAlign w:val="bottom"/>
            <w:tcBorders>
              <w:top w:val="single" w:sz="8" w:color="auto"/>
              <w:bottom w:val="single" w:sz="8" w:color="auto"/>
            </w:tcBorders>
          </w:tcPr>
          <w:p>
            <w:pPr>
              <w:jc w:val="right"/>
              <w:spacing w:after="0" w:line="202" w:lineRule="exact"/>
              <w:rPr>
                <w:sz w:val="20"/>
                <w:szCs w:val="20"/>
                <w:color w:val="auto"/>
              </w:rPr>
            </w:pPr>
            <w:r>
              <w:rPr>
                <w:rFonts w:ascii="Georgia" w:cs="Georgia" w:eastAsia="Georgia" w:hAnsi="Georgia"/>
                <w:sz w:val="18"/>
                <w:szCs w:val="18"/>
                <w:color w:val="auto"/>
              </w:rPr>
              <w:t>17,000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2" w:lineRule="exact"/>
              <w:rPr>
                <w:sz w:val="20"/>
                <w:szCs w:val="20"/>
                <w:color w:val="auto"/>
              </w:rPr>
            </w:pPr>
            <w:r>
              <w:rPr>
                <w:rFonts w:ascii="Georgia" w:cs="Georgia" w:eastAsia="Georgia" w:hAnsi="Georgia"/>
                <w:sz w:val="18"/>
                <w:szCs w:val="18"/>
                <w:color w:val="auto"/>
                <w:w w:val="86"/>
              </w:rPr>
              <w:t>€</w:t>
            </w:r>
          </w:p>
        </w:tc>
        <w:tc>
          <w:tcPr>
            <w:tcW w:w="900" w:type="dxa"/>
            <w:vAlign w:val="bottom"/>
            <w:tcBorders>
              <w:top w:val="single" w:sz="8" w:color="auto"/>
              <w:bottom w:val="single" w:sz="8" w:color="auto"/>
            </w:tcBorders>
            <w:gridSpan w:val="2"/>
          </w:tcPr>
          <w:p>
            <w:pPr>
              <w:jc w:val="right"/>
              <w:ind w:right="20"/>
              <w:spacing w:after="0" w:line="202" w:lineRule="exact"/>
              <w:rPr>
                <w:sz w:val="20"/>
                <w:szCs w:val="20"/>
                <w:color w:val="auto"/>
              </w:rPr>
            </w:pPr>
            <w:r>
              <w:rPr>
                <w:rFonts w:ascii="Georgia" w:cs="Georgia" w:eastAsia="Georgia" w:hAnsi="Georgia"/>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-427990</wp:posOffset>
            </wp:positionV>
            <wp:extent cx="71323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-153670</wp:posOffset>
            </wp:positionV>
            <wp:extent cx="713232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3800" w:space="720"/>
            <w:col w:w="6720"/>
          </w:cols>
          <w:pgMar w:left="320" w:top="582" w:right="339" w:bottom="1440" w:gutter="0" w:footer="0" w:header="0"/>
          <w:type w:val="continuous"/>
        </w:sectPr>
      </w:pPr>
    </w:p>
    <w:p>
      <w:pPr>
        <w:jc w:val="both"/>
        <w:spacing w:after="0" w:line="237" w:lineRule="auto"/>
        <w:rPr>
          <w:sz w:val="20"/>
          <w:szCs w:val="20"/>
          <w:color w:val="auto"/>
        </w:rPr>
      </w:pPr>
      <w:r>
        <w:rPr>
          <w:rFonts w:ascii="Georgia" w:cs="Georgia" w:eastAsia="Georgia" w:hAnsi="Georgia"/>
          <w:sz w:val="18"/>
          <w:szCs w:val="18"/>
          <w:color w:val="auto"/>
        </w:rPr>
        <w:t>The commitments with OSR relate to the office rent agreement while the commitments with AGC Biologic relate to production slots reserved on December 2021, to manufacture LVV batch in 2022 for approximately €300,000 and stability studies on plasmid batch for approximately €83,000.</w:t>
      </w:r>
    </w:p>
    <w:p>
      <w:pPr>
        <w:spacing w:after="0" w:line="204"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CMOs and CROs agreements</w:t>
      </w:r>
    </w:p>
    <w:p>
      <w:pPr>
        <w:spacing w:after="0" w:line="202"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OSR - San Raffaele Hospital</w:t>
      </w:r>
    </w:p>
    <w:p>
      <w:pPr>
        <w:spacing w:after="0" w:line="202"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The license agreement in place with OSR provides milestone payments and royalties. The OSR agreements are non-cancelable, except in the case of breach of contract, and include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type w:val="continuous"/>
        </w:sectPr>
      </w:pPr>
    </w:p>
    <w:bookmarkStart w:id="169" w:name="page170"/>
    <w:bookmarkEnd w:id="169"/>
    <w:p>
      <w:pPr>
        <w:ind w:left="660"/>
        <w:spacing w:after="0"/>
        <w:rPr>
          <w:sz w:val="20"/>
          <w:szCs w:val="20"/>
          <w:color w:val="auto"/>
        </w:rPr>
      </w:pPr>
      <w:r>
        <w:rPr>
          <w:rFonts w:ascii="Georgia" w:cs="Georgia" w:eastAsia="Georgia" w:hAnsi="Georgia"/>
          <w:sz w:val="18"/>
          <w:szCs w:val="18"/>
          <w:i w:val="1"/>
          <w:iCs w:val="1"/>
          <w:color w:val="auto"/>
        </w:rPr>
        <w:t>Multiple myeloma (MM)</w:t>
      </w:r>
    </w:p>
    <w:p>
      <w:pPr>
        <w:spacing w:after="0" w:line="202"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Glioblastoma multiforme (GBM)</w:t>
      </w:r>
    </w:p>
    <w:p>
      <w:pPr>
        <w:spacing w:after="0" w:line="202" w:lineRule="exact"/>
        <w:rPr>
          <w:sz w:val="20"/>
          <w:szCs w:val="20"/>
          <w:color w:val="auto"/>
        </w:rPr>
      </w:pPr>
    </w:p>
    <w:p>
      <w:pPr>
        <w:ind w:right="160" w:firstLine="647"/>
        <w:spacing w:after="0" w:line="237" w:lineRule="auto"/>
        <w:rPr>
          <w:sz w:val="20"/>
          <w:szCs w:val="20"/>
          <w:color w:val="auto"/>
        </w:rPr>
      </w:pPr>
      <w:r>
        <w:rPr>
          <w:rFonts w:ascii="Georgia" w:cs="Georgia" w:eastAsia="Georgia" w:hAnsi="Georgia"/>
          <w:sz w:val="18"/>
          <w:szCs w:val="18"/>
          <w:color w:val="auto"/>
        </w:rPr>
        <w:t>As discussed in Note 12, in December 2020, the Company had one indication ongoing, GBM. The Company’s contingent liability for this first solid cancer indication potentially payable to OSR was €53 million, as explained above.</w:t>
      </w:r>
    </w:p>
    <w:p>
      <w:pPr>
        <w:spacing w:after="0" w:line="202"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Liver cancer (LC)</w:t>
      </w:r>
    </w:p>
    <w:p>
      <w:pPr>
        <w:spacing w:after="0" w:line="202" w:lineRule="exact"/>
        <w:rPr>
          <w:sz w:val="20"/>
          <w:szCs w:val="20"/>
          <w:color w:val="auto"/>
        </w:rPr>
      </w:pPr>
    </w:p>
    <w:p>
      <w:pPr>
        <w:ind w:right="120" w:firstLine="647"/>
        <w:spacing w:after="0" w:line="237" w:lineRule="auto"/>
        <w:rPr>
          <w:sz w:val="20"/>
          <w:szCs w:val="20"/>
          <w:color w:val="auto"/>
        </w:rPr>
      </w:pPr>
      <w:r>
        <w:rPr>
          <w:rFonts w:ascii="Georgia" w:cs="Georgia" w:eastAsia="Georgia" w:hAnsi="Georgia"/>
          <w:sz w:val="18"/>
          <w:szCs w:val="18"/>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206" w:lineRule="exact"/>
        <w:rPr>
          <w:sz w:val="20"/>
          <w:szCs w:val="20"/>
          <w:color w:val="auto"/>
        </w:rPr>
      </w:pPr>
    </w:p>
    <w:p>
      <w:pPr>
        <w:ind w:right="20" w:firstLine="647"/>
        <w:spacing w:after="0" w:line="237" w:lineRule="auto"/>
        <w:rPr>
          <w:sz w:val="20"/>
          <w:szCs w:val="20"/>
          <w:color w:val="auto"/>
        </w:rPr>
      </w:pPr>
      <w:r>
        <w:rPr>
          <w:rFonts w:ascii="Georgia" w:cs="Georgia" w:eastAsia="Georgia" w:hAnsi="Georgia"/>
          <w:sz w:val="18"/>
          <w:szCs w:val="18"/>
          <w:color w:val="auto"/>
        </w:rPr>
        <w:t>The agreements also include a €7.8 million commitment related to the development and manufacturing of licensed products, of which the Company had incurred €1.2 million, €1.5 million and €0.7 million of expense during the years ended December 31, 2021, 2020 and 2019. The cumulative expense to date is €5.4 million.</w:t>
      </w:r>
    </w:p>
    <w:p>
      <w:pPr>
        <w:spacing w:after="0" w:line="203" w:lineRule="exact"/>
        <w:rPr>
          <w:sz w:val="20"/>
          <w:szCs w:val="20"/>
          <w:color w:val="auto"/>
        </w:rPr>
      </w:pPr>
    </w:p>
    <w:p>
      <w:pPr>
        <w:ind w:left="660"/>
        <w:spacing w:after="0"/>
        <w:rPr>
          <w:sz w:val="20"/>
          <w:szCs w:val="20"/>
          <w:color w:val="auto"/>
        </w:rPr>
      </w:pPr>
      <w:r>
        <w:rPr>
          <w:rFonts w:ascii="Georgia" w:cs="Georgia" w:eastAsia="Georgia" w:hAnsi="Georgia"/>
          <w:sz w:val="18"/>
          <w:szCs w:val="18"/>
          <w:i w:val="1"/>
          <w:iCs w:val="1"/>
          <w:color w:val="auto"/>
        </w:rPr>
        <w:t>AGC Biologics (formerly MolMed)</w:t>
      </w:r>
    </w:p>
    <w:p>
      <w:pPr>
        <w:spacing w:after="0" w:line="202" w:lineRule="exact"/>
        <w:rPr>
          <w:sz w:val="20"/>
          <w:szCs w:val="20"/>
          <w:color w:val="auto"/>
        </w:rPr>
      </w:pPr>
    </w:p>
    <w:p>
      <w:pPr>
        <w:ind w:right="20" w:firstLine="648"/>
        <w:spacing w:after="0" w:line="237" w:lineRule="auto"/>
        <w:rPr>
          <w:sz w:val="20"/>
          <w:szCs w:val="20"/>
          <w:color w:val="auto"/>
        </w:rPr>
      </w:pPr>
      <w:r>
        <w:rPr>
          <w:rFonts w:ascii="Georgia" w:cs="Georgia" w:eastAsia="Georgia" w:hAnsi="Georgia"/>
          <w:sz w:val="18"/>
          <w:szCs w:val="18"/>
          <w:color w:val="auto"/>
        </w:rPr>
        <w:t xml:space="preserve">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 -you-go”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for a total amount of €259,000,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 In October 2021 the Company entered into Side Letter to the Framework Service Agreement with ACG Biologics to perform the manufacture of one (1) additional </w:t>
      </w:r>
      <w:r>
        <w:rPr>
          <w:rFonts w:ascii="Georgia" w:cs="Georgia" w:eastAsia="Georgia" w:hAnsi="Georgia"/>
          <w:sz w:val="18"/>
          <w:szCs w:val="18"/>
          <w:i w:val="1"/>
          <w:iCs w:val="1"/>
          <w:color w:val="auto"/>
        </w:rPr>
        <w:t>GMP</w:t>
      </w:r>
      <w:r>
        <w:rPr>
          <w:rFonts w:ascii="Georgia" w:cs="Georgia" w:eastAsia="Georgia" w:hAnsi="Georgia"/>
          <w:sz w:val="18"/>
          <w:szCs w:val="18"/>
          <w:color w:val="auto"/>
        </w:rPr>
        <w:t xml:space="preserve"> batch of 24L INFa LV vector (TIA-126 LV) in 2021 (the “LVV Batch”) in connection with the Study TEM-GBM001, Genenta is in the process of completing, for a total amount of €311,280. In December 2021 the Company entered into Side Letter to the Framework Service Agreement with ACG Biologics to perform the manufacture of one (1) additional </w:t>
      </w:r>
      <w:r>
        <w:rPr>
          <w:rFonts w:ascii="Georgia" w:cs="Georgia" w:eastAsia="Georgia" w:hAnsi="Georgia"/>
          <w:sz w:val="18"/>
          <w:szCs w:val="18"/>
          <w:i w:val="1"/>
          <w:iCs w:val="1"/>
          <w:color w:val="auto"/>
        </w:rPr>
        <w:t>GMP</w:t>
      </w:r>
      <w:r>
        <w:rPr>
          <w:rFonts w:ascii="Georgia" w:cs="Georgia" w:eastAsia="Georgia" w:hAnsi="Georgia"/>
          <w:sz w:val="18"/>
          <w:szCs w:val="18"/>
          <w:color w:val="auto"/>
        </w:rPr>
        <w:t xml:space="preserve"> batch of 24L INFa LV vector (TIA-126 LV) in 2022 (the “LVV Batch”) in connection with the Study TEM-GBM001, Genenta is in the process of completing, for a total amount of €311,280.</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70" w:name="page171"/>
    <w:bookmarkEnd w:id="170"/>
    <w:p>
      <w:pPr>
        <w:ind w:right="40" w:firstLine="647"/>
        <w:spacing w:after="0" w:line="237" w:lineRule="auto"/>
        <w:rPr>
          <w:sz w:val="20"/>
          <w:szCs w:val="20"/>
          <w:color w:val="auto"/>
        </w:rPr>
      </w:pPr>
      <w:r>
        <w:rPr>
          <w:rFonts w:ascii="Georgia" w:cs="Georgia" w:eastAsia="Georgia" w:hAnsi="Georgia"/>
          <w:sz w:val="18"/>
          <w:szCs w:val="18"/>
          <w:color w:val="auto"/>
        </w:rPr>
        <w:t>In the early 2020, the Company and AGC amended the Master Service Agreement for the fourth time to regulate some new production activities for which the total estimated budget amounts to €0.3 million. At December 31, 2021, the Company is committed to pay a total of €32,200 relating to various stability timepoints, which will be realized and come due at different times through 2025.</w:t>
      </w:r>
    </w:p>
    <w:p>
      <w:pPr>
        <w:spacing w:after="0" w:line="204" w:lineRule="exact"/>
        <w:rPr>
          <w:sz w:val="20"/>
          <w:szCs w:val="20"/>
          <w:color w:val="auto"/>
        </w:rPr>
      </w:pPr>
    </w:p>
    <w:p>
      <w:pPr>
        <w:ind w:right="20" w:firstLine="647"/>
        <w:spacing w:after="0" w:line="237" w:lineRule="auto"/>
        <w:rPr>
          <w:sz w:val="20"/>
          <w:szCs w:val="20"/>
          <w:color w:val="auto"/>
        </w:rPr>
      </w:pPr>
      <w:r>
        <w:rPr>
          <w:rFonts w:ascii="Georgia" w:cs="Georgia" w:eastAsia="Georgia" w:hAnsi="Georgia"/>
          <w:sz w:val="18"/>
          <w:szCs w:val="18"/>
          <w:color w:val="auto"/>
        </w:rPr>
        <w:t>In September 2021, the Company extended the stability studies on the plasmid batch pIFNa 16024 (p906) up to nine (9) years and for the year ended December 31, 2021, the Company is committed to pay a total of €51,000 relating to various stability timepoints which will be realized in the future. At December 31, 2021, the total commitment of the Company for stability endpoints to be realized in the future, amounts to approximately €83,000.</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Operating leases</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On January 1, 2020, the Company began a six-year non-cancelable lease agreement for office space with OSR. Withdrawal is allowed from the fourth year with a notice of 12 months. Since the annual rent amounts to €13,400, at December 31, 2021, outstanding minimum payments amount to €26,800 until January 1, 2023.</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2" w:right="419" w:bottom="1440" w:gutter="0" w:footer="0" w:header="0"/>
        </w:sectPr>
      </w:pPr>
    </w:p>
    <w:bookmarkStart w:id="171" w:name="page172"/>
    <w:bookmarkEnd w:id="171"/>
    <w:p>
      <w:pPr>
        <w:spacing w:after="0"/>
        <w:rPr>
          <w:sz w:val="20"/>
          <w:szCs w:val="20"/>
          <w:color w:val="auto"/>
        </w:rPr>
      </w:pPr>
      <w:r>
        <w:rPr>
          <w:rFonts w:ascii="Georgia" w:cs="Georgia" w:eastAsia="Georgia" w:hAnsi="Georgia"/>
          <w:sz w:val="18"/>
          <w:szCs w:val="18"/>
          <w:i w:val="1"/>
          <w:iCs w:val="1"/>
          <w:color w:val="auto"/>
        </w:rPr>
        <w:t>Legal proceedings</w:t>
      </w:r>
    </w:p>
    <w:p>
      <w:pPr>
        <w:spacing w:after="0" w:line="202" w:lineRule="exact"/>
        <w:rPr>
          <w:sz w:val="20"/>
          <w:szCs w:val="20"/>
          <w:color w:val="auto"/>
        </w:rPr>
      </w:pPr>
    </w:p>
    <w:p>
      <w:pPr>
        <w:ind w:firstLine="647"/>
        <w:spacing w:after="0" w:line="237" w:lineRule="auto"/>
        <w:rPr>
          <w:sz w:val="20"/>
          <w:szCs w:val="20"/>
          <w:color w:val="auto"/>
        </w:rPr>
      </w:pPr>
      <w:r>
        <w:rPr>
          <w:rFonts w:ascii="Georgia" w:cs="Georgia" w:eastAsia="Georgia" w:hAnsi="Georgia"/>
          <w:sz w:val="18"/>
          <w:szCs w:val="18"/>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Coronavirus Pandemic</w:t>
      </w:r>
    </w:p>
    <w:p>
      <w:pPr>
        <w:spacing w:after="0" w:line="202"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On March 11, 2020, the World health Organization declared the outbreak of a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14. Subsequent events.</w:t>
      </w:r>
    </w:p>
    <w:p>
      <w:pPr>
        <w:spacing w:after="0" w:line="202" w:lineRule="exact"/>
        <w:rPr>
          <w:sz w:val="20"/>
          <w:szCs w:val="20"/>
          <w:color w:val="auto"/>
        </w:rPr>
      </w:pPr>
    </w:p>
    <w:p>
      <w:pPr>
        <w:ind w:right="140" w:firstLine="648"/>
        <w:spacing w:after="0" w:line="237" w:lineRule="auto"/>
        <w:rPr>
          <w:sz w:val="20"/>
          <w:szCs w:val="20"/>
          <w:color w:val="auto"/>
        </w:rPr>
      </w:pPr>
      <w:r>
        <w:rPr>
          <w:rFonts w:ascii="Georgia" w:cs="Georgia" w:eastAsia="Georgia" w:hAnsi="Georgia"/>
          <w:sz w:val="18"/>
          <w:szCs w:val="18"/>
          <w:color w:val="auto"/>
        </w:rPr>
        <w:t>In January 2022, the fifth amendment to the License Agreement with OSR was signed with the aim to clarify certain terms. In addition, with respect to Licensed Products for GBM, the Company will commit to carry out a Phase III Clinical Trial in US. With respect to GBM, the Company shall pay to OSR an additional Milestone Payment equal to €350,000 upon the first patient being dosed in a Phase III Clinical Trial in the US with respect to a Licensed Product for GBM. More over with regards to termination rights, if the Company has not filed an IND with respect to such Solid Cancer Indication within three (3) years from the date of the exercise of the option (or, in relation to GBM, has not dosed the first patient with a Licensed Product for GBM in a Phase III Clinical Trial started in the US within 72 months from the first patient being dosed in the first in human clinical trial of such applicable Licensed Product for GBM), the termination rights shall be limited to such Licensed Product in the Terminated Solid Cancer Indication.</w:t>
      </w:r>
    </w:p>
    <w:p>
      <w:pPr>
        <w:spacing w:after="0" w:line="207" w:lineRule="exact"/>
        <w:rPr>
          <w:sz w:val="20"/>
          <w:szCs w:val="20"/>
          <w:color w:val="auto"/>
        </w:rPr>
      </w:pPr>
    </w:p>
    <w:p>
      <w:pPr>
        <w:ind w:firstLine="648"/>
        <w:spacing w:after="0" w:line="237" w:lineRule="auto"/>
        <w:rPr>
          <w:sz w:val="20"/>
          <w:szCs w:val="20"/>
          <w:color w:val="auto"/>
        </w:rPr>
      </w:pPr>
      <w:r>
        <w:rPr>
          <w:rFonts w:ascii="Georgia" w:cs="Georgia" w:eastAsia="Georgia" w:hAnsi="Georgia"/>
          <w:sz w:val="18"/>
          <w:szCs w:val="18"/>
          <w:color w:val="auto"/>
        </w:rPr>
        <w:t>In January 2022, the Company signed a financial advisory agreement with Roth Capital for advisory services amounting to $200,000 (approximately €177,000) to be provided by June 30, 2022.</w:t>
      </w:r>
    </w:p>
    <w:p>
      <w:pPr>
        <w:spacing w:after="0" w:line="204" w:lineRule="exact"/>
        <w:rPr>
          <w:sz w:val="20"/>
          <w:szCs w:val="20"/>
          <w:color w:val="auto"/>
        </w:rPr>
      </w:pPr>
    </w:p>
    <w:p>
      <w:pPr>
        <w:ind w:right="140" w:firstLine="647"/>
        <w:spacing w:after="0" w:line="237" w:lineRule="auto"/>
        <w:rPr>
          <w:sz w:val="20"/>
          <w:szCs w:val="20"/>
          <w:color w:val="auto"/>
        </w:rPr>
      </w:pPr>
      <w:r>
        <w:rPr>
          <w:rFonts w:ascii="Georgia" w:cs="Georgia" w:eastAsia="Georgia" w:hAnsi="Georgia"/>
          <w:sz w:val="18"/>
          <w:szCs w:val="18"/>
          <w:color w:val="auto"/>
        </w:rPr>
        <w:t>In January 2022, the Company entered a new Service Level Agreement with Genenta Science Inc. for the provision of several management services. The Company committed to pay Genenta Science Inc. for all the activities provided and on quarterly basis, a Net Cost + a mark-up of 10%.</w:t>
      </w:r>
    </w:p>
    <w:p>
      <w:pPr>
        <w:spacing w:after="0" w:line="204" w:lineRule="exact"/>
        <w:rPr>
          <w:sz w:val="20"/>
          <w:szCs w:val="20"/>
          <w:color w:val="auto"/>
        </w:rPr>
      </w:pPr>
    </w:p>
    <w:p>
      <w:pPr>
        <w:ind w:right="120" w:firstLine="648"/>
        <w:spacing w:after="0" w:line="237" w:lineRule="auto"/>
        <w:rPr>
          <w:sz w:val="20"/>
          <w:szCs w:val="20"/>
          <w:color w:val="auto"/>
        </w:rPr>
      </w:pPr>
      <w:r>
        <w:rPr>
          <w:rFonts w:ascii="Georgia" w:cs="Georgia" w:eastAsia="Georgia" w:hAnsi="Georgia"/>
          <w:sz w:val="18"/>
          <w:szCs w:val="18"/>
          <w:color w:val="auto"/>
        </w:rPr>
        <w:t xml:space="preserve">In March 2022, the Company entered into a Side Letter to the Framework Service Agreement with ACG Biologics to perform the manufacture of one (1) additional </w:t>
      </w:r>
      <w:r>
        <w:rPr>
          <w:rFonts w:ascii="Georgia" w:cs="Georgia" w:eastAsia="Georgia" w:hAnsi="Georgia"/>
          <w:sz w:val="18"/>
          <w:szCs w:val="18"/>
          <w:i w:val="1"/>
          <w:iCs w:val="1"/>
          <w:color w:val="auto"/>
        </w:rPr>
        <w:t>GMP</w:t>
      </w:r>
      <w:r>
        <w:rPr>
          <w:rFonts w:ascii="Georgia" w:cs="Georgia" w:eastAsia="Georgia" w:hAnsi="Georgia"/>
          <w:sz w:val="18"/>
          <w:szCs w:val="18"/>
          <w:color w:val="auto"/>
        </w:rPr>
        <w:t xml:space="preserve"> batch of 24L INFa LV vector (TIA-126 LV) in 2022 in connection with the Study TEM-GBM001. The total amount of the additional batch is €272,880.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172" w:name="page173"/>
    <w:bookmarkEnd w:id="172"/>
    <w:p>
      <w:pPr>
        <w:jc w:val="right"/>
        <w:spacing w:after="0"/>
        <w:rPr>
          <w:sz w:val="20"/>
          <w:szCs w:val="20"/>
          <w:color w:val="auto"/>
        </w:rPr>
      </w:pPr>
      <w:r>
        <w:rPr>
          <w:rFonts w:ascii="Georgia" w:cs="Georgia" w:eastAsia="Georgia" w:hAnsi="Georgia"/>
          <w:sz w:val="18"/>
          <w:szCs w:val="18"/>
          <w:b w:val="1"/>
          <w:bCs w:val="1"/>
          <w:color w:val="auto"/>
        </w:rPr>
        <w:t>Exhibit 2.4</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DESCRIPTION OF SECURITIES REGISTERED UNDER SECTION 12 OF THE EXCHANGE ACT</w:t>
      </w:r>
    </w:p>
    <w:p>
      <w:pPr>
        <w:spacing w:after="0" w:line="202" w:lineRule="exact"/>
        <w:rPr>
          <w:sz w:val="20"/>
          <w:szCs w:val="20"/>
          <w:color w:val="auto"/>
        </w:rPr>
      </w:pPr>
    </w:p>
    <w:p>
      <w:pPr>
        <w:ind w:right="400"/>
        <w:spacing w:after="0" w:line="237" w:lineRule="auto"/>
        <w:rPr>
          <w:sz w:val="20"/>
          <w:szCs w:val="20"/>
          <w:color w:val="auto"/>
        </w:rPr>
      </w:pPr>
      <w:r>
        <w:rPr>
          <w:rFonts w:ascii="Georgia" w:cs="Georgia" w:eastAsia="Georgia" w:hAnsi="Georgia"/>
          <w:sz w:val="18"/>
          <w:szCs w:val="18"/>
          <w:color w:val="auto"/>
        </w:rPr>
        <w:t>As of December 31, 2021, Genenta Science S.p.A. (the “Company,” “we,” “us,” and “our”) had the following classes of securities registered pursuant to Section 12(b) of the Exchange Act: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Georgia" w:cs="Georgia" w:eastAsia="Georgia" w:hAnsi="Georgia"/>
                <w:sz w:val="18"/>
                <w:szCs w:val="18"/>
                <w:b w:val="1"/>
                <w:bCs w:val="1"/>
                <w:color w:val="auto"/>
                <w:w w:val="99"/>
              </w:rPr>
              <w:t>Name of each</w:t>
            </w:r>
          </w:p>
        </w:tc>
        <w:tc>
          <w:tcPr>
            <w:tcW w:w="0" w:type="dxa"/>
            <w:vAlign w:val="bottom"/>
          </w:tcPr>
          <w:p>
            <w:pPr>
              <w:spacing w:after="0"/>
              <w:rPr>
                <w:sz w:val="1"/>
                <w:szCs w:val="1"/>
                <w:color w:val="auto"/>
              </w:rPr>
            </w:pPr>
          </w:p>
        </w:tc>
      </w:tr>
      <w:tr>
        <w:trPr>
          <w:trHeight w:val="203"/>
        </w:trPr>
        <w:tc>
          <w:tcPr>
            <w:tcW w:w="460" w:type="dxa"/>
            <w:vAlign w:val="bottom"/>
            <w:vMerge w:val="restart"/>
          </w:tcPr>
          <w:p>
            <w:pPr>
              <w:jc w:val="center"/>
              <w:spacing w:after="0"/>
              <w:rPr>
                <w:sz w:val="20"/>
                <w:szCs w:val="20"/>
                <w:color w:val="auto"/>
              </w:rPr>
            </w:pPr>
            <w:r>
              <w:rPr>
                <w:rFonts w:ascii="Georgia" w:cs="Georgia" w:eastAsia="Georgia" w:hAnsi="Georgia"/>
                <w:sz w:val="18"/>
                <w:szCs w:val="18"/>
                <w:b w:val="1"/>
                <w:bCs w:val="1"/>
                <w:color w:val="auto"/>
                <w:w w:val="94"/>
              </w:rPr>
              <w:t>#</w:t>
            </w:r>
          </w:p>
        </w:tc>
        <w:tc>
          <w:tcPr>
            <w:tcW w:w="2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Georgia" w:cs="Georgia" w:eastAsia="Georgia" w:hAnsi="Georgia"/>
                <w:sz w:val="18"/>
                <w:szCs w:val="18"/>
                <w:b w:val="1"/>
                <w:bCs w:val="1"/>
                <w:color w:val="auto"/>
                <w:w w:val="99"/>
              </w:rPr>
              <w:t>exchange</w:t>
            </w:r>
          </w:p>
        </w:tc>
        <w:tc>
          <w:tcPr>
            <w:tcW w:w="0" w:type="dxa"/>
            <w:vAlign w:val="bottom"/>
          </w:tcPr>
          <w:p>
            <w:pPr>
              <w:spacing w:after="0"/>
              <w:rPr>
                <w:sz w:val="1"/>
                <w:szCs w:val="1"/>
                <w:color w:val="auto"/>
              </w:rPr>
            </w:pPr>
          </w:p>
        </w:tc>
      </w:tr>
      <w:tr>
        <w:trPr>
          <w:trHeight w:val="199"/>
        </w:trPr>
        <w:tc>
          <w:tcPr>
            <w:tcW w:w="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gridSpan w:val="2"/>
          </w:tcPr>
          <w:p>
            <w:pPr>
              <w:jc w:val="center"/>
              <w:ind w:right="240"/>
              <w:spacing w:after="0" w:line="192" w:lineRule="exact"/>
              <w:rPr>
                <w:sz w:val="20"/>
                <w:szCs w:val="20"/>
                <w:color w:val="auto"/>
              </w:rPr>
            </w:pPr>
            <w:r>
              <w:rPr>
                <w:rFonts w:ascii="Georgia" w:cs="Georgia" w:eastAsia="Georgia" w:hAnsi="Georgia"/>
                <w:sz w:val="18"/>
                <w:szCs w:val="18"/>
                <w:b w:val="1"/>
                <w:bCs w:val="1"/>
                <w:color w:val="auto"/>
                <w:w w:val="99"/>
              </w:rPr>
              <w:t>Title of each class</w:t>
            </w:r>
          </w:p>
        </w:tc>
        <w:tc>
          <w:tcPr>
            <w:tcW w:w="1780" w:type="dxa"/>
            <w:vAlign w:val="bottom"/>
            <w:gridSpan w:val="2"/>
          </w:tcPr>
          <w:p>
            <w:pPr>
              <w:jc w:val="center"/>
              <w:ind w:right="200"/>
              <w:spacing w:after="0" w:line="192" w:lineRule="exact"/>
              <w:rPr>
                <w:sz w:val="20"/>
                <w:szCs w:val="20"/>
                <w:color w:val="auto"/>
              </w:rPr>
            </w:pPr>
            <w:r>
              <w:rPr>
                <w:rFonts w:ascii="Georgia" w:cs="Georgia" w:eastAsia="Georgia" w:hAnsi="Georgia"/>
                <w:sz w:val="18"/>
                <w:szCs w:val="18"/>
                <w:b w:val="1"/>
                <w:bCs w:val="1"/>
                <w:color w:val="auto"/>
              </w:rPr>
              <w:t>Trading symbol</w:t>
            </w:r>
          </w:p>
        </w:tc>
        <w:tc>
          <w:tcPr>
            <w:tcW w:w="2020" w:type="dxa"/>
            <w:vAlign w:val="bottom"/>
          </w:tcPr>
          <w:p>
            <w:pPr>
              <w:jc w:val="center"/>
              <w:spacing w:after="0" w:line="192" w:lineRule="exact"/>
              <w:rPr>
                <w:sz w:val="20"/>
                <w:szCs w:val="20"/>
                <w:color w:val="auto"/>
              </w:rPr>
            </w:pPr>
            <w:r>
              <w:rPr>
                <w:rFonts w:ascii="Georgia" w:cs="Georgia" w:eastAsia="Georgia" w:hAnsi="Georgia"/>
                <w:sz w:val="18"/>
                <w:szCs w:val="18"/>
                <w:b w:val="1"/>
                <w:bCs w:val="1"/>
                <w:color w:val="auto"/>
              </w:rPr>
              <w:t>on which registered</w:t>
            </w:r>
          </w:p>
        </w:tc>
        <w:tc>
          <w:tcPr>
            <w:tcW w:w="0" w:type="dxa"/>
            <w:vAlign w:val="bottom"/>
          </w:tcPr>
          <w:p>
            <w:pPr>
              <w:spacing w:after="0"/>
              <w:rPr>
                <w:sz w:val="1"/>
                <w:szCs w:val="1"/>
                <w:color w:val="auto"/>
              </w:rPr>
            </w:pPr>
          </w:p>
        </w:tc>
      </w:tr>
      <w:tr>
        <w:trPr>
          <w:trHeight w:val="199"/>
        </w:trPr>
        <w:tc>
          <w:tcPr>
            <w:tcW w:w="460" w:type="dxa"/>
            <w:vAlign w:val="bottom"/>
            <w:tcBorders>
              <w:top w:val="single" w:sz="8" w:color="auto"/>
            </w:tcBorders>
            <w:vMerge w:val="restart"/>
            <w:shd w:val="clear" w:color="auto" w:fill="CCEEFF"/>
          </w:tcPr>
          <w:p>
            <w:pPr>
              <w:jc w:val="center"/>
              <w:spacing w:after="0"/>
              <w:rPr>
                <w:sz w:val="20"/>
                <w:szCs w:val="20"/>
                <w:color w:val="auto"/>
              </w:rPr>
            </w:pPr>
            <w:r>
              <w:rPr>
                <w:rFonts w:ascii="Georgia" w:cs="Georgia" w:eastAsia="Georgia" w:hAnsi="Georgia"/>
                <w:sz w:val="18"/>
                <w:szCs w:val="18"/>
                <w:b w:val="1"/>
                <w:bCs w:val="1"/>
                <w:color w:val="auto"/>
              </w:rPr>
              <w:t>I.</w:t>
            </w:r>
          </w:p>
        </w:tc>
        <w:tc>
          <w:tcPr>
            <w:tcW w:w="240" w:type="dxa"/>
            <w:vAlign w:val="bottom"/>
            <w:tcBorders>
              <w:top w:val="single" w:sz="8" w:color="CCEEFF"/>
            </w:tcBorders>
            <w:shd w:val="clear" w:color="auto" w:fill="CCEEFF"/>
          </w:tcPr>
          <w:p>
            <w:pPr>
              <w:spacing w:after="0"/>
              <w:rPr>
                <w:sz w:val="17"/>
                <w:szCs w:val="17"/>
                <w:color w:val="auto"/>
              </w:rPr>
            </w:pPr>
          </w:p>
        </w:tc>
        <w:tc>
          <w:tcPr>
            <w:tcW w:w="6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200" w:lineRule="exact"/>
              <w:rPr>
                <w:sz w:val="20"/>
                <w:szCs w:val="20"/>
                <w:color w:val="auto"/>
              </w:rPr>
            </w:pPr>
            <w:r>
              <w:rPr>
                <w:rFonts w:ascii="Georgia" w:cs="Georgia" w:eastAsia="Georgia" w:hAnsi="Georgia"/>
                <w:sz w:val="18"/>
                <w:szCs w:val="18"/>
                <w:color w:val="auto"/>
                <w:w w:val="99"/>
              </w:rPr>
              <w:t>The Nasdaq Stock</w:t>
            </w:r>
          </w:p>
        </w:tc>
        <w:tc>
          <w:tcPr>
            <w:tcW w:w="0" w:type="dxa"/>
            <w:vAlign w:val="bottom"/>
          </w:tcPr>
          <w:p>
            <w:pPr>
              <w:spacing w:after="0"/>
              <w:rPr>
                <w:sz w:val="1"/>
                <w:szCs w:val="1"/>
                <w:color w:val="auto"/>
              </w:rPr>
            </w:pPr>
          </w:p>
        </w:tc>
      </w:tr>
      <w:tr>
        <w:trPr>
          <w:trHeight w:val="95"/>
        </w:trPr>
        <w:tc>
          <w:tcPr>
            <w:tcW w:w="4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740" w:type="dxa"/>
            <w:vAlign w:val="bottom"/>
            <w:gridSpan w:val="2"/>
            <w:vMerge w:val="restart"/>
            <w:shd w:val="clear" w:color="auto" w:fill="CCEEFF"/>
          </w:tcPr>
          <w:p>
            <w:pPr>
              <w:jc w:val="center"/>
              <w:ind w:right="240"/>
              <w:spacing w:after="0" w:line="203" w:lineRule="exact"/>
              <w:rPr>
                <w:sz w:val="20"/>
                <w:szCs w:val="20"/>
                <w:color w:val="auto"/>
              </w:rPr>
            </w:pPr>
            <w:r>
              <w:rPr>
                <w:rFonts w:ascii="Georgia" w:cs="Georgia" w:eastAsia="Georgia" w:hAnsi="Georgia"/>
                <w:sz w:val="18"/>
                <w:szCs w:val="18"/>
                <w:color w:val="auto"/>
              </w:rPr>
              <w:t>Ordinary Shares, with no par value *</w:t>
            </w:r>
          </w:p>
        </w:tc>
        <w:tc>
          <w:tcPr>
            <w:tcW w:w="1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20" w:type="dxa"/>
            <w:vAlign w:val="bottom"/>
            <w:vMerge w:val="restart"/>
            <w:shd w:val="clear" w:color="auto" w:fill="CCEEFF"/>
          </w:tcPr>
          <w:p>
            <w:pPr>
              <w:jc w:val="center"/>
              <w:spacing w:after="0" w:line="203" w:lineRule="exact"/>
              <w:rPr>
                <w:sz w:val="20"/>
                <w:szCs w:val="20"/>
                <w:color w:val="auto"/>
              </w:rPr>
            </w:pPr>
            <w:r>
              <w:rPr>
                <w:rFonts w:ascii="Georgia" w:cs="Georgia" w:eastAsia="Georgia" w:hAnsi="Georgia"/>
                <w:sz w:val="18"/>
                <w:szCs w:val="18"/>
                <w:color w:val="auto"/>
              </w:rPr>
              <w:t>Market LLC</w:t>
            </w:r>
          </w:p>
        </w:tc>
        <w:tc>
          <w:tcPr>
            <w:tcW w:w="0" w:type="dxa"/>
            <w:vAlign w:val="bottom"/>
          </w:tcPr>
          <w:p>
            <w:pPr>
              <w:spacing w:after="0"/>
              <w:rPr>
                <w:sz w:val="1"/>
                <w:szCs w:val="1"/>
                <w:color w:val="auto"/>
              </w:rPr>
            </w:pPr>
          </w:p>
        </w:tc>
      </w:tr>
      <w:tr>
        <w:trPr>
          <w:trHeight w:val="110"/>
        </w:trPr>
        <w:tc>
          <w:tcPr>
            <w:tcW w:w="4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740" w:type="dxa"/>
            <w:vAlign w:val="bottom"/>
            <w:gridSpan w:val="2"/>
            <w:vMerge w:val="continue"/>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60" w:type="dxa"/>
            <w:vAlign w:val="bottom"/>
            <w:vMerge w:val="restart"/>
          </w:tcPr>
          <w:p>
            <w:pPr>
              <w:jc w:val="center"/>
              <w:spacing w:after="0"/>
              <w:rPr>
                <w:sz w:val="20"/>
                <w:szCs w:val="20"/>
                <w:color w:val="auto"/>
              </w:rPr>
            </w:pPr>
            <w:r>
              <w:rPr>
                <w:rFonts w:ascii="Georgia" w:cs="Georgia" w:eastAsia="Georgia" w:hAnsi="Georgia"/>
                <w:sz w:val="18"/>
                <w:szCs w:val="18"/>
                <w:b w:val="1"/>
                <w:bCs w:val="1"/>
                <w:color w:val="auto"/>
                <w:w w:val="99"/>
              </w:rPr>
              <w:t>II.</w:t>
            </w:r>
          </w:p>
        </w:tc>
        <w:tc>
          <w:tcPr>
            <w:tcW w:w="2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vMerge w:val="restart"/>
          </w:tcPr>
          <w:p>
            <w:pPr>
              <w:jc w:val="center"/>
              <w:ind w:right="200"/>
              <w:spacing w:after="0"/>
              <w:rPr>
                <w:sz w:val="20"/>
                <w:szCs w:val="20"/>
                <w:color w:val="auto"/>
              </w:rPr>
            </w:pPr>
            <w:r>
              <w:rPr>
                <w:rFonts w:ascii="Georgia" w:cs="Georgia" w:eastAsia="Georgia" w:hAnsi="Georgia"/>
                <w:sz w:val="18"/>
                <w:szCs w:val="18"/>
                <w:color w:val="auto"/>
                <w:w w:val="99"/>
              </w:rPr>
              <w:t>GNTA</w:t>
            </w:r>
          </w:p>
        </w:tc>
        <w:tc>
          <w:tcPr>
            <w:tcW w:w="2020" w:type="dxa"/>
            <w:vAlign w:val="bottom"/>
          </w:tcPr>
          <w:p>
            <w:pPr>
              <w:jc w:val="center"/>
              <w:spacing w:after="0" w:line="200" w:lineRule="exact"/>
              <w:rPr>
                <w:sz w:val="20"/>
                <w:szCs w:val="20"/>
                <w:color w:val="auto"/>
              </w:rPr>
            </w:pPr>
            <w:r>
              <w:rPr>
                <w:rFonts w:ascii="Georgia" w:cs="Georgia" w:eastAsia="Georgia" w:hAnsi="Georgia"/>
                <w:sz w:val="18"/>
                <w:szCs w:val="18"/>
                <w:color w:val="auto"/>
                <w:w w:val="99"/>
              </w:rPr>
              <w:t>The Nasdaq Stock</w:t>
            </w:r>
          </w:p>
        </w:tc>
        <w:tc>
          <w:tcPr>
            <w:tcW w:w="0" w:type="dxa"/>
            <w:vAlign w:val="bottom"/>
          </w:tcPr>
          <w:p>
            <w:pPr>
              <w:spacing w:after="0"/>
              <w:rPr>
                <w:sz w:val="1"/>
                <w:szCs w:val="1"/>
                <w:color w:val="auto"/>
              </w:rPr>
            </w:pPr>
          </w:p>
        </w:tc>
      </w:tr>
      <w:tr>
        <w:trPr>
          <w:trHeight w:val="95"/>
        </w:trPr>
        <w:tc>
          <w:tcPr>
            <w:tcW w:w="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740" w:type="dxa"/>
            <w:vAlign w:val="bottom"/>
            <w:gridSpan w:val="2"/>
            <w:vMerge w:val="restart"/>
          </w:tcPr>
          <w:p>
            <w:pPr>
              <w:jc w:val="center"/>
              <w:ind w:right="220"/>
              <w:spacing w:after="0" w:line="203" w:lineRule="exact"/>
              <w:rPr>
                <w:sz w:val="20"/>
                <w:szCs w:val="20"/>
                <w:color w:val="auto"/>
              </w:rPr>
            </w:pPr>
            <w:r>
              <w:rPr>
                <w:rFonts w:ascii="Georgia" w:cs="Georgia" w:eastAsia="Georgia" w:hAnsi="Georgia"/>
                <w:sz w:val="18"/>
                <w:szCs w:val="18"/>
                <w:color w:val="auto"/>
                <w:w w:val="99"/>
              </w:rPr>
              <w:t>American Depositary Shares, or ADSs,** each representing one Ordinary Share</w:t>
            </w:r>
          </w:p>
        </w:tc>
        <w:tc>
          <w:tcPr>
            <w:tcW w:w="1780" w:type="dxa"/>
            <w:vAlign w:val="bottom"/>
            <w:gridSpan w:val="2"/>
            <w:vMerge w:val="continue"/>
          </w:tcPr>
          <w:p>
            <w:pPr>
              <w:spacing w:after="0"/>
              <w:rPr>
                <w:sz w:val="8"/>
                <w:szCs w:val="8"/>
                <w:color w:val="auto"/>
              </w:rPr>
            </w:pPr>
          </w:p>
        </w:tc>
        <w:tc>
          <w:tcPr>
            <w:tcW w:w="2020" w:type="dxa"/>
            <w:vAlign w:val="bottom"/>
            <w:vMerge w:val="restart"/>
          </w:tcPr>
          <w:p>
            <w:pPr>
              <w:jc w:val="center"/>
              <w:spacing w:after="0" w:line="203" w:lineRule="exact"/>
              <w:rPr>
                <w:sz w:val="20"/>
                <w:szCs w:val="20"/>
                <w:color w:val="auto"/>
              </w:rPr>
            </w:pPr>
            <w:r>
              <w:rPr>
                <w:rFonts w:ascii="Georgia" w:cs="Georgia" w:eastAsia="Georgia" w:hAnsi="Georgia"/>
                <w:sz w:val="18"/>
                <w:szCs w:val="18"/>
                <w:color w:val="auto"/>
              </w:rPr>
              <w:t>Market LLC</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740" w:type="dxa"/>
            <w:vAlign w:val="bottom"/>
            <w:gridSpan w:val="2"/>
            <w:vMerge w:val="continue"/>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5520" w:firstLine="8"/>
        <w:spacing w:after="0" w:line="237" w:lineRule="auto"/>
        <w:tabs>
          <w:tab w:leader="none" w:pos="445" w:val="left"/>
        </w:tabs>
        <w:numPr>
          <w:ilvl w:val="0"/>
          <w:numId w:val="117"/>
        </w:numPr>
        <w:rPr>
          <w:rFonts w:ascii="Georgia" w:cs="Georgia" w:eastAsia="Georgia" w:hAnsi="Georgia"/>
          <w:sz w:val="18"/>
          <w:szCs w:val="18"/>
          <w:b w:val="1"/>
          <w:bCs w:val="1"/>
          <w:color w:val="auto"/>
        </w:rPr>
      </w:pPr>
      <w:r>
        <w:rPr>
          <w:rFonts w:ascii="Georgia" w:cs="Georgia" w:eastAsia="Georgia" w:hAnsi="Georgia"/>
          <w:sz w:val="18"/>
          <w:szCs w:val="18"/>
          <w:i w:val="1"/>
          <w:iCs w:val="1"/>
          <w:color w:val="auto"/>
        </w:rPr>
        <w:t xml:space="preserve">Not for trading, but only in connection with registration of ADSs. </w:t>
      </w:r>
      <w:r>
        <w:rPr>
          <w:rFonts w:ascii="Georgia" w:cs="Georgia" w:eastAsia="Georgia" w:hAnsi="Georgia"/>
          <w:sz w:val="18"/>
          <w:szCs w:val="18"/>
          <w:color w:val="auto"/>
        </w:rPr>
        <w:t>** Evidenced by American Depositary Receipts, or ADRs.</w:t>
      </w:r>
    </w:p>
    <w:p>
      <w:pPr>
        <w:spacing w:after="0" w:line="204"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Capitalized terms used but not defined herein have the meanings given to them in our annual report on Form 20-F for the fiscal year ended December 31, 2021, unless otherwise indicated herein.</w:t>
      </w:r>
    </w:p>
    <w:p>
      <w:pPr>
        <w:spacing w:after="0" w:line="216" w:lineRule="exact"/>
        <w:rPr>
          <w:sz w:val="20"/>
          <w:szCs w:val="20"/>
          <w:color w:val="auto"/>
        </w:rPr>
      </w:pPr>
    </w:p>
    <w:p>
      <w:pPr>
        <w:ind w:left="460" w:hanging="452"/>
        <w:spacing w:after="0"/>
        <w:tabs>
          <w:tab w:leader="none" w:pos="460" w:val="left"/>
        </w:tabs>
        <w:numPr>
          <w:ilvl w:val="0"/>
          <w:numId w:val="118"/>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ORDINARY SHARES</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following description of our share capital and certain material provisions of our corporate rules is a summary and does not purport to be complete. It is subject to, and qualified in its entirety by, our By-laws (</w:t>
      </w:r>
      <w:r>
        <w:rPr>
          <w:rFonts w:ascii="Georgia" w:cs="Georgia" w:eastAsia="Georgia" w:hAnsi="Georgia"/>
          <w:sz w:val="18"/>
          <w:szCs w:val="18"/>
          <w:i w:val="1"/>
          <w:iCs w:val="1"/>
          <w:color w:val="auto"/>
        </w:rPr>
        <w:t>statuto</w:t>
      </w:r>
      <w:r>
        <w:rPr>
          <w:rFonts w:ascii="Georgia" w:cs="Georgia" w:eastAsia="Georgia" w:hAnsi="Georgia"/>
          <w:sz w:val="18"/>
          <w:szCs w:val="18"/>
          <w:color w:val="auto"/>
        </w:rPr>
        <w:t>) and Italian corporate law.</w:t>
      </w:r>
    </w:p>
    <w:p>
      <w:pPr>
        <w:spacing w:after="0" w:line="204"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A copy of our By-laws is attached to our annual report as Exhibit 3.2. We encourage you to read our By-laws and the applicable sections of our annual report for additional information.</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Share Capital</w:t>
      </w:r>
    </w:p>
    <w:p>
      <w:pPr>
        <w:spacing w:after="0" w:line="202" w:lineRule="exact"/>
        <w:rPr>
          <w:sz w:val="20"/>
          <w:szCs w:val="20"/>
          <w:color w:val="auto"/>
        </w:rPr>
      </w:pPr>
    </w:p>
    <w:p>
      <w:pPr>
        <w:ind w:right="900"/>
        <w:spacing w:after="0" w:line="237" w:lineRule="auto"/>
        <w:rPr>
          <w:sz w:val="20"/>
          <w:szCs w:val="20"/>
          <w:color w:val="auto"/>
        </w:rPr>
      </w:pPr>
      <w:r>
        <w:rPr>
          <w:rFonts w:ascii="Georgia" w:cs="Georgia" w:eastAsia="Georgia" w:hAnsi="Georgia"/>
          <w:sz w:val="18"/>
          <w:szCs w:val="18"/>
          <w:color w:val="auto"/>
        </w:rPr>
        <w:t>Our capital stock is composed of Ordinary Shares with no par value. As of December 31, 2021, our issued share capital consisted of 18,216,858 Ordinary Shares. All issued shares are fully paid, non-assessable and in registered form.</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Form and Transfer of Shares</w:t>
      </w:r>
    </w:p>
    <w:p>
      <w:pPr>
        <w:spacing w:after="0" w:line="202" w:lineRule="exact"/>
        <w:rPr>
          <w:sz w:val="20"/>
          <w:szCs w:val="20"/>
          <w:color w:val="auto"/>
        </w:rPr>
      </w:pPr>
    </w:p>
    <w:p>
      <w:pPr>
        <w:jc w:val="both"/>
        <w:ind w:right="40"/>
        <w:spacing w:after="0" w:line="237" w:lineRule="auto"/>
        <w:rPr>
          <w:sz w:val="20"/>
          <w:szCs w:val="20"/>
          <w:color w:val="auto"/>
        </w:rPr>
      </w:pPr>
      <w:r>
        <w:rPr>
          <w:rFonts w:ascii="Georgia" w:cs="Georgia" w:eastAsia="Georgia" w:hAnsi="Georgia"/>
          <w:sz w:val="18"/>
          <w:szCs w:val="18"/>
          <w:color w:val="auto"/>
        </w:rPr>
        <w:t>Our ordinary shares are not represented by share certificates (</w:t>
      </w:r>
      <w:r>
        <w:rPr>
          <w:rFonts w:ascii="Georgia" w:cs="Georgia" w:eastAsia="Georgia" w:hAnsi="Georgia"/>
          <w:sz w:val="18"/>
          <w:szCs w:val="18"/>
          <w:i w:val="1"/>
          <w:iCs w:val="1"/>
          <w:color w:val="auto"/>
        </w:rPr>
        <w:t>certificati azionari)</w:t>
      </w:r>
      <w:r>
        <w:rPr>
          <w:rFonts w:ascii="Georgia" w:cs="Georgia" w:eastAsia="Georgia" w:hAnsi="Georgia"/>
          <w:sz w:val="18"/>
          <w:szCs w:val="18"/>
          <w:color w:val="auto"/>
        </w:rPr>
        <w:t xml:space="preserve"> as they are </w:t>
      </w:r>
      <w:r>
        <w:rPr>
          <w:rFonts w:ascii="Georgia" w:cs="Georgia" w:eastAsia="Georgia" w:hAnsi="Georgia"/>
          <w:sz w:val="18"/>
          <w:szCs w:val="18"/>
          <w:i w:val="1"/>
          <w:iCs w:val="1"/>
          <w:color w:val="auto"/>
        </w:rPr>
        <w:t>dematerialised (azioni dematerializzate</w:t>
      </w:r>
      <w:r>
        <w:rPr>
          <w:rFonts w:ascii="Georgia" w:cs="Georgia" w:eastAsia="Georgia" w:hAnsi="Georgia"/>
          <w:sz w:val="18"/>
          <w:szCs w:val="18"/>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20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There are no limitations on the right to own or vote our ordinary shares, which applies to non-Italian residents and foreign residents.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3" w:name="page174"/>
    <w:bookmarkEnd w:id="173"/>
    <w:p>
      <w:pPr>
        <w:spacing w:after="0"/>
        <w:rPr>
          <w:sz w:val="20"/>
          <w:szCs w:val="20"/>
          <w:color w:val="auto"/>
        </w:rPr>
      </w:pPr>
      <w:r>
        <w:rPr>
          <w:rFonts w:ascii="Georgia" w:cs="Georgia" w:eastAsia="Georgia" w:hAnsi="Georgia"/>
          <w:sz w:val="18"/>
          <w:szCs w:val="18"/>
          <w:b w:val="1"/>
          <w:bCs w:val="1"/>
          <w:color w:val="auto"/>
        </w:rPr>
        <w:t>Dividend Rights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Payment by the Company of any annual dividend is proposed by the board of directors and is subject to the approval of the shareholders at the annual shareholders’ meeting. Before dividends may be paid out of the Company’s unconsolidated net income in any year, an amount at least equal to 5% of such net income must be allocated to the Company’s legal reserve until such reserve is at least equal to one-fifth of the par value of the Company’s issued share capital. If the Company’s share capital is reduced as a result of accumulated losses, no dividends may be paid until the capital is reconstituted or reduced by the amount of such losses. The Company may pay dividends out of available retained earnings from prior years, provided that, after such payment, the Company will have a legal reserve at least equal to the legally required minimum. No interim dividends may be approved or paid.</w:t>
      </w:r>
    </w:p>
    <w:p>
      <w:pPr>
        <w:spacing w:after="0" w:line="206"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Dividends will be paid in the manner and on the date specified in the shareholders’ resolution approving their payment (usually within 30 days from their annual general meeting). Dividends that are not collected within five years of the date on which they become payable are forfeited to the benefit of the Company. Holders of ADSs will be entitled to receive payments in respect of dividends on the underlying shares through BNY, as Depositary, in accordance with the Deposit Agreement.</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Voting Rights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Registered holders of the Company’s Ordinary Shares are entitled to one vote </w:t>
      </w:r>
      <w:r>
        <w:rPr>
          <w:rFonts w:ascii="Georgia" w:cs="Georgia" w:eastAsia="Georgia" w:hAnsi="Georgia"/>
          <w:sz w:val="18"/>
          <w:szCs w:val="18"/>
          <w:i w:val="1"/>
          <w:iCs w:val="1"/>
          <w:color w:val="auto"/>
        </w:rPr>
        <w:t>per</w:t>
      </w:r>
      <w:r>
        <w:rPr>
          <w:rFonts w:ascii="Georgia" w:cs="Georgia" w:eastAsia="Georgia" w:hAnsi="Georgia"/>
          <w:sz w:val="18"/>
          <w:szCs w:val="18"/>
          <w:color w:val="auto"/>
        </w:rPr>
        <w:t xml:space="preserve"> Ordinary Share.</w:t>
      </w:r>
    </w:p>
    <w:p>
      <w:pPr>
        <w:spacing w:after="0" w:line="202" w:lineRule="exact"/>
        <w:rPr>
          <w:sz w:val="20"/>
          <w:szCs w:val="20"/>
          <w:color w:val="auto"/>
        </w:rPr>
      </w:pPr>
    </w:p>
    <w:p>
      <w:pPr>
        <w:ind w:right="280"/>
        <w:spacing w:after="0" w:line="237" w:lineRule="auto"/>
        <w:rPr>
          <w:sz w:val="20"/>
          <w:szCs w:val="20"/>
          <w:color w:val="auto"/>
        </w:rPr>
      </w:pPr>
      <w:r>
        <w:rPr>
          <w:rFonts w:ascii="Georgia" w:cs="Georgia" w:eastAsia="Georgia" w:hAnsi="Georgia"/>
          <w:sz w:val="18"/>
          <w:szCs w:val="18"/>
          <w:color w:val="auto"/>
        </w:rPr>
        <w:t>As a registered shareholder, the Depositary (or its nominee) will be entitled to vote the Ordinary Shares underlying the ADSs. The Deposit Agreement requires the Depositary (or its nominee) to accept voting instructions from holders of ADSs and to execute such instructions to the extent permitted by law. Neither Italian law nor the Company’s By-laws limit the right of non-resident or foreign owners of the Company’s Ordinary Shares to hold or vote shares of the Company.</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Pre-emptive Rights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considerations. Those who exercise their preemptive rights, provided they make such request simultaneously, have a pre-emption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 -emptive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174" w:name="page175"/>
    <w:bookmarkEnd w:id="174"/>
    <w:p>
      <w:pPr>
        <w:spacing w:after="0"/>
        <w:rPr>
          <w:sz w:val="20"/>
          <w:szCs w:val="20"/>
          <w:color w:val="auto"/>
        </w:rPr>
      </w:pPr>
      <w:r>
        <w:rPr>
          <w:rFonts w:ascii="Georgia" w:cs="Georgia" w:eastAsia="Georgia" w:hAnsi="Georgia"/>
          <w:sz w:val="18"/>
          <w:szCs w:val="18"/>
          <w:b w:val="1"/>
          <w:bCs w:val="1"/>
          <w:color w:val="auto"/>
        </w:rPr>
        <w:t>Liquidation Rights</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if any,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II. AMERICAN DEPOSITARY SHARES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following description of the ADSs and certain material provisions of our corporate rules is a summary and does not purport to be complete. It is subject to, and qualified in its entirety by the Deposit Agreement (as defined below), the form of ADS, which contain the terms of the ADSs, and any applicable law, as amended from time to time. In the following description, an “Owner” is the person in whose name an ADS is registered on the books of the Depositary (as defined below).</w:t>
      </w:r>
    </w:p>
    <w:p>
      <w:pPr>
        <w:spacing w:after="0" w:line="205" w:lineRule="exact"/>
        <w:rPr>
          <w:sz w:val="20"/>
          <w:szCs w:val="20"/>
          <w:color w:val="auto"/>
        </w:rPr>
      </w:pPr>
    </w:p>
    <w:p>
      <w:pPr>
        <w:ind w:right="540"/>
        <w:spacing w:after="0" w:line="237" w:lineRule="auto"/>
        <w:rPr>
          <w:sz w:val="20"/>
          <w:szCs w:val="20"/>
          <w:color w:val="auto"/>
        </w:rPr>
      </w:pPr>
      <w:r>
        <w:rPr>
          <w:rFonts w:ascii="Georgia" w:cs="Georgia" w:eastAsia="Georgia" w:hAnsi="Georgia"/>
          <w:sz w:val="18"/>
          <w:szCs w:val="18"/>
          <w:color w:val="auto"/>
        </w:rPr>
        <w:t>A copy of the Deposit Agreement is attached to our annual report as Exhibit 4.1. Copies of the Deposit Agreement are also available for inspection at the offices of our Depositary.</w:t>
      </w:r>
    </w:p>
    <w:p>
      <w:pPr>
        <w:spacing w:after="0" w:line="204" w:lineRule="exact"/>
        <w:rPr>
          <w:sz w:val="20"/>
          <w:szCs w:val="20"/>
          <w:color w:val="auto"/>
        </w:rPr>
      </w:pPr>
    </w:p>
    <w:p>
      <w:pPr>
        <w:ind w:right="60"/>
        <w:spacing w:after="0" w:line="473" w:lineRule="auto"/>
        <w:rPr>
          <w:sz w:val="20"/>
          <w:szCs w:val="20"/>
          <w:color w:val="auto"/>
        </w:rPr>
      </w:pPr>
      <w:r>
        <w:rPr>
          <w:rFonts w:ascii="Georgia" w:cs="Georgia" w:eastAsia="Georgia" w:hAnsi="Georgia"/>
          <w:sz w:val="18"/>
          <w:szCs w:val="18"/>
          <w:color w:val="auto"/>
        </w:rPr>
        <w:t xml:space="preserve">We encourage you to read the Deposit Agreement, the ADS form and the applicable sections of our annual report for additional information. </w:t>
      </w:r>
      <w:r>
        <w:rPr>
          <w:rFonts w:ascii="Georgia" w:cs="Georgia" w:eastAsia="Georgia" w:hAnsi="Georgia"/>
          <w:sz w:val="18"/>
          <w:szCs w:val="18"/>
          <w:b w:val="1"/>
          <w:bCs w:val="1"/>
          <w:color w:val="auto"/>
        </w:rPr>
        <w:t>General</w:t>
      </w:r>
    </w:p>
    <w:p>
      <w:pPr>
        <w:spacing w:after="0" w:line="4" w:lineRule="exact"/>
        <w:rPr>
          <w:sz w:val="20"/>
          <w:szCs w:val="20"/>
          <w:color w:val="auto"/>
        </w:rPr>
      </w:pPr>
    </w:p>
    <w:p>
      <w:pPr>
        <w:ind w:right="440"/>
        <w:spacing w:after="0" w:line="237" w:lineRule="auto"/>
        <w:rPr>
          <w:sz w:val="20"/>
          <w:szCs w:val="20"/>
          <w:color w:val="auto"/>
        </w:rPr>
      </w:pPr>
      <w:r>
        <w:rPr>
          <w:rFonts w:ascii="Georgia" w:cs="Georgia" w:eastAsia="Georgia" w:hAnsi="Georgia"/>
          <w:sz w:val="18"/>
          <w:szCs w:val="18"/>
          <w:color w:val="auto"/>
        </w:rPr>
        <w:t>In the U.S., we trade ADSs representing our Ordinary Shares, which are evidenced by ADRs. Our ADSs, each representing one Ordinary Share, are traded on the Nasdaq Capital Market, under the ticker symbol GNTA.</w:t>
      </w:r>
    </w:p>
    <w:p>
      <w:pPr>
        <w:spacing w:after="0" w:line="204"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The Bank of New York Mellon acts as depositary for our ADSs (the “Depositary”). In its capacity, the Depositary will register and deliver the ADSs, each representing an ownership interest in one Ordinary Share deposited with the custodian, as agent of the Depositary, under the deposit agreement dated December 17, 2021, between us, the Depositary, and Owners and beneficial owners from time to time of the ADSs (the “Deposit Agreement”), and (ii) any other securities, cash or other property which may be held by the Depositary.</w:t>
      </w:r>
    </w:p>
    <w:p>
      <w:pPr>
        <w:spacing w:after="0" w:line="205"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The principal executive office of the Depositary and the office at which the ADSs will be administered is currently located at 240 Greenwich Street, New York, New York 10286, United States.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Voting</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7"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04" w:lineRule="exact"/>
        <w:rPr>
          <w:sz w:val="20"/>
          <w:szCs w:val="20"/>
          <w:color w:val="auto"/>
        </w:rPr>
      </w:pPr>
    </w:p>
    <w:p>
      <w:pPr>
        <w:jc w:val="both"/>
        <w:ind w:right="60"/>
        <w:spacing w:after="0" w:line="237" w:lineRule="auto"/>
        <w:rPr>
          <w:sz w:val="20"/>
          <w:szCs w:val="20"/>
          <w:color w:val="auto"/>
        </w:rPr>
      </w:pPr>
      <w:r>
        <w:rPr>
          <w:rFonts w:ascii="Georgia" w:cs="Georgia" w:eastAsia="Georgia" w:hAnsi="Georgia"/>
          <w:sz w:val="18"/>
          <w:szCs w:val="18"/>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9" w:right="399" w:bottom="1440" w:gutter="0" w:footer="0" w:header="0"/>
        </w:sectPr>
      </w:pPr>
    </w:p>
    <w:bookmarkStart w:id="175" w:name="page176"/>
    <w:bookmarkEnd w:id="175"/>
    <w:p>
      <w:pPr>
        <w:jc w:val="both"/>
        <w:ind w:right="180"/>
        <w:spacing w:after="0" w:line="237" w:lineRule="auto"/>
        <w:rPr>
          <w:sz w:val="20"/>
          <w:szCs w:val="20"/>
          <w:color w:val="auto"/>
        </w:rPr>
      </w:pPr>
      <w:r>
        <w:rPr>
          <w:rFonts w:ascii="Georgia" w:cs="Georgia" w:eastAsia="Georgia" w:hAnsi="Georgia"/>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Share Dividends and Other Distributions</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04"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i w:val="1"/>
          <w:iCs w:val="1"/>
          <w:color w:val="auto"/>
        </w:rPr>
        <w:t>Cash</w:t>
      </w:r>
      <w:r>
        <w:rPr>
          <w:rFonts w:ascii="Georgia" w:cs="Georgia" w:eastAsia="Georgia" w:hAnsi="Georgia"/>
          <w:sz w:val="18"/>
          <w:szCs w:val="18"/>
          <w:color w:val="auto"/>
        </w:rPr>
        <w:t>. The depositary will convert any cash dividend or other cash distribution we pay on the shares into U.S. dollars, if it can do so on a</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0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Before making a distribution, any withholding taxes, or other governmental charges that must be paid will be deducted.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i w:val="1"/>
          <w:iCs w:val="1"/>
          <w:color w:val="auto"/>
        </w:rPr>
        <w:t>Shares</w:t>
      </w:r>
      <w:r>
        <w:rPr>
          <w:rFonts w:ascii="Georgia" w:cs="Georgia" w:eastAsia="Georgia" w:hAnsi="Georgia"/>
          <w:sz w:val="18"/>
          <w:szCs w:val="18"/>
          <w:color w:val="auto"/>
        </w:rPr>
        <w:t>. The depositary may distribute additional ADSs representing any shares we distribute as a dividend or free distribution. The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i w:val="1"/>
          <w:iCs w:val="1"/>
          <w:color w:val="auto"/>
        </w:rPr>
        <w:t>Rights to purchase additional shares</w:t>
      </w:r>
      <w:r>
        <w:rPr>
          <w:rFonts w:ascii="Georgia" w:cs="Georgia" w:eastAsia="Georgia" w:hAnsi="Georgia"/>
          <w:sz w:val="18"/>
          <w:szCs w:val="18"/>
          <w:color w:val="auto"/>
        </w:rPr>
        <w:t>. If we offer holders of our securities any rights to subscribe for additional shares or any other rights, the</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207"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i w:val="1"/>
          <w:iCs w:val="1"/>
          <w:color w:val="auto"/>
        </w:rPr>
        <w:t>Other Distributions</w:t>
      </w:r>
      <w:r>
        <w:rPr>
          <w:rFonts w:ascii="Georgia" w:cs="Georgia" w:eastAsia="Georgia" w:hAnsi="Georgia"/>
          <w:sz w:val="18"/>
          <w:szCs w:val="18"/>
          <w:color w:val="auto"/>
        </w:rPr>
        <w:t>. The depositary will send to ADS holders anything else we distribute on deposited securities by any means it thinks is</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176" w:name="page177"/>
    <w:bookmarkEnd w:id="176"/>
    <w:p>
      <w:pPr>
        <w:jc w:val="both"/>
        <w:ind w:right="120"/>
        <w:spacing w:after="0" w:line="237" w:lineRule="auto"/>
        <w:rPr>
          <w:sz w:val="20"/>
          <w:szCs w:val="20"/>
          <w:color w:val="auto"/>
        </w:rPr>
      </w:pPr>
      <w:r>
        <w:rPr>
          <w:rFonts w:ascii="Georgia" w:cs="Georgia" w:eastAsia="Georgia" w:hAnsi="Georgia"/>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Procedures for Transmitting Notices, Reports and Proxy Soliciting Material</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Amendment and Termination</w:t>
      </w:r>
    </w:p>
    <w:p>
      <w:pPr>
        <w:spacing w:after="0" w:line="202" w:lineRule="exact"/>
        <w:rPr>
          <w:sz w:val="20"/>
          <w:szCs w:val="20"/>
          <w:color w:val="auto"/>
        </w:rPr>
      </w:pPr>
    </w:p>
    <w:p>
      <w:pPr>
        <w:spacing w:after="0" w:line="254" w:lineRule="auto"/>
        <w:rPr>
          <w:sz w:val="20"/>
          <w:szCs w:val="20"/>
          <w:color w:val="auto"/>
        </w:rPr>
      </w:pPr>
      <w:r>
        <w:rPr>
          <w:rFonts w:ascii="Georgia" w:cs="Georgia" w:eastAsia="Georgia" w:hAnsi="Georgia"/>
          <w:sz w:val="17"/>
          <w:szCs w:val="17"/>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the ADSs, to agree to the amendment and to be bound by the ADRs and the deposit agreement as amended.</w:t>
      </w:r>
    </w:p>
    <w:p>
      <w:pPr>
        <w:spacing w:after="0" w:line="193" w:lineRule="exact"/>
        <w:rPr>
          <w:sz w:val="20"/>
          <w:szCs w:val="20"/>
          <w:color w:val="auto"/>
        </w:rPr>
      </w:pPr>
    </w:p>
    <w:p>
      <w:pPr>
        <w:ind w:right="420"/>
        <w:spacing w:after="0" w:line="237" w:lineRule="auto"/>
        <w:rPr>
          <w:sz w:val="20"/>
          <w:szCs w:val="20"/>
          <w:color w:val="auto"/>
        </w:rPr>
      </w:pPr>
      <w:r>
        <w:rPr>
          <w:rFonts w:ascii="Georgia" w:cs="Georgia" w:eastAsia="Georgia" w:hAnsi="Georgia"/>
          <w:sz w:val="18"/>
          <w:szCs w:val="18"/>
          <w:color w:val="auto"/>
        </w:rPr>
        <w:t>The depositary will initiate termination of the deposit agreement if we instruct it to do so. The depositary may initiate termination of the deposit agreement if</w:t>
      </w:r>
    </w:p>
    <w:p>
      <w:pPr>
        <w:spacing w:after="0" w:line="204" w:lineRule="exact"/>
        <w:rPr>
          <w:sz w:val="20"/>
          <w:szCs w:val="20"/>
          <w:color w:val="auto"/>
        </w:rPr>
      </w:pPr>
    </w:p>
    <w:p>
      <w:pPr>
        <w:ind w:left="660" w:hanging="328"/>
        <w:spacing w:after="0" w:line="237" w:lineRule="auto"/>
        <w:tabs>
          <w:tab w:leader="none" w:pos="660" w:val="left"/>
        </w:tabs>
        <w:numPr>
          <w:ilvl w:val="0"/>
          <w:numId w:val="119"/>
        </w:numPr>
        <w:rPr>
          <w:rFonts w:ascii="Georgia" w:cs="Georgia" w:eastAsia="Georgia" w:hAnsi="Georgia"/>
          <w:sz w:val="18"/>
          <w:szCs w:val="18"/>
          <w:color w:val="auto"/>
        </w:rPr>
      </w:pPr>
      <w:r>
        <w:rPr>
          <w:rFonts w:ascii="Georgia" w:cs="Georgia" w:eastAsia="Georgia" w:hAnsi="Georgia"/>
          <w:sz w:val="18"/>
          <w:szCs w:val="18"/>
          <w:color w:val="auto"/>
        </w:rPr>
        <w:t>60 days have passed since the depositary told us it wants to resign but a successor depositary has not been appointed and accepted its appointment;</w:t>
      </w:r>
    </w:p>
    <w:p>
      <w:pPr>
        <w:spacing w:after="0" w:line="244" w:lineRule="exact"/>
        <w:rPr>
          <w:rFonts w:ascii="Georgia" w:cs="Georgia" w:eastAsia="Georgia" w:hAnsi="Georgia"/>
          <w:sz w:val="18"/>
          <w:szCs w:val="18"/>
          <w:color w:val="auto"/>
        </w:rPr>
      </w:pPr>
    </w:p>
    <w:p>
      <w:pPr>
        <w:ind w:left="660" w:right="120" w:hanging="328"/>
        <w:spacing w:after="0" w:line="237" w:lineRule="auto"/>
        <w:tabs>
          <w:tab w:leader="none" w:pos="660" w:val="left"/>
        </w:tabs>
        <w:numPr>
          <w:ilvl w:val="0"/>
          <w:numId w:val="119"/>
        </w:numPr>
        <w:rPr>
          <w:rFonts w:ascii="Georgia" w:cs="Georgia" w:eastAsia="Georgia" w:hAnsi="Georgia"/>
          <w:sz w:val="18"/>
          <w:szCs w:val="18"/>
          <w:color w:val="auto"/>
        </w:rPr>
      </w:pPr>
      <w:r>
        <w:rPr>
          <w:rFonts w:ascii="Georgia" w:cs="Georgia" w:eastAsia="Georgia" w:hAnsi="Georgia"/>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244" w:lineRule="exact"/>
        <w:rPr>
          <w:rFonts w:ascii="Georgia" w:cs="Georgia" w:eastAsia="Georgia" w:hAnsi="Georgia"/>
          <w:sz w:val="18"/>
          <w:szCs w:val="18"/>
          <w:color w:val="auto"/>
        </w:rPr>
      </w:pPr>
    </w:p>
    <w:p>
      <w:pPr>
        <w:ind w:left="660" w:right="500" w:hanging="328"/>
        <w:spacing w:after="0" w:line="237" w:lineRule="auto"/>
        <w:tabs>
          <w:tab w:leader="none" w:pos="660" w:val="left"/>
        </w:tabs>
        <w:numPr>
          <w:ilvl w:val="0"/>
          <w:numId w:val="119"/>
        </w:numPr>
        <w:rPr>
          <w:rFonts w:ascii="Georgia" w:cs="Georgia" w:eastAsia="Georgia" w:hAnsi="Georgia"/>
          <w:sz w:val="18"/>
          <w:szCs w:val="18"/>
          <w:color w:val="auto"/>
        </w:rPr>
      </w:pPr>
      <w:r>
        <w:rPr>
          <w:rFonts w:ascii="Georgia" w:cs="Georgia" w:eastAsia="Georgia" w:hAnsi="Georgia"/>
          <w:sz w:val="18"/>
          <w:szCs w:val="18"/>
          <w:color w:val="auto"/>
        </w:rPr>
        <w:t>we delist our shares from an exchange outside the United States on which they were listed and do not list the shares on another exchange outside the United States;</w:t>
      </w:r>
    </w:p>
    <w:p>
      <w:pPr>
        <w:spacing w:after="0" w:line="244" w:lineRule="exact"/>
        <w:rPr>
          <w:rFonts w:ascii="Georgia" w:cs="Georgia" w:eastAsia="Georgia" w:hAnsi="Georgia"/>
          <w:sz w:val="18"/>
          <w:szCs w:val="18"/>
          <w:color w:val="auto"/>
        </w:rPr>
      </w:pPr>
    </w:p>
    <w:p>
      <w:pPr>
        <w:ind w:left="660" w:right="720" w:hanging="328"/>
        <w:spacing w:after="0" w:line="237" w:lineRule="auto"/>
        <w:tabs>
          <w:tab w:leader="none" w:pos="660" w:val="left"/>
        </w:tabs>
        <w:numPr>
          <w:ilvl w:val="0"/>
          <w:numId w:val="119"/>
        </w:numPr>
        <w:rPr>
          <w:rFonts w:ascii="Georgia" w:cs="Georgia" w:eastAsia="Georgia" w:hAnsi="Georgia"/>
          <w:sz w:val="18"/>
          <w:szCs w:val="18"/>
          <w:color w:val="auto"/>
        </w:rPr>
      </w:pPr>
      <w:r>
        <w:rPr>
          <w:rFonts w:ascii="Georgia" w:cs="Georgia" w:eastAsia="Georgia" w:hAnsi="Georgia"/>
          <w:sz w:val="18"/>
          <w:szCs w:val="18"/>
          <w:color w:val="auto"/>
        </w:rPr>
        <w:t>the depositary has reason to believe the ADSs have become, or will become, ineligible for registration on Form F-6 under the Securities Act of 1933;</w:t>
      </w:r>
    </w:p>
    <w:p>
      <w:pPr>
        <w:spacing w:after="0" w:line="242" w:lineRule="exact"/>
        <w:rPr>
          <w:rFonts w:ascii="Georgia" w:cs="Georgia" w:eastAsia="Georgia" w:hAnsi="Georgia"/>
          <w:sz w:val="18"/>
          <w:szCs w:val="18"/>
          <w:color w:val="auto"/>
        </w:rPr>
      </w:pPr>
    </w:p>
    <w:p>
      <w:pPr>
        <w:ind w:left="660" w:hanging="328"/>
        <w:spacing w:after="0"/>
        <w:tabs>
          <w:tab w:leader="none" w:pos="660" w:val="left"/>
        </w:tabs>
        <w:numPr>
          <w:ilvl w:val="0"/>
          <w:numId w:val="119"/>
        </w:numPr>
        <w:rPr>
          <w:rFonts w:ascii="Georgia" w:cs="Georgia" w:eastAsia="Georgia" w:hAnsi="Georgia"/>
          <w:sz w:val="18"/>
          <w:szCs w:val="18"/>
          <w:color w:val="auto"/>
        </w:rPr>
      </w:pPr>
      <w:r>
        <w:rPr>
          <w:rFonts w:ascii="Georgia" w:cs="Georgia" w:eastAsia="Georgia" w:hAnsi="Georgia"/>
          <w:sz w:val="18"/>
          <w:szCs w:val="18"/>
          <w:color w:val="auto"/>
        </w:rPr>
        <w:t>we appear to be insolvent or enter insolvency proceedings;</w:t>
      </w:r>
    </w:p>
    <w:p>
      <w:pPr>
        <w:spacing w:after="0" w:line="240" w:lineRule="exact"/>
        <w:rPr>
          <w:rFonts w:ascii="Georgia" w:cs="Georgia" w:eastAsia="Georgia" w:hAnsi="Georgia"/>
          <w:sz w:val="18"/>
          <w:szCs w:val="18"/>
          <w:color w:val="auto"/>
        </w:rPr>
      </w:pPr>
    </w:p>
    <w:p>
      <w:pPr>
        <w:ind w:left="660" w:hanging="328"/>
        <w:spacing w:after="0"/>
        <w:tabs>
          <w:tab w:leader="none" w:pos="660" w:val="left"/>
        </w:tabs>
        <w:numPr>
          <w:ilvl w:val="0"/>
          <w:numId w:val="119"/>
        </w:numPr>
        <w:rPr>
          <w:rFonts w:ascii="Georgia" w:cs="Georgia" w:eastAsia="Georgia" w:hAnsi="Georgia"/>
          <w:sz w:val="18"/>
          <w:szCs w:val="18"/>
          <w:color w:val="auto"/>
        </w:rPr>
      </w:pPr>
      <w:r>
        <w:rPr>
          <w:rFonts w:ascii="Georgia" w:cs="Georgia" w:eastAsia="Georgia" w:hAnsi="Georgia"/>
          <w:sz w:val="18"/>
          <w:szCs w:val="18"/>
          <w:color w:val="auto"/>
        </w:rPr>
        <w:t>all or substantially all the value of the deposited securities has been distributed either in cash or in the form of securities;</w:t>
      </w:r>
    </w:p>
    <w:p>
      <w:pPr>
        <w:spacing w:after="0" w:line="240" w:lineRule="exact"/>
        <w:rPr>
          <w:rFonts w:ascii="Georgia" w:cs="Georgia" w:eastAsia="Georgia" w:hAnsi="Georgia"/>
          <w:sz w:val="18"/>
          <w:szCs w:val="18"/>
          <w:color w:val="auto"/>
        </w:rPr>
      </w:pPr>
    </w:p>
    <w:p>
      <w:pPr>
        <w:ind w:left="660" w:hanging="328"/>
        <w:spacing w:after="0"/>
        <w:tabs>
          <w:tab w:leader="none" w:pos="660" w:val="left"/>
        </w:tabs>
        <w:numPr>
          <w:ilvl w:val="0"/>
          <w:numId w:val="119"/>
        </w:numPr>
        <w:rPr>
          <w:rFonts w:ascii="Georgia" w:cs="Georgia" w:eastAsia="Georgia" w:hAnsi="Georgia"/>
          <w:sz w:val="18"/>
          <w:szCs w:val="18"/>
          <w:color w:val="auto"/>
        </w:rPr>
      </w:pPr>
      <w:r>
        <w:rPr>
          <w:rFonts w:ascii="Georgia" w:cs="Georgia" w:eastAsia="Georgia" w:hAnsi="Georgia"/>
          <w:sz w:val="18"/>
          <w:szCs w:val="18"/>
          <w:color w:val="auto"/>
        </w:rPr>
        <w:t>there are no deposited securities underlying the ADSs or the underlying deposited securities have become apparently worthless; or</w:t>
      </w:r>
    </w:p>
    <w:p>
      <w:pPr>
        <w:spacing w:after="0" w:line="240" w:lineRule="exact"/>
        <w:rPr>
          <w:rFonts w:ascii="Georgia" w:cs="Georgia" w:eastAsia="Georgia" w:hAnsi="Georgia"/>
          <w:sz w:val="18"/>
          <w:szCs w:val="18"/>
          <w:color w:val="auto"/>
        </w:rPr>
      </w:pPr>
    </w:p>
    <w:p>
      <w:pPr>
        <w:ind w:left="660" w:hanging="328"/>
        <w:spacing w:after="0"/>
        <w:tabs>
          <w:tab w:leader="none" w:pos="660" w:val="left"/>
        </w:tabs>
        <w:numPr>
          <w:ilvl w:val="0"/>
          <w:numId w:val="119"/>
        </w:numPr>
        <w:rPr>
          <w:rFonts w:ascii="Georgia" w:cs="Georgia" w:eastAsia="Georgia" w:hAnsi="Georgia"/>
          <w:sz w:val="18"/>
          <w:szCs w:val="18"/>
          <w:color w:val="auto"/>
        </w:rPr>
      </w:pPr>
      <w:r>
        <w:rPr>
          <w:rFonts w:ascii="Georgia" w:cs="Georgia" w:eastAsia="Georgia" w:hAnsi="Georgia"/>
          <w:sz w:val="18"/>
          <w:szCs w:val="18"/>
          <w:color w:val="auto"/>
        </w:rPr>
        <w:t>there has been a replacement of deposited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77" w:name="page178"/>
    <w:bookmarkEnd w:id="177"/>
    <w:p>
      <w:pPr>
        <w:jc w:val="both"/>
        <w:ind w:right="40"/>
        <w:spacing w:after="0" w:line="237" w:lineRule="auto"/>
        <w:rPr>
          <w:sz w:val="20"/>
          <w:szCs w:val="20"/>
          <w:color w:val="auto"/>
        </w:rPr>
      </w:pPr>
      <w:r>
        <w:rPr>
          <w:rFonts w:ascii="Georgia" w:cs="Georgia" w:eastAsia="Georgia" w:hAnsi="Georgia"/>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20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Withdrawal and Cancellation</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06"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Limitations on Obligations and Liability of the Company and Depositary</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deposit agreement expressly limits our obligations and the obligations of the depositary. It also limits our liability and the liability of the depositary. We and the depositary:</w:t>
      </w:r>
    </w:p>
    <w:p>
      <w:pPr>
        <w:spacing w:after="0" w:line="204" w:lineRule="exact"/>
        <w:rPr>
          <w:sz w:val="20"/>
          <w:szCs w:val="20"/>
          <w:color w:val="auto"/>
        </w:rPr>
      </w:pPr>
    </w:p>
    <w:p>
      <w:pPr>
        <w:ind w:left="1140" w:right="340" w:hanging="522"/>
        <w:spacing w:after="0" w:line="237" w:lineRule="auto"/>
        <w:tabs>
          <w:tab w:leader="none" w:pos="1140" w:val="left"/>
        </w:tabs>
        <w:numPr>
          <w:ilvl w:val="0"/>
          <w:numId w:val="120"/>
        </w:numPr>
        <w:rPr>
          <w:rFonts w:ascii="Georgia" w:cs="Georgia" w:eastAsia="Georgia" w:hAnsi="Georgia"/>
          <w:sz w:val="18"/>
          <w:szCs w:val="18"/>
          <w:color w:val="auto"/>
        </w:rPr>
      </w:pPr>
      <w:r>
        <w:rPr>
          <w:rFonts w:ascii="Georgia" w:cs="Georgia" w:eastAsia="Georgia" w:hAnsi="Georgia"/>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244" w:lineRule="exact"/>
        <w:rPr>
          <w:rFonts w:ascii="Georgia" w:cs="Georgia" w:eastAsia="Georgia" w:hAnsi="Georgia"/>
          <w:sz w:val="18"/>
          <w:szCs w:val="18"/>
          <w:color w:val="auto"/>
        </w:rPr>
      </w:pPr>
    </w:p>
    <w:p>
      <w:pPr>
        <w:ind w:left="1140" w:right="140" w:hanging="522"/>
        <w:spacing w:after="0" w:line="237" w:lineRule="auto"/>
        <w:tabs>
          <w:tab w:leader="none" w:pos="1140" w:val="left"/>
        </w:tabs>
        <w:numPr>
          <w:ilvl w:val="0"/>
          <w:numId w:val="120"/>
        </w:numPr>
        <w:rPr>
          <w:rFonts w:ascii="Georgia" w:cs="Georgia" w:eastAsia="Georgia" w:hAnsi="Georgia"/>
          <w:sz w:val="18"/>
          <w:szCs w:val="18"/>
          <w:color w:val="auto"/>
        </w:rPr>
      </w:pPr>
      <w:r>
        <w:rPr>
          <w:rFonts w:ascii="Georgia" w:cs="Georgia" w:eastAsia="Georgia" w:hAnsi="Georgia"/>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242" w:lineRule="exact"/>
        <w:rPr>
          <w:rFonts w:ascii="Georgia" w:cs="Georgia" w:eastAsia="Georgia" w:hAnsi="Georgia"/>
          <w:sz w:val="18"/>
          <w:szCs w:val="18"/>
          <w:color w:val="auto"/>
        </w:rPr>
      </w:pPr>
    </w:p>
    <w:p>
      <w:pPr>
        <w:ind w:left="1140" w:hanging="522"/>
        <w:spacing w:after="0"/>
        <w:tabs>
          <w:tab w:leader="none" w:pos="1140" w:val="left"/>
        </w:tabs>
        <w:numPr>
          <w:ilvl w:val="0"/>
          <w:numId w:val="120"/>
        </w:numPr>
        <w:rPr>
          <w:rFonts w:ascii="Georgia" w:cs="Georgia" w:eastAsia="Georgia" w:hAnsi="Georgia"/>
          <w:sz w:val="18"/>
          <w:szCs w:val="18"/>
          <w:color w:val="auto"/>
        </w:rPr>
      </w:pPr>
      <w:r>
        <w:rPr>
          <w:rFonts w:ascii="Georgia" w:cs="Georgia" w:eastAsia="Georgia" w:hAnsi="Georgia"/>
          <w:sz w:val="18"/>
          <w:szCs w:val="18"/>
          <w:color w:val="auto"/>
        </w:rPr>
        <w:t>are not liable if we or it exercises discretion permitted under the deposit agreement;</w:t>
      </w:r>
    </w:p>
    <w:p>
      <w:pPr>
        <w:spacing w:after="0" w:line="282" w:lineRule="exact"/>
        <w:rPr>
          <w:rFonts w:ascii="Georgia" w:cs="Georgia" w:eastAsia="Georgia" w:hAnsi="Georgia"/>
          <w:sz w:val="18"/>
          <w:szCs w:val="18"/>
          <w:color w:val="auto"/>
        </w:rPr>
      </w:pPr>
    </w:p>
    <w:p>
      <w:pPr>
        <w:jc w:val="both"/>
        <w:ind w:left="1140" w:right="240" w:hanging="522"/>
        <w:spacing w:after="0" w:line="237" w:lineRule="auto"/>
        <w:tabs>
          <w:tab w:leader="none" w:pos="1140" w:val="left"/>
        </w:tabs>
        <w:numPr>
          <w:ilvl w:val="0"/>
          <w:numId w:val="120"/>
        </w:numPr>
        <w:rPr>
          <w:rFonts w:ascii="Georgia" w:cs="Georgia" w:eastAsia="Georgia" w:hAnsi="Georgia"/>
          <w:sz w:val="18"/>
          <w:szCs w:val="18"/>
          <w:color w:val="auto"/>
        </w:rPr>
      </w:pPr>
      <w:r>
        <w:rPr>
          <w:rFonts w:ascii="Georgia" w:cs="Georgia" w:eastAsia="Georgia" w:hAnsi="Georgia"/>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44" w:lineRule="exact"/>
        <w:rPr>
          <w:rFonts w:ascii="Georgia" w:cs="Georgia" w:eastAsia="Georgia" w:hAnsi="Georgia"/>
          <w:sz w:val="18"/>
          <w:szCs w:val="18"/>
          <w:color w:val="auto"/>
        </w:rPr>
      </w:pPr>
    </w:p>
    <w:p>
      <w:pPr>
        <w:ind w:left="1140" w:right="240" w:hanging="522"/>
        <w:spacing w:after="0" w:line="237" w:lineRule="auto"/>
        <w:tabs>
          <w:tab w:leader="none" w:pos="1140" w:val="left"/>
        </w:tabs>
        <w:numPr>
          <w:ilvl w:val="0"/>
          <w:numId w:val="120"/>
        </w:numPr>
        <w:rPr>
          <w:rFonts w:ascii="Georgia" w:cs="Georgia" w:eastAsia="Georgia" w:hAnsi="Georgia"/>
          <w:sz w:val="18"/>
          <w:szCs w:val="18"/>
          <w:color w:val="auto"/>
        </w:rPr>
      </w:pPr>
      <w:r>
        <w:rPr>
          <w:rFonts w:ascii="Georgia" w:cs="Georgia" w:eastAsia="Georgia" w:hAnsi="Georgia"/>
          <w:sz w:val="18"/>
          <w:szCs w:val="18"/>
          <w:color w:val="auto"/>
        </w:rPr>
        <w:t>have no obligation to become involved in a lawsuit or other proceeding related to the ADSs or the deposit agreement on your behalf or on behalf of any other person;</w:t>
      </w:r>
    </w:p>
    <w:p>
      <w:pPr>
        <w:spacing w:after="0" w:line="244" w:lineRule="exact"/>
        <w:rPr>
          <w:rFonts w:ascii="Georgia" w:cs="Georgia" w:eastAsia="Georgia" w:hAnsi="Georgia"/>
          <w:sz w:val="18"/>
          <w:szCs w:val="18"/>
          <w:color w:val="auto"/>
        </w:rPr>
      </w:pPr>
    </w:p>
    <w:p>
      <w:pPr>
        <w:ind w:left="1140" w:right="120" w:hanging="522"/>
        <w:spacing w:after="0" w:line="237" w:lineRule="auto"/>
        <w:tabs>
          <w:tab w:leader="none" w:pos="1140" w:val="left"/>
        </w:tabs>
        <w:numPr>
          <w:ilvl w:val="0"/>
          <w:numId w:val="120"/>
        </w:numPr>
        <w:rPr>
          <w:rFonts w:ascii="Georgia" w:cs="Georgia" w:eastAsia="Georgia" w:hAnsi="Georgia"/>
          <w:sz w:val="18"/>
          <w:szCs w:val="18"/>
          <w:color w:val="auto"/>
        </w:rPr>
      </w:pPr>
      <w:r>
        <w:rPr>
          <w:rFonts w:ascii="Georgia" w:cs="Georgia" w:eastAsia="Georgia" w:hAnsi="Georgia"/>
          <w:sz w:val="18"/>
          <w:szCs w:val="18"/>
          <w:color w:val="auto"/>
        </w:rPr>
        <w:t>may rely upon any documents we believe or it believes in good faith to be genuine and to have been signed or presented by the proper person;</w:t>
      </w:r>
    </w:p>
    <w:p>
      <w:pPr>
        <w:spacing w:after="0" w:line="2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are not liable for the acts or omissions of any securities depository, clearing agency or settlement system; and</w:t>
      </w:r>
    </w:p>
    <w:p>
      <w:pPr>
        <w:spacing w:after="0" w:line="257" w:lineRule="exact"/>
        <w:rPr>
          <w:sz w:val="20"/>
          <w:szCs w:val="20"/>
          <w:color w:val="auto"/>
        </w:rPr>
      </w:pPr>
    </w:p>
    <w:p>
      <w:pPr>
        <w:ind w:left="1140" w:right="240" w:hanging="522"/>
        <w:spacing w:after="0" w:line="237" w:lineRule="auto"/>
        <w:tabs>
          <w:tab w:leader="none" w:pos="1140" w:val="left"/>
        </w:tabs>
        <w:numPr>
          <w:ilvl w:val="0"/>
          <w:numId w:val="121"/>
        </w:numPr>
        <w:rPr>
          <w:rFonts w:ascii="Georgia" w:cs="Georgia" w:eastAsia="Georgia" w:hAnsi="Georgia"/>
          <w:sz w:val="18"/>
          <w:szCs w:val="18"/>
          <w:color w:val="auto"/>
        </w:rPr>
      </w:pPr>
      <w:r>
        <w:rPr>
          <w:rFonts w:ascii="Georgia" w:cs="Georgia" w:eastAsia="Georgia" w:hAnsi="Georgia"/>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In the deposit agreement, we and the depositary agree to indemnify each other under certain circumstances.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78" w:name="page179"/>
    <w:bookmarkEnd w:id="178"/>
    <w:p>
      <w:pPr>
        <w:jc w:val="right"/>
        <w:spacing w:after="0"/>
        <w:rPr>
          <w:sz w:val="20"/>
          <w:szCs w:val="20"/>
          <w:color w:val="auto"/>
        </w:rPr>
      </w:pPr>
      <w:r>
        <w:rPr>
          <w:rFonts w:ascii="Georgia" w:cs="Georgia" w:eastAsia="Georgia" w:hAnsi="Georgia"/>
          <w:sz w:val="18"/>
          <w:szCs w:val="18"/>
          <w:b w:val="1"/>
          <w:bCs w:val="1"/>
          <w:color w:val="auto"/>
        </w:rPr>
        <w:t>Exhibit 4.3</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UNDERWRITER WARRANT TO PURCHASE AMERICAN DEPOSITARY SHARES</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For the Purchase of up to</w:t>
      </w:r>
    </w:p>
    <w:p>
      <w:pPr>
        <w:spacing w:after="0" w:line="202" w:lineRule="exact"/>
        <w:rPr>
          <w:sz w:val="20"/>
          <w:szCs w:val="20"/>
          <w:color w:val="auto"/>
        </w:rPr>
      </w:pPr>
    </w:p>
    <w:p>
      <w:pPr>
        <w:jc w:val="both"/>
        <w:ind w:left="4040" w:right="4040" w:firstLine="66"/>
        <w:spacing w:after="0" w:line="237" w:lineRule="auto"/>
        <w:tabs>
          <w:tab w:leader="none" w:pos="4366" w:val="left"/>
        </w:tabs>
        <w:numPr>
          <w:ilvl w:val="0"/>
          <w:numId w:val="122"/>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 American Depositary Shares Representing [ ]Ordinary Shares</w:t>
      </w:r>
    </w:p>
    <w:p>
      <w:pPr>
        <w:spacing w:after="0" w:line="1" w:lineRule="exact"/>
        <w:rPr>
          <w:rFonts w:ascii="Georgia" w:cs="Georgia" w:eastAsia="Georgia" w:hAnsi="Georgia"/>
          <w:sz w:val="18"/>
          <w:szCs w:val="18"/>
          <w:b w:val="1"/>
          <w:bCs w:val="1"/>
          <w:color w:val="auto"/>
        </w:rPr>
      </w:pPr>
    </w:p>
    <w:p>
      <w:pPr>
        <w:ind w:left="5540"/>
        <w:spacing w:after="0" w:line="238" w:lineRule="auto"/>
        <w:rPr>
          <w:rFonts w:ascii="Georgia" w:cs="Georgia" w:eastAsia="Georgia" w:hAnsi="Georgia"/>
          <w:sz w:val="18"/>
          <w:szCs w:val="18"/>
          <w:b w:val="1"/>
          <w:bCs w:val="1"/>
          <w:color w:val="auto"/>
        </w:rPr>
      </w:pPr>
      <w:r>
        <w:rPr>
          <w:rFonts w:ascii="Georgia" w:cs="Georgia" w:eastAsia="Georgia" w:hAnsi="Georgia"/>
          <w:sz w:val="18"/>
          <w:szCs w:val="18"/>
          <w:b w:val="1"/>
          <w:bCs w:val="1"/>
          <w:color w:val="auto"/>
        </w:rPr>
        <w:t>of</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Genenta Science S.p.A.</w:t>
      </w:r>
    </w:p>
    <w:p>
      <w:pPr>
        <w:jc w:val="center"/>
        <w:spacing w:after="0" w:line="238" w:lineRule="auto"/>
        <w:rPr>
          <w:sz w:val="20"/>
          <w:szCs w:val="20"/>
          <w:color w:val="auto"/>
        </w:rPr>
      </w:pPr>
      <w:r>
        <w:rPr>
          <w:rFonts w:ascii="Georgia" w:cs="Georgia" w:eastAsia="Georgia" w:hAnsi="Georgia"/>
          <w:sz w:val="18"/>
          <w:szCs w:val="18"/>
          <w:b w:val="1"/>
          <w:bCs w:val="1"/>
          <w:color w:val="auto"/>
        </w:rPr>
        <w:t>(A Republic of Italy Corporation)</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Section 1. </w:t>
      </w:r>
      <w:r>
        <w:rPr>
          <w:rFonts w:ascii="Georgia" w:cs="Georgia" w:eastAsia="Georgia" w:hAnsi="Georgia"/>
          <w:sz w:val="18"/>
          <w:szCs w:val="18"/>
          <w:i w:val="1"/>
          <w:iCs w:val="1"/>
          <w:color w:val="auto"/>
        </w:rPr>
        <w:t>Underwriter Warrant.</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THIS CERTIFIES THAT, in consideration of duly paid consideration by or on behalf of </w:t>
      </w:r>
      <w:r>
        <w:rPr>
          <w:rFonts w:ascii="Georgia" w:cs="Georgia" w:eastAsia="Georgia" w:hAnsi="Georgia"/>
          <w:sz w:val="18"/>
          <w:szCs w:val="18"/>
          <w:b w:val="1"/>
          <w:bCs w:val="1"/>
          <w:color w:val="auto"/>
        </w:rPr>
        <w:t>[ ]</w:t>
      </w:r>
      <w:r>
        <w:rPr>
          <w:rFonts w:ascii="Georgia" w:cs="Georgia" w:eastAsia="Georgia" w:hAnsi="Georgia"/>
          <w:sz w:val="18"/>
          <w:szCs w:val="18"/>
          <w:color w:val="auto"/>
        </w:rPr>
        <w:t xml:space="preserve"> (“</w:t>
      </w:r>
      <w:r>
        <w:rPr>
          <w:rFonts w:ascii="Georgia" w:cs="Georgia" w:eastAsia="Georgia" w:hAnsi="Georgia"/>
          <w:sz w:val="18"/>
          <w:szCs w:val="18"/>
          <w:b w:val="1"/>
          <w:bCs w:val="1"/>
          <w:color w:val="auto"/>
        </w:rPr>
        <w:t>Holder</w:t>
      </w:r>
      <w:r>
        <w:rPr>
          <w:rFonts w:ascii="Georgia" w:cs="Georgia" w:eastAsia="Georgia" w:hAnsi="Georgia"/>
          <w:sz w:val="18"/>
          <w:szCs w:val="18"/>
          <w:color w:val="auto"/>
        </w:rPr>
        <w:t>”), as registered owner of this Underwriter Warrant, to Genenta Science S.p.A. (“</w:t>
      </w:r>
      <w:r>
        <w:rPr>
          <w:rFonts w:ascii="Georgia" w:cs="Georgia" w:eastAsia="Georgia" w:hAnsi="Georgia"/>
          <w:sz w:val="18"/>
          <w:szCs w:val="18"/>
          <w:b w:val="1"/>
          <w:bCs w:val="1"/>
          <w:color w:val="auto"/>
        </w:rPr>
        <w:t>Company</w:t>
      </w:r>
      <w:r>
        <w:rPr>
          <w:rFonts w:ascii="Georgia" w:cs="Georgia" w:eastAsia="Georgia" w:hAnsi="Georgia"/>
          <w:sz w:val="18"/>
          <w:szCs w:val="18"/>
          <w:color w:val="auto"/>
        </w:rPr>
        <w:t>”), Holder is entitled to subscribe for, purchase and receive, in whole or in part, up to [ ] ([ ]) American Depositary Shares (“</w:t>
      </w:r>
      <w:r>
        <w:rPr>
          <w:rFonts w:ascii="Georgia" w:cs="Georgia" w:eastAsia="Georgia" w:hAnsi="Georgia"/>
          <w:sz w:val="18"/>
          <w:szCs w:val="18"/>
          <w:b w:val="1"/>
          <w:bCs w:val="1"/>
          <w:color w:val="auto"/>
        </w:rPr>
        <w:t>Shares</w:t>
      </w:r>
      <w:r>
        <w:rPr>
          <w:rFonts w:ascii="Georgia" w:cs="Georgia" w:eastAsia="Georgia" w:hAnsi="Georgia"/>
          <w:sz w:val="18"/>
          <w:szCs w:val="18"/>
          <w:color w:val="auto"/>
        </w:rPr>
        <w:t>”), each Share representing one ordinary share of the Company at any time on or after [ ], 2022 (the “</w:t>
      </w:r>
      <w:r>
        <w:rPr>
          <w:rFonts w:ascii="Georgia" w:cs="Georgia" w:eastAsia="Georgia" w:hAnsi="Georgia"/>
          <w:sz w:val="18"/>
          <w:szCs w:val="18"/>
          <w:b w:val="1"/>
          <w:bCs w:val="1"/>
          <w:color w:val="auto"/>
        </w:rPr>
        <w:t>Commencement Date</w:t>
      </w:r>
      <w:r>
        <w:rPr>
          <w:rFonts w:ascii="Georgia" w:cs="Georgia" w:eastAsia="Georgia" w:hAnsi="Georgia"/>
          <w:sz w:val="18"/>
          <w:szCs w:val="18"/>
          <w:color w:val="auto"/>
        </w:rPr>
        <w:t>”) and on or prior to 5:00 p.m. (New York City time) on [ ], 2026 (the “</w:t>
      </w:r>
      <w:r>
        <w:rPr>
          <w:rFonts w:ascii="Georgia" w:cs="Georgia" w:eastAsia="Georgia" w:hAnsi="Georgia"/>
          <w:sz w:val="18"/>
          <w:szCs w:val="18"/>
          <w:b w:val="1"/>
          <w:bCs w:val="1"/>
          <w:color w:val="auto"/>
        </w:rPr>
        <w:t>Expiration Date</w:t>
      </w:r>
      <w:r>
        <w:rPr>
          <w:rFonts w:ascii="Georgia" w:cs="Georgia" w:eastAsia="Georgia" w:hAnsi="Georgia"/>
          <w:sz w:val="18"/>
          <w:szCs w:val="18"/>
          <w:color w:val="auto"/>
        </w:rPr>
        <w:t xml:space="preserve">”) but not thereafter. If the Expiration Date is a day on which banking institutions are authorized by law to close, then this Underwriter Warrant may be exercised on the next succeeding day which is not such a day in accordance with the terms herein. During the period ending on the Expiration Date, the Company agrees not to take any action that would terminate the Underwriter Warrant. This Underwriter Warrant is initially exercisable at $[ ] per share purchased (125% of the initial public offering price per share); </w:t>
      </w:r>
      <w:r>
        <w:rPr>
          <w:rFonts w:ascii="Georgia" w:cs="Georgia" w:eastAsia="Georgia" w:hAnsi="Georgia"/>
          <w:sz w:val="18"/>
          <w:szCs w:val="18"/>
          <w:i w:val="1"/>
          <w:iCs w:val="1"/>
          <w:color w:val="auto"/>
        </w:rPr>
        <w:t>provided, however</w:t>
      </w:r>
      <w:r>
        <w:rPr>
          <w:rFonts w:ascii="Georgia" w:cs="Georgia" w:eastAsia="Georgia" w:hAnsi="Georgia"/>
          <w:sz w:val="18"/>
          <w:szCs w:val="18"/>
          <w:color w:val="auto"/>
        </w:rPr>
        <w:t>, that upon the occurrence of any of the events specified in Section 5 hereof, the rights granted by this Underwriter Warrant, including the Exercise Price and the number of Shares to be received upon such exercise, shall be adjusted as therein specified. The term “Exercise Price” shall mean the initial exercise price or the adjusted exercise price, depending on the context.</w:t>
      </w: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Section 2. </w:t>
      </w:r>
      <w:r>
        <w:rPr>
          <w:rFonts w:ascii="Georgia" w:cs="Georgia" w:eastAsia="Georgia" w:hAnsi="Georgia"/>
          <w:sz w:val="18"/>
          <w:szCs w:val="18"/>
          <w:i w:val="1"/>
          <w:iCs w:val="1"/>
          <w:color w:val="auto"/>
        </w:rPr>
        <w:t>Exercise.</w:t>
      </w:r>
    </w:p>
    <w:p>
      <w:pPr>
        <w:spacing w:after="0" w:line="202" w:lineRule="exact"/>
        <w:rPr>
          <w:sz w:val="20"/>
          <w:szCs w:val="20"/>
          <w:color w:val="auto"/>
        </w:rPr>
      </w:pPr>
    </w:p>
    <w:p>
      <w:pPr>
        <w:ind w:left="20" w:right="160"/>
        <w:spacing w:after="0" w:line="237" w:lineRule="auto"/>
        <w:rPr>
          <w:sz w:val="20"/>
          <w:szCs w:val="20"/>
          <w:color w:val="auto"/>
        </w:rPr>
      </w:pPr>
      <w:r>
        <w:rPr>
          <w:rFonts w:ascii="Georgia" w:cs="Georgia" w:eastAsia="Georgia" w:hAnsi="Georgia"/>
          <w:sz w:val="18"/>
          <w:szCs w:val="18"/>
          <w:color w:val="auto"/>
        </w:rPr>
        <w:t xml:space="preserve">Section 2.1 </w:t>
      </w:r>
      <w:r>
        <w:rPr>
          <w:rFonts w:ascii="Georgia" w:cs="Georgia" w:eastAsia="Georgia" w:hAnsi="Georgia"/>
          <w:sz w:val="18"/>
          <w:szCs w:val="18"/>
          <w:i w:val="1"/>
          <w:iCs w:val="1"/>
          <w:color w:val="auto"/>
        </w:rPr>
        <w:t>Exercise Form.</w:t>
      </w:r>
      <w:r>
        <w:rPr>
          <w:rFonts w:ascii="Georgia" w:cs="Georgia" w:eastAsia="Georgia" w:hAnsi="Georgia"/>
          <w:sz w:val="18"/>
          <w:szCs w:val="18"/>
          <w:color w:val="auto"/>
        </w:rPr>
        <w:t xml:space="preserve"> In order to exercise this Underwriter Warrant, the exercise form attached hereto must be duly executed and completed and delivered to the Company, together with the Exercise Price in cash or by certified check or official bank check for the Shares being purchased. If the subscription rights represented hereby shall not be exercised at or before 5:00 p.m., Eastern time, on the Expiration Date, this Underwriter Warrant shall become and be void without further force or effect, and all rights represented hereby shall cease and expire.</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Section 2.2 </w:t>
      </w:r>
      <w:r>
        <w:rPr>
          <w:rFonts w:ascii="Georgia" w:cs="Georgia" w:eastAsia="Georgia" w:hAnsi="Georgia"/>
          <w:sz w:val="18"/>
          <w:szCs w:val="18"/>
          <w:i w:val="1"/>
          <w:iCs w:val="1"/>
          <w:color w:val="auto"/>
        </w:rPr>
        <w:t>Conversion Right.</w:t>
      </w:r>
    </w:p>
    <w:p>
      <w:pPr>
        <w:spacing w:after="0" w:line="202" w:lineRule="exact"/>
        <w:rPr>
          <w:sz w:val="20"/>
          <w:szCs w:val="20"/>
          <w:color w:val="auto"/>
        </w:rPr>
      </w:pPr>
    </w:p>
    <w:p>
      <w:pPr>
        <w:ind w:left="40" w:right="60"/>
        <w:spacing w:after="0" w:line="251" w:lineRule="auto"/>
        <w:rPr>
          <w:sz w:val="20"/>
          <w:szCs w:val="20"/>
          <w:color w:val="auto"/>
        </w:rPr>
      </w:pPr>
      <w:r>
        <w:rPr>
          <w:rFonts w:ascii="Georgia" w:cs="Georgia" w:eastAsia="Georgia" w:hAnsi="Georgia"/>
          <w:sz w:val="17"/>
          <w:szCs w:val="17"/>
          <w:color w:val="auto"/>
        </w:rPr>
        <w:t xml:space="preserve">Section 2.2.1 </w:t>
      </w:r>
      <w:r>
        <w:rPr>
          <w:rFonts w:ascii="Georgia" w:cs="Georgia" w:eastAsia="Georgia" w:hAnsi="Georgia"/>
          <w:sz w:val="17"/>
          <w:szCs w:val="17"/>
          <w:i w:val="1"/>
          <w:iCs w:val="1"/>
          <w:color w:val="auto"/>
        </w:rPr>
        <w:t>Determination of Amount</w:t>
      </w:r>
      <w:r>
        <w:rPr>
          <w:rFonts w:ascii="Georgia" w:cs="Georgia" w:eastAsia="Georgia" w:hAnsi="Georgia"/>
          <w:sz w:val="17"/>
          <w:szCs w:val="17"/>
          <w:color w:val="auto"/>
        </w:rPr>
        <w:t>. In lieu of the payment of the Exercise Price in the manner required by Section 2.1, the Holder shall have the right (but not the obligation) to convert any exercisable but unexercised portion of this Underwriter Warrant into Shares (“Conversion Right”) as follows. Upon exercise of the Conversion Right, the Company shall deliver to the Holder (without payment by the Holder of any of the Exercise Price in cash other than for any amount required by Italian law with respect to the nominal equity capital contribution (</w:t>
      </w:r>
      <w:r>
        <w:rPr>
          <w:rFonts w:ascii="Georgia" w:cs="Georgia" w:eastAsia="Georgia" w:hAnsi="Georgia"/>
          <w:sz w:val="17"/>
          <w:szCs w:val="17"/>
          <w:i w:val="1"/>
          <w:iCs w:val="1"/>
          <w:color w:val="auto"/>
        </w:rPr>
        <w:t>imputazione a capitale sociale)</w:t>
      </w:r>
      <w:r>
        <w:rPr>
          <w:rFonts w:ascii="Georgia" w:cs="Georgia" w:eastAsia="Georgia" w:hAnsi="Georgia"/>
          <w:sz w:val="17"/>
          <w:szCs w:val="17"/>
          <w:color w:val="auto"/>
        </w:rPr>
        <w:t xml:space="preserve"> of the Shares to be issued upon exercise of the Conversion Right)) that number of Shares equal to the quotient obtained by dividing (x) the “Value” (as defined below), at the close of trading on the next to last trading day immediately preceding the exercise of the Conversion Right, of the portion of the Underwriter Warrant being converted by (y) the “Market Price” (as defined below). The “Value” of the portion of the Underwriter Warrant being converted shall equal the remainder derived from subtracting</w:t>
      </w:r>
    </w:p>
    <w:p>
      <w:pPr>
        <w:spacing w:after="0" w:line="4" w:lineRule="exact"/>
        <w:rPr>
          <w:sz w:val="20"/>
          <w:szCs w:val="20"/>
          <w:color w:val="auto"/>
        </w:rPr>
      </w:pPr>
    </w:p>
    <w:p>
      <w:pPr>
        <w:ind w:left="40" w:right="80" w:hanging="6"/>
        <w:spacing w:after="0" w:line="237" w:lineRule="auto"/>
        <w:tabs>
          <w:tab w:leader="none" w:pos="309" w:val="left"/>
        </w:tabs>
        <w:numPr>
          <w:ilvl w:val="0"/>
          <w:numId w:val="123"/>
        </w:numPr>
        <w:rPr>
          <w:rFonts w:ascii="Georgia" w:cs="Georgia" w:eastAsia="Georgia" w:hAnsi="Georgia"/>
          <w:sz w:val="18"/>
          <w:szCs w:val="18"/>
          <w:color w:val="auto"/>
        </w:rPr>
      </w:pPr>
      <w:r>
        <w:rPr>
          <w:rFonts w:ascii="Georgia" w:cs="Georgia" w:eastAsia="Georgia" w:hAnsi="Georgia"/>
          <w:sz w:val="18"/>
          <w:szCs w:val="18"/>
          <w:color w:val="auto"/>
        </w:rPr>
        <w:t>the Exercise Price multiplied by the number of Shares underlying that portion of this Underwriter Warrant being converted from (b) the Market Price of the Shares multiplied by the number of Shares underlying that portion of the Underwriter Warrant being converted. As used in this herein, the term “Market Price” at any date shall be deemed to be the average last reported sale price of the Shares for the five trading days ending on the next to last trading day immediately preceding the exercise of the Conversion Right as officially reported by the principal securities exchange on which the Shares are listed or admitted to trading, or, if the Shares are not listed or admitted to trading on any national securities exchange or if any such exchange on which the Shares are listed is not its principal trading market, the average last reported sale price for such five trading days as furnished by Nasdaq or, if applicable, the OTC Bulletin Board, or if the Shares are not listed or admitted to trading on any of the foregoing markets, or similar organization, as determined in good faith by resolution of the Board of Directors of the Company, based on the best information available to it. If the Shares are issued in such a cashless exercise, the parties acknowledge and agree that in accordance with Section 3(a)(9) of the Securities Act, the Shares shall take on the characteristics of the Underwriter Warrants being exercised, and the holding period of the Shares being issued may be tacked on to the holding period of this Underwriter Warrant. In no event will the Company be required to pay cash to the Holder to settle this Underwriter Warrant in the event of exercise by the Holder of the Conversion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9" w:name="page180"/>
    <w:bookmarkEnd w:id="179"/>
    <w:p>
      <w:pPr>
        <w:ind w:left="40" w:right="480"/>
        <w:spacing w:after="0" w:line="237" w:lineRule="auto"/>
        <w:rPr>
          <w:sz w:val="20"/>
          <w:szCs w:val="20"/>
          <w:color w:val="auto"/>
        </w:rPr>
      </w:pPr>
      <w:r>
        <w:rPr>
          <w:rFonts w:ascii="Georgia" w:cs="Georgia" w:eastAsia="Georgia" w:hAnsi="Georgia"/>
          <w:sz w:val="18"/>
          <w:szCs w:val="18"/>
          <w:color w:val="auto"/>
        </w:rPr>
        <w:t xml:space="preserve">Section 2.2.2 </w:t>
      </w:r>
      <w:r>
        <w:rPr>
          <w:rFonts w:ascii="Georgia" w:cs="Georgia" w:eastAsia="Georgia" w:hAnsi="Georgia"/>
          <w:sz w:val="18"/>
          <w:szCs w:val="18"/>
          <w:i w:val="1"/>
          <w:iCs w:val="1"/>
          <w:color w:val="auto"/>
        </w:rPr>
        <w:t>Mechanics of Conversion</w:t>
      </w:r>
      <w:r>
        <w:rPr>
          <w:rFonts w:ascii="Georgia" w:cs="Georgia" w:eastAsia="Georgia" w:hAnsi="Georgia"/>
          <w:sz w:val="18"/>
          <w:szCs w:val="18"/>
          <w:color w:val="auto"/>
        </w:rPr>
        <w:t>. The Conversion Right may be exercised by the Holder on any business day on or after the Commencement Date and not later than the Expiration Date by delivering the Underwriter Warrant with a duly executed exercise form attached hereto with the Conversion Right section completed to the Company, exercising the Conversion Right and specifying the total number of Shares that the Holder will purchase pursuant to such Conversion Right.</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Section 3. </w:t>
      </w:r>
      <w:r>
        <w:rPr>
          <w:rFonts w:ascii="Georgia" w:cs="Georgia" w:eastAsia="Georgia" w:hAnsi="Georgia"/>
          <w:sz w:val="18"/>
          <w:szCs w:val="18"/>
          <w:i w:val="1"/>
          <w:iCs w:val="1"/>
          <w:color w:val="auto"/>
        </w:rPr>
        <w:t>Transfer.</w:t>
      </w:r>
    </w:p>
    <w:p>
      <w:pPr>
        <w:spacing w:after="0" w:line="202" w:lineRule="exact"/>
        <w:rPr>
          <w:sz w:val="20"/>
          <w:szCs w:val="20"/>
          <w:color w:val="auto"/>
        </w:rPr>
      </w:pPr>
    </w:p>
    <w:p>
      <w:pPr>
        <w:ind w:left="40"/>
        <w:spacing w:after="0" w:line="237" w:lineRule="auto"/>
        <w:rPr>
          <w:sz w:val="20"/>
          <w:szCs w:val="20"/>
          <w:color w:val="auto"/>
        </w:rPr>
      </w:pPr>
      <w:r>
        <w:rPr>
          <w:rFonts w:ascii="Georgia" w:cs="Georgia" w:eastAsia="Georgia" w:hAnsi="Georgia"/>
          <w:sz w:val="18"/>
          <w:szCs w:val="18"/>
          <w:color w:val="auto"/>
        </w:rPr>
        <w:t xml:space="preserve">Section 3.1 </w:t>
      </w:r>
      <w:r>
        <w:rPr>
          <w:rFonts w:ascii="Georgia" w:cs="Georgia" w:eastAsia="Georgia" w:hAnsi="Georgia"/>
          <w:sz w:val="18"/>
          <w:szCs w:val="18"/>
          <w:i w:val="1"/>
          <w:iCs w:val="1"/>
          <w:color w:val="auto"/>
        </w:rPr>
        <w:t>General Restrictions.</w:t>
      </w:r>
      <w:r>
        <w:rPr>
          <w:rFonts w:ascii="Georgia" w:cs="Georgia" w:eastAsia="Georgia" w:hAnsi="Georgia"/>
          <w:sz w:val="18"/>
          <w:szCs w:val="18"/>
          <w:color w:val="auto"/>
        </w:rPr>
        <w:t xml:space="preserve"> On and after the Commencement Date, transfers by the registered Holder to others may be made subject to compliance with or exemptions from applicable securities laws. In order to make any permitted assignment, the Holder must deliver to the Company the assignment form attached hereto duly executed and completed, together with the Underwriter Warrant and payment of all transfer taxes, if any, payable in connection therewith. The Company shall immediately transfer this Underwriter Warrant on the books of the Company and shall execute and deliver a new Underwriter Warrant or Underwriter Warrants of like tenor to the appropriate assignee(s) expressly evidencing the right to purchase the aggregate number of Shares purchasable hereunder or such portion of such number as shall be contemplated by any such assignment.</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Section 4. </w:t>
      </w:r>
      <w:r>
        <w:rPr>
          <w:rFonts w:ascii="Georgia" w:cs="Georgia" w:eastAsia="Georgia" w:hAnsi="Georgia"/>
          <w:sz w:val="18"/>
          <w:szCs w:val="18"/>
          <w:i w:val="1"/>
          <w:iCs w:val="1"/>
          <w:color w:val="auto"/>
        </w:rPr>
        <w:t>New Underwriter Warrants to be Issued.</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 xml:space="preserve">Section 4.1 </w:t>
      </w:r>
      <w:r>
        <w:rPr>
          <w:rFonts w:ascii="Georgia" w:cs="Georgia" w:eastAsia="Georgia" w:hAnsi="Georgia"/>
          <w:sz w:val="18"/>
          <w:szCs w:val="18"/>
          <w:i w:val="1"/>
          <w:iCs w:val="1"/>
          <w:color w:val="auto"/>
        </w:rPr>
        <w:t>Partial Exercise or Transfer.</w:t>
      </w:r>
      <w:r>
        <w:rPr>
          <w:rFonts w:ascii="Georgia" w:cs="Georgia" w:eastAsia="Georgia" w:hAnsi="Georgia"/>
          <w:sz w:val="18"/>
          <w:szCs w:val="18"/>
          <w:color w:val="auto"/>
        </w:rPr>
        <w:t xml:space="preserve"> Subject to the restrictions in Section 3 hereof, this Underwriter Warrant may be exercised or assigned in whole or in part. In the event of the exercise or assignment hereof in part only, upon surrender of this Underwriter Warrant for cancellation, together with the duly executed exercise or assignment form and funds sufficient to pay any Exercise Price and/or transfer tax, the Company shall cause to be delivered to the Holder without charge a new Underwriter Warrant of like tenor to this Underwriter Warrant in the name of the Holder evidencing the right of the Holder to purchase the aggregate number of Shares purchasable hereunder as to which this Underwriter Warrant has not been exercised or assigned.</w:t>
      </w:r>
    </w:p>
    <w:p>
      <w:pPr>
        <w:spacing w:after="0" w:line="206"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 xml:space="preserve">Section 4.2 </w:t>
      </w:r>
      <w:r>
        <w:rPr>
          <w:rFonts w:ascii="Georgia" w:cs="Georgia" w:eastAsia="Georgia" w:hAnsi="Georgia"/>
          <w:sz w:val="18"/>
          <w:szCs w:val="18"/>
          <w:i w:val="1"/>
          <w:iCs w:val="1"/>
          <w:color w:val="auto"/>
        </w:rPr>
        <w:t>Lost Certificate.</w:t>
      </w:r>
      <w:r>
        <w:rPr>
          <w:rFonts w:ascii="Georgia" w:cs="Georgia" w:eastAsia="Georgia" w:hAnsi="Georgia"/>
          <w:sz w:val="18"/>
          <w:szCs w:val="18"/>
          <w:color w:val="auto"/>
        </w:rPr>
        <w:t xml:space="preserve"> Upon receipt by the Company of evidence satisfactory to it of the loss, theft, destruction or mutilation of this Underwriter Warrant and of reasonably satisfactory indemnification, and upon surrender and cancellation of the Underwriter Warrants, if mutilated, the Company shall execute and deliver a new Underwriter Warrant of like tenor and date. Any such new Underwriter Warrant executed and delivered as a result of such loss, theft, mutilation or destruction shall constitute a substitute contractual obligation on the part of the Company.</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Section 5. </w:t>
      </w:r>
      <w:r>
        <w:rPr>
          <w:rFonts w:ascii="Georgia" w:cs="Georgia" w:eastAsia="Georgia" w:hAnsi="Georgia"/>
          <w:sz w:val="18"/>
          <w:szCs w:val="18"/>
          <w:i w:val="1"/>
          <w:iCs w:val="1"/>
          <w:color w:val="auto"/>
        </w:rPr>
        <w:t>Adjustments.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Section 5.1 </w:t>
      </w:r>
      <w:r>
        <w:rPr>
          <w:rFonts w:ascii="Georgia" w:cs="Georgia" w:eastAsia="Georgia" w:hAnsi="Georgia"/>
          <w:sz w:val="18"/>
          <w:szCs w:val="18"/>
          <w:i w:val="1"/>
          <w:iCs w:val="1"/>
          <w:color w:val="auto"/>
        </w:rPr>
        <w:t>Adjustments to Exercise Price and Number of Securities.</w:t>
      </w:r>
      <w:r>
        <w:rPr>
          <w:rFonts w:ascii="Georgia" w:cs="Georgia" w:eastAsia="Georgia" w:hAnsi="Georgia"/>
          <w:sz w:val="18"/>
          <w:szCs w:val="18"/>
          <w:color w:val="auto"/>
        </w:rPr>
        <w:t xml:space="preserve"> The Exercise Price and the number of Shares underlying the</w:t>
      </w:r>
    </w:p>
    <w:p>
      <w:pPr>
        <w:spacing w:after="0" w:line="238" w:lineRule="auto"/>
        <w:rPr>
          <w:sz w:val="20"/>
          <w:szCs w:val="20"/>
          <w:color w:val="auto"/>
        </w:rPr>
      </w:pPr>
      <w:r>
        <w:rPr>
          <w:rFonts w:ascii="Georgia" w:cs="Georgia" w:eastAsia="Georgia" w:hAnsi="Georgia"/>
          <w:sz w:val="18"/>
          <w:szCs w:val="18"/>
          <w:color w:val="auto"/>
        </w:rPr>
        <w:t>Underwriter Warrant shall be subject to adjustment from time to time as hereinafter set forth:</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 xml:space="preserve">Section 5.1.1 </w:t>
      </w:r>
      <w:r>
        <w:rPr>
          <w:rFonts w:ascii="Georgia" w:cs="Georgia" w:eastAsia="Georgia" w:hAnsi="Georgia"/>
          <w:sz w:val="18"/>
          <w:szCs w:val="18"/>
          <w:i w:val="1"/>
          <w:iCs w:val="1"/>
          <w:color w:val="auto"/>
        </w:rPr>
        <w:t>Stock Dividends Recapitalization, Reclassification, Split-Ups</w:t>
      </w:r>
      <w:r>
        <w:rPr>
          <w:rFonts w:ascii="Georgia" w:cs="Georgia" w:eastAsia="Georgia" w:hAnsi="Georgia"/>
          <w:sz w:val="18"/>
          <w:szCs w:val="18"/>
          <w:color w:val="auto"/>
        </w:rPr>
        <w:t>. If after the date hereof, and subject to the provisions of Section 5.2 below, the number of outstanding Shares is increased by a stock dividend payable in Shares or by a split-up, recapitalization or reclassification of Shares or other similar event, then, on the Commencement Date thereof, the number of Shares issuable on exercise of the Underwriter Warrant shall be increased in proportion to such increase in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180" w:name="page181"/>
    <w:bookmarkEnd w:id="180"/>
    <w:p>
      <w:pPr>
        <w:ind w:firstLine="43"/>
        <w:spacing w:after="0" w:line="237" w:lineRule="auto"/>
        <w:rPr>
          <w:sz w:val="20"/>
          <w:szCs w:val="20"/>
          <w:color w:val="auto"/>
        </w:rPr>
      </w:pPr>
      <w:r>
        <w:rPr>
          <w:rFonts w:ascii="Georgia" w:cs="Georgia" w:eastAsia="Georgia" w:hAnsi="Georgia"/>
          <w:sz w:val="18"/>
          <w:szCs w:val="18"/>
          <w:color w:val="auto"/>
        </w:rPr>
        <w:t xml:space="preserve">Section 5.1.2 </w:t>
      </w:r>
      <w:r>
        <w:rPr>
          <w:rFonts w:ascii="Georgia" w:cs="Georgia" w:eastAsia="Georgia" w:hAnsi="Georgia"/>
          <w:sz w:val="18"/>
          <w:szCs w:val="18"/>
          <w:i w:val="1"/>
          <w:iCs w:val="1"/>
          <w:color w:val="auto"/>
        </w:rPr>
        <w:t>Aggregation of Shares</w:t>
      </w:r>
      <w:r>
        <w:rPr>
          <w:rFonts w:ascii="Georgia" w:cs="Georgia" w:eastAsia="Georgia" w:hAnsi="Georgia"/>
          <w:sz w:val="18"/>
          <w:szCs w:val="18"/>
          <w:color w:val="auto"/>
        </w:rPr>
        <w:t>. If after the date hereof, and subject to the provisions of Section 5.2, the number of outstanding Shares is decreased by a consolidation, combination or reclassification of Shares or other similar event, then, upon the Commencement Date thereof, the number of Shares issuable on exercise of the Underwriter Warrant shall be decreased in proportion to such decrease in outstanding Shares.</w:t>
      </w:r>
    </w:p>
    <w:p>
      <w:pPr>
        <w:spacing w:after="0" w:line="205"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 xml:space="preserve">Section 5.1.3 </w:t>
      </w:r>
      <w:r>
        <w:rPr>
          <w:rFonts w:ascii="Georgia" w:cs="Georgia" w:eastAsia="Georgia" w:hAnsi="Georgia"/>
          <w:sz w:val="18"/>
          <w:szCs w:val="18"/>
          <w:i w:val="1"/>
          <w:iCs w:val="1"/>
          <w:color w:val="auto"/>
        </w:rPr>
        <w:t>Adjustments in Exercise Price</w:t>
      </w:r>
      <w:r>
        <w:rPr>
          <w:rFonts w:ascii="Georgia" w:cs="Georgia" w:eastAsia="Georgia" w:hAnsi="Georgia"/>
          <w:sz w:val="18"/>
          <w:szCs w:val="18"/>
          <w:color w:val="auto"/>
        </w:rPr>
        <w:t>. Whenever the number of Shares purchasable upon the exercise of this Underwriter Warrant is adjusted, as provided in this Section 5.1, the Exercise Price shall be adjusted (to the nearest cent) by multiplying such Exercise Price immediately prior to such adjustment by a fraction (x) the numerator of which shall be the number of Shares purchasable upon the exercise of this Underwriter Warrant immediately prior to such adjustment, and (y) the denominator of which shall be the number of Shares so purchasable immediately thereafter.</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Section 5.1.4 </w:t>
      </w:r>
      <w:r>
        <w:rPr>
          <w:rFonts w:ascii="Georgia" w:cs="Georgia" w:eastAsia="Georgia" w:hAnsi="Georgia"/>
          <w:sz w:val="18"/>
          <w:szCs w:val="18"/>
          <w:i w:val="1"/>
          <w:iCs w:val="1"/>
          <w:color w:val="auto"/>
        </w:rPr>
        <w:t>Replacement of Securities upon Reorganization, etc.</w:t>
      </w:r>
      <w:r>
        <w:rPr>
          <w:rFonts w:ascii="Georgia" w:cs="Georgia" w:eastAsia="Georgia" w:hAnsi="Georgia"/>
          <w:sz w:val="18"/>
          <w:szCs w:val="18"/>
          <w:color w:val="auto"/>
        </w:rPr>
        <w:t xml:space="preserve"> In case of any reclassification or reorganization of the outstanding Shares other than a change covered by Section 5.1.1 hereof or which solely affects the par value of such Shares, or in the case of any merger or consolidation of the Company with or into another corporation (other than a consolidation or merger in which the Company is the continuing corporation and which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Underwriter Warrant shall have the right thereafter (until the expiration of the right of exercise of this Underwriter Warrant) to receive upon the exercise hereof, for the same aggregate Exercise Price payable hereunder immediately prior to such event, the kind and amount of Shares or other securities or property (including cash) receivable upon such reclassification, reorganization, merger or consolidation, or upon a dissolution following any such sale or other transfer, by a Holder of the number of Shares obtainable upon exercise of this Underwriter Warrant immediately prior to such event; and if any reclassification also results in a change in Shares covered by Section 5.1.1, then such adjustment shall be made pursuant to Sections 5.1.1, 5.1.3 and this Section</w:t>
      </w:r>
    </w:p>
    <w:p>
      <w:pPr>
        <w:spacing w:after="0" w:line="6"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5.1.4. The provisions of this Section 5.1.4 shall similarly apply to successive reclassifications, reorganizations, mergers or consolidations, sales or other transfers.</w:t>
      </w:r>
    </w:p>
    <w:p>
      <w:pPr>
        <w:spacing w:after="0" w:line="204" w:lineRule="exact"/>
        <w:rPr>
          <w:sz w:val="20"/>
          <w:szCs w:val="20"/>
          <w:color w:val="auto"/>
        </w:rPr>
      </w:pPr>
    </w:p>
    <w:p>
      <w:pPr>
        <w:ind w:left="40"/>
        <w:spacing w:after="0" w:line="237" w:lineRule="auto"/>
        <w:rPr>
          <w:sz w:val="20"/>
          <w:szCs w:val="20"/>
          <w:color w:val="auto"/>
        </w:rPr>
      </w:pPr>
      <w:r>
        <w:rPr>
          <w:rFonts w:ascii="Georgia" w:cs="Georgia" w:eastAsia="Georgia" w:hAnsi="Georgia"/>
          <w:sz w:val="18"/>
          <w:szCs w:val="18"/>
          <w:color w:val="auto"/>
        </w:rPr>
        <w:t xml:space="preserve">Section 5.1.5 </w:t>
      </w:r>
      <w:r>
        <w:rPr>
          <w:rFonts w:ascii="Georgia" w:cs="Georgia" w:eastAsia="Georgia" w:hAnsi="Georgia"/>
          <w:sz w:val="18"/>
          <w:szCs w:val="18"/>
          <w:i w:val="1"/>
          <w:iCs w:val="1"/>
          <w:color w:val="auto"/>
        </w:rPr>
        <w:t>Changes in Form of Underwriter Warrant</w:t>
      </w:r>
      <w:r>
        <w:rPr>
          <w:rFonts w:ascii="Georgia" w:cs="Georgia" w:eastAsia="Georgia" w:hAnsi="Georgia"/>
          <w:sz w:val="18"/>
          <w:szCs w:val="18"/>
          <w:color w:val="auto"/>
        </w:rPr>
        <w:t>. This form of Underwriter Warrant need not be changed because of any change pursuant to this Section, and Underwriter Warrants issued after such change may state the same Exercise Price and the same number of Shares as are stated in the Underwriter Warrants initially issued pursuant to this Agreement. The acceptance by any Holder of the issuance of new Underwriter Warrants reflecting a required or permissive change shall not be deemed to waive any rights to a prior adjustment or the computation thereof.</w:t>
      </w:r>
    </w:p>
    <w:p>
      <w:pPr>
        <w:spacing w:after="0" w:line="205"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 xml:space="preserve">Section 5.2 </w:t>
      </w:r>
      <w:r>
        <w:rPr>
          <w:rFonts w:ascii="Georgia" w:cs="Georgia" w:eastAsia="Georgia" w:hAnsi="Georgia"/>
          <w:sz w:val="18"/>
          <w:szCs w:val="18"/>
          <w:i w:val="1"/>
          <w:iCs w:val="1"/>
          <w:color w:val="auto"/>
        </w:rPr>
        <w:t>Elimination of Fractional Interests.</w:t>
      </w:r>
      <w:r>
        <w:rPr>
          <w:rFonts w:ascii="Georgia" w:cs="Georgia" w:eastAsia="Georgia" w:hAnsi="Georgia"/>
          <w:sz w:val="18"/>
          <w:szCs w:val="18"/>
          <w:color w:val="auto"/>
        </w:rPr>
        <w:t xml:space="preserve"> The Company shall not be required to issue fractions of Shares upon the exercise or transfer of the Underwriter Warrant, nor shall it be required to issue scrip or pay cash in lieu of any fractional interests, it being the intent of the parties that all fractional interests shall be eliminated by rounding any fraction up or down to the nearest whole number of Shares.</w:t>
      </w: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 xml:space="preserve">Section 6. </w:t>
      </w:r>
      <w:r>
        <w:rPr>
          <w:rFonts w:ascii="Georgia" w:cs="Georgia" w:eastAsia="Georgia" w:hAnsi="Georgia"/>
          <w:sz w:val="18"/>
          <w:szCs w:val="18"/>
          <w:i w:val="1"/>
          <w:iCs w:val="1"/>
          <w:color w:val="auto"/>
        </w:rPr>
        <w:t>Reservation and Listing.</w:t>
      </w:r>
      <w:r>
        <w:rPr>
          <w:rFonts w:ascii="Georgia" w:cs="Georgia" w:eastAsia="Georgia" w:hAnsi="Georgia"/>
          <w:sz w:val="18"/>
          <w:szCs w:val="18"/>
          <w:color w:val="auto"/>
        </w:rPr>
        <w:t xml:space="preserve"> The Company shall at all times reserve and keep available out of its authorized Shares, solely for the purpose of issuance upon exercise of the Underwriter Warrants, such number of Shares or other securities, properties or rights as shall be issuable upon the exercise thereof. The Company covenants and agrees that, upon exercise of the Underwriter Warrants and payment of the Exercise Price therefor, all Shares and other securities issuable upon such exercise shall be duly and validly issued, fully paid and non-assessable and not subject to preemptive rights of any stockholder. As long as the Underwriter Warrants shall be outstanding, the Company shall use its best efforts to cause all Shares issuable upon exercise of the Underwriter Warrants to be listed (subject to official notice of issuance) on all securities exchanges (or, if applicable on Nasdaq) on which the Shares issued to the public in connection herewith are then listed and/or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81" w:name="page182"/>
    <w:bookmarkEnd w:id="181"/>
    <w:p>
      <w:pPr>
        <w:spacing w:after="0"/>
        <w:rPr>
          <w:sz w:val="20"/>
          <w:szCs w:val="20"/>
          <w:color w:val="auto"/>
        </w:rPr>
      </w:pPr>
      <w:r>
        <w:rPr>
          <w:rFonts w:ascii="Georgia" w:cs="Georgia" w:eastAsia="Georgia" w:hAnsi="Georgia"/>
          <w:sz w:val="18"/>
          <w:szCs w:val="18"/>
          <w:color w:val="auto"/>
        </w:rPr>
        <w:t xml:space="preserve">Section 7. </w:t>
      </w:r>
      <w:r>
        <w:rPr>
          <w:rFonts w:ascii="Georgia" w:cs="Georgia" w:eastAsia="Georgia" w:hAnsi="Georgia"/>
          <w:sz w:val="18"/>
          <w:szCs w:val="18"/>
          <w:i w:val="1"/>
          <w:iCs w:val="1"/>
          <w:color w:val="auto"/>
        </w:rPr>
        <w:t>Certain Notice Requirements.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Section 7.1 </w:t>
      </w:r>
      <w:r>
        <w:rPr>
          <w:rFonts w:ascii="Georgia" w:cs="Georgia" w:eastAsia="Georgia" w:hAnsi="Georgia"/>
          <w:sz w:val="18"/>
          <w:szCs w:val="18"/>
          <w:i w:val="1"/>
          <w:iCs w:val="1"/>
          <w:color w:val="auto"/>
        </w:rPr>
        <w:t>Holder’s Right to Receive Notice.</w:t>
      </w:r>
      <w:r>
        <w:rPr>
          <w:rFonts w:ascii="Georgia" w:cs="Georgia" w:eastAsia="Georgia" w:hAnsi="Georgia"/>
          <w:sz w:val="18"/>
          <w:szCs w:val="18"/>
          <w:color w:val="auto"/>
        </w:rPr>
        <w:t xml:space="preserve"> Nothing herein shall be construed as conferring upon the Holders the right to vote or consent or to receive notice as a stockholder for the election of directors or any other matter, or as having any rights whatsoever as a stockholder of the Company. If, however, at any time prior to the expiration of the Underwriter Warrants and their exercise, any of the events described in Section 7.2 shall occur, then, in one or more of said events, the Company shall give written notice of such event at least fifteen (15) days prior to the date fixed as a record date or the date of closing the transfer books for the determination of the stockholders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w:t>
      </w:r>
    </w:p>
    <w:p>
      <w:pPr>
        <w:spacing w:after="0" w:line="206" w:lineRule="exact"/>
        <w:rPr>
          <w:sz w:val="20"/>
          <w:szCs w:val="20"/>
          <w:color w:val="auto"/>
        </w:rPr>
      </w:pPr>
    </w:p>
    <w:p>
      <w:pPr>
        <w:ind w:left="40"/>
        <w:spacing w:after="0" w:line="237" w:lineRule="auto"/>
        <w:rPr>
          <w:sz w:val="20"/>
          <w:szCs w:val="20"/>
          <w:color w:val="auto"/>
        </w:rPr>
      </w:pPr>
      <w:r>
        <w:rPr>
          <w:rFonts w:ascii="Georgia" w:cs="Georgia" w:eastAsia="Georgia" w:hAnsi="Georgia"/>
          <w:sz w:val="18"/>
          <w:szCs w:val="18"/>
          <w:color w:val="auto"/>
        </w:rPr>
        <w:t xml:space="preserve">Section 7.2 </w:t>
      </w:r>
      <w:r>
        <w:rPr>
          <w:rFonts w:ascii="Georgia" w:cs="Georgia" w:eastAsia="Georgia" w:hAnsi="Georgia"/>
          <w:sz w:val="18"/>
          <w:szCs w:val="18"/>
          <w:i w:val="1"/>
          <w:iCs w:val="1"/>
          <w:color w:val="auto"/>
        </w:rPr>
        <w:t>Events Requiring Notice.</w:t>
      </w:r>
      <w:r>
        <w:rPr>
          <w:rFonts w:ascii="Georgia" w:cs="Georgia" w:eastAsia="Georgia" w:hAnsi="Georgia"/>
          <w:sz w:val="18"/>
          <w:szCs w:val="18"/>
          <w:color w:val="auto"/>
        </w:rPr>
        <w:t xml:space="preserve"> The Company shall be required to give the notice described in this Section 7 upon one or more of the following events: (i) if the Company shall take a record of the holders of its Shares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or (ii) the Company shall offer to all the holders of its Shares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merger) or a sale of all or substantially all of its property, assets and business shall be proposed.</w:t>
      </w:r>
    </w:p>
    <w:p>
      <w:pPr>
        <w:spacing w:after="0" w:line="206" w:lineRule="exact"/>
        <w:rPr>
          <w:sz w:val="20"/>
          <w:szCs w:val="20"/>
          <w:color w:val="auto"/>
        </w:rPr>
      </w:pPr>
    </w:p>
    <w:p>
      <w:pPr>
        <w:ind w:left="40" w:right="20"/>
        <w:spacing w:after="0" w:line="237" w:lineRule="auto"/>
        <w:rPr>
          <w:sz w:val="20"/>
          <w:szCs w:val="20"/>
          <w:color w:val="auto"/>
        </w:rPr>
      </w:pPr>
      <w:r>
        <w:rPr>
          <w:rFonts w:ascii="Georgia" w:cs="Georgia" w:eastAsia="Georgia" w:hAnsi="Georgia"/>
          <w:sz w:val="18"/>
          <w:szCs w:val="18"/>
          <w:color w:val="auto"/>
        </w:rPr>
        <w:t xml:space="preserve">Section 7.3 </w:t>
      </w:r>
      <w:r>
        <w:rPr>
          <w:rFonts w:ascii="Georgia" w:cs="Georgia" w:eastAsia="Georgia" w:hAnsi="Georgia"/>
          <w:sz w:val="18"/>
          <w:szCs w:val="18"/>
          <w:i w:val="1"/>
          <w:iCs w:val="1"/>
          <w:color w:val="auto"/>
        </w:rPr>
        <w:t>Notice of Change in Exercise Price.</w:t>
      </w:r>
      <w:r>
        <w:rPr>
          <w:rFonts w:ascii="Georgia" w:cs="Georgia" w:eastAsia="Georgia" w:hAnsi="Georgia"/>
          <w:sz w:val="18"/>
          <w:szCs w:val="18"/>
          <w:color w:val="auto"/>
        </w:rPr>
        <w:t xml:space="preserve"> The Company shall, promptly after an event requiring a change in the Exercise Price pursuant to Section 7 hereof, send notice to the Holders of such event and change (“Price Notice”). The Price Notice shall describe the event causing the change and the method of calculating same and shall be certified as being true and accurate by the Company’s President and Chief Financial Officer.</w:t>
      </w:r>
    </w:p>
    <w:p>
      <w:pPr>
        <w:spacing w:after="0" w:line="205"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Section 7.4 Transmittal of Notices. All notices, requests, consents and other communications under this Underwriter Warrant shall be in writing and shall be deemed to have been duly made on the date of delivery if delivered personally or sent by overnight courier, with acknowledgement of receipt to the party to which notice is given, or on the fifth day after mailing if mailed to the party to whom notice is to be given, by registered or certified mail, return receipt requested, postage prepaid and properly addressed as follows: (i) if to the registered Holder of the Underwriter Warrant, to the address of such Holder as shown on the books of the Company, or (ii) if to the Company, to its principal executive office.</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Section 8. </w:t>
      </w:r>
      <w:r>
        <w:rPr>
          <w:rFonts w:ascii="Georgia" w:cs="Georgia" w:eastAsia="Georgia" w:hAnsi="Georgia"/>
          <w:sz w:val="18"/>
          <w:szCs w:val="18"/>
          <w:i w:val="1"/>
          <w:iCs w:val="1"/>
          <w:color w:val="auto"/>
        </w:rPr>
        <w:t>Miscellaneous.</w:t>
      </w:r>
    </w:p>
    <w:p>
      <w:pPr>
        <w:spacing w:after="0" w:line="202"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 xml:space="preserve">Section 8.1 </w:t>
      </w:r>
      <w:r>
        <w:rPr>
          <w:rFonts w:ascii="Georgia" w:cs="Georgia" w:eastAsia="Georgia" w:hAnsi="Georgia"/>
          <w:sz w:val="18"/>
          <w:szCs w:val="18"/>
          <w:i w:val="1"/>
          <w:iCs w:val="1"/>
          <w:color w:val="auto"/>
        </w:rPr>
        <w:t>Amendments.</w:t>
      </w:r>
      <w:r>
        <w:rPr>
          <w:rFonts w:ascii="Georgia" w:cs="Georgia" w:eastAsia="Georgia" w:hAnsi="Georgia"/>
          <w:sz w:val="18"/>
          <w:szCs w:val="18"/>
          <w:color w:val="auto"/>
        </w:rPr>
        <w:t xml:space="preserve"> The Company and the underwriters may from time to time supplement or amend this Underwriter Warrant without the approval of any of the Holders in order to cure any ambiguity, to correct or supplement any provision contained herein which may be defective or inconsistent with any other provisions herein, or to make any other provisions in regard to matters or questions arising hereunder which the Company and the underwriters may deem necessary or desirable and which the Company and the underwriters deem shall not adversely affect the interest of the Holders. All other modifications or amendments shall require the written consent of the party against whom enforcement of the modification or amendment is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182" w:name="page183"/>
    <w:bookmarkEnd w:id="182"/>
    <w:p>
      <w:pPr>
        <w:ind w:right="260"/>
        <w:spacing w:after="0" w:line="237" w:lineRule="auto"/>
        <w:rPr>
          <w:sz w:val="20"/>
          <w:szCs w:val="20"/>
          <w:color w:val="auto"/>
        </w:rPr>
      </w:pPr>
      <w:r>
        <w:rPr>
          <w:rFonts w:ascii="Georgia" w:cs="Georgia" w:eastAsia="Georgia" w:hAnsi="Georgia"/>
          <w:sz w:val="18"/>
          <w:szCs w:val="18"/>
          <w:color w:val="auto"/>
        </w:rPr>
        <w:t xml:space="preserve">Section 8.2 </w:t>
      </w:r>
      <w:r>
        <w:rPr>
          <w:rFonts w:ascii="Georgia" w:cs="Georgia" w:eastAsia="Georgia" w:hAnsi="Georgia"/>
          <w:sz w:val="18"/>
          <w:szCs w:val="18"/>
          <w:i w:val="1"/>
          <w:iCs w:val="1"/>
          <w:color w:val="auto"/>
        </w:rPr>
        <w:t>Headings.</w:t>
      </w:r>
      <w:r>
        <w:rPr>
          <w:rFonts w:ascii="Georgia" w:cs="Georgia" w:eastAsia="Georgia" w:hAnsi="Georgia"/>
          <w:sz w:val="18"/>
          <w:szCs w:val="18"/>
          <w:color w:val="auto"/>
        </w:rPr>
        <w:t xml:space="preserve"> The headings contained herein are for the sole purpose of convenience of reference and shall not in any way limit or affect the meaning or interpretation of any of the terms or provisions of this Underwriter Warrant.</w:t>
      </w:r>
    </w:p>
    <w:p>
      <w:pPr>
        <w:spacing w:after="0" w:line="204" w:lineRule="exact"/>
        <w:rPr>
          <w:sz w:val="20"/>
          <w:szCs w:val="20"/>
          <w:color w:val="auto"/>
        </w:rPr>
      </w:pPr>
    </w:p>
    <w:p>
      <w:pPr>
        <w:jc w:val="both"/>
        <w:ind w:right="40"/>
        <w:spacing w:after="0" w:line="237" w:lineRule="auto"/>
        <w:rPr>
          <w:sz w:val="20"/>
          <w:szCs w:val="20"/>
          <w:color w:val="auto"/>
        </w:rPr>
      </w:pPr>
      <w:r>
        <w:rPr>
          <w:rFonts w:ascii="Georgia" w:cs="Georgia" w:eastAsia="Georgia" w:hAnsi="Georgia"/>
          <w:sz w:val="18"/>
          <w:szCs w:val="18"/>
          <w:color w:val="auto"/>
        </w:rPr>
        <w:t xml:space="preserve">Section 8.3 </w:t>
      </w:r>
      <w:r>
        <w:rPr>
          <w:rFonts w:ascii="Georgia" w:cs="Georgia" w:eastAsia="Georgia" w:hAnsi="Georgia"/>
          <w:sz w:val="18"/>
          <w:szCs w:val="18"/>
          <w:i w:val="1"/>
          <w:iCs w:val="1"/>
          <w:color w:val="auto"/>
        </w:rPr>
        <w:t>Entire Agreement.</w:t>
      </w:r>
      <w:r>
        <w:rPr>
          <w:rFonts w:ascii="Georgia" w:cs="Georgia" w:eastAsia="Georgia" w:hAnsi="Georgia"/>
          <w:sz w:val="18"/>
          <w:szCs w:val="18"/>
          <w:color w:val="auto"/>
        </w:rPr>
        <w:t xml:space="preserve"> This Underwriter Warrant (together with the other agreements and documents being delivered pursuant to or in connection with this Underwriter Warrant) constitutes the entire agreement of the parties hereto with respect to the subject matter hereof, and supersedes all prior agreements and understandings of the parties, oral and written, with respect to the subject matter hereof.</w:t>
      </w:r>
    </w:p>
    <w:p>
      <w:pPr>
        <w:spacing w:after="0" w:line="204"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 xml:space="preserve">Section 8.4 </w:t>
      </w:r>
      <w:r>
        <w:rPr>
          <w:rFonts w:ascii="Georgia" w:cs="Georgia" w:eastAsia="Georgia" w:hAnsi="Georgia"/>
          <w:sz w:val="18"/>
          <w:szCs w:val="18"/>
          <w:i w:val="1"/>
          <w:iCs w:val="1"/>
          <w:color w:val="auto"/>
        </w:rPr>
        <w:t>Binding Effect.</w:t>
      </w:r>
      <w:r>
        <w:rPr>
          <w:rFonts w:ascii="Georgia" w:cs="Georgia" w:eastAsia="Georgia" w:hAnsi="Georgia"/>
          <w:sz w:val="18"/>
          <w:szCs w:val="18"/>
          <w:color w:val="auto"/>
        </w:rPr>
        <w:t xml:space="preserve"> This Underwriter Warrant shall inure solely to the benefit of and shall be binding upon, the Holder and the Company and their respective successors, legal representatives and assigns, and no other person shall have or be construed to have any legal or equitable right, remedy or claim under or in respect of or by virtue of this Underwriter Warrant or any provisions herein contained.</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Section 8.5 </w:t>
      </w:r>
      <w:r>
        <w:rPr>
          <w:rFonts w:ascii="Georgia" w:cs="Georgia" w:eastAsia="Georgia" w:hAnsi="Georgia"/>
          <w:sz w:val="18"/>
          <w:szCs w:val="18"/>
          <w:i w:val="1"/>
          <w:iCs w:val="1"/>
          <w:color w:val="auto"/>
        </w:rPr>
        <w:t>Governing Law; Submission to Jurisdiction.</w:t>
      </w:r>
      <w:r>
        <w:rPr>
          <w:rFonts w:ascii="Georgia" w:cs="Georgia" w:eastAsia="Georgia" w:hAnsi="Georgia"/>
          <w:sz w:val="18"/>
          <w:szCs w:val="18"/>
          <w:color w:val="auto"/>
        </w:rPr>
        <w:t xml:space="preserve"> This Underwriter Warrant shall be governed by and construed and enforced in accordance with the laws of the State of New York, without giving effect to conflict of laws. The Company hereby agrees that any action, proceeding or claim against it arising out of, or relating in any way to this Underwriter Warrant shall be brought and enforced in the courts of the State of New York or of the United States of America for the Southern District of New York,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Cogency Global Inc., 122 East 42nd Street, 18th Floor, New York, New York 10168. Such mailing shall be deemed personal service and shall be legal and binding upon the Company in any action, proceeding or claim. The Company and the Holder, by acceptance hereof, agree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20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Section 8.6 </w:t>
      </w:r>
      <w:r>
        <w:rPr>
          <w:rFonts w:ascii="Georgia" w:cs="Georgia" w:eastAsia="Georgia" w:hAnsi="Georgia"/>
          <w:sz w:val="18"/>
          <w:szCs w:val="18"/>
          <w:i w:val="1"/>
          <w:iCs w:val="1"/>
          <w:color w:val="auto"/>
        </w:rPr>
        <w:t>Waiver, Etc.</w:t>
      </w:r>
      <w:r>
        <w:rPr>
          <w:rFonts w:ascii="Georgia" w:cs="Georgia" w:eastAsia="Georgia" w:hAnsi="Georgia"/>
          <w:sz w:val="18"/>
          <w:szCs w:val="18"/>
          <w:color w:val="auto"/>
        </w:rPr>
        <w:t xml:space="preserve"> The failure of the Company or the Holder to at any time enforce any of the provisions of this Underwriter Warrant shall not be deemed or construed to be a waiver of any such provision, nor to in any way affect the validity of this Underwriter Warrant or any provision hereof or the right of the Company or any Holder to thereafter enforce each and every provision of this Underwriter Warrant. No waiver of any breach, non-compliance or non-fulfillment of any of the provisions of this Underwriter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205" w:lineRule="exact"/>
        <w:rPr>
          <w:sz w:val="20"/>
          <w:szCs w:val="20"/>
          <w:color w:val="auto"/>
        </w:rPr>
      </w:pPr>
    </w:p>
    <w:p>
      <w:pPr>
        <w:spacing w:after="0"/>
        <w:tabs>
          <w:tab w:leader="none" w:pos="10980" w:val="left"/>
        </w:tabs>
        <w:rPr>
          <w:sz w:val="20"/>
          <w:szCs w:val="20"/>
          <w:color w:val="auto"/>
        </w:rPr>
      </w:pPr>
      <w:r>
        <w:rPr>
          <w:rFonts w:ascii="Georgia" w:cs="Georgia" w:eastAsia="Georgia" w:hAnsi="Georgia"/>
          <w:sz w:val="18"/>
          <w:szCs w:val="18"/>
          <w:color w:val="auto"/>
        </w:rPr>
        <w:t>IN WITNESS WHEREOF, the Company has caused this Underwriter Warrant to be signed by its duly authorized officer as of the day of [</w:t>
        <w:tab/>
        <w:t>].</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GENENTA SCIENCE S.P.A.</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By:</w:t>
      </w:r>
    </w:p>
    <w:p>
      <w:pPr>
        <w:spacing w:after="0" w:line="237" w:lineRule="auto"/>
        <w:rPr>
          <w:sz w:val="20"/>
          <w:szCs w:val="20"/>
          <w:color w:val="auto"/>
        </w:rPr>
      </w:pPr>
      <w:r>
        <w:rPr>
          <w:rFonts w:ascii="Georgia" w:cs="Georgia" w:eastAsia="Georgia" w:hAnsi="Georgia"/>
          <w:sz w:val="18"/>
          <w:szCs w:val="18"/>
          <w:color w:val="auto"/>
        </w:rPr>
        <w:t>Pierluigi Paracchi</w:t>
      </w:r>
    </w:p>
    <w:p>
      <w:pPr>
        <w:spacing w:after="0"/>
        <w:rPr>
          <w:sz w:val="20"/>
          <w:szCs w:val="20"/>
          <w:color w:val="auto"/>
        </w:rPr>
      </w:pPr>
      <w:r>
        <w:rPr>
          <w:rFonts w:ascii="Georgia" w:cs="Georgia" w:eastAsia="Georgia" w:hAnsi="Georgia"/>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183" w:name="page184"/>
    <w:bookmarkEnd w:id="183"/>
    <w:p>
      <w:pPr>
        <w:spacing w:after="0"/>
        <w:rPr>
          <w:sz w:val="20"/>
          <w:szCs w:val="20"/>
          <w:color w:val="auto"/>
        </w:rPr>
      </w:pPr>
      <w:r>
        <w:rPr>
          <w:rFonts w:ascii="Georgia" w:cs="Georgia" w:eastAsia="Georgia" w:hAnsi="Georgia"/>
          <w:sz w:val="18"/>
          <w:szCs w:val="18"/>
          <w:b w:val="1"/>
          <w:bCs w:val="1"/>
          <w:color w:val="auto"/>
        </w:rPr>
        <w:t>Form to be used to exercise Underwriter Warrant:</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Genenta Science S.p.A.</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Date:</w:t>
      </w:r>
    </w:p>
    <w:p>
      <w:pPr>
        <w:spacing w:after="0" w:line="202" w:lineRule="exact"/>
        <w:rPr>
          <w:sz w:val="20"/>
          <w:szCs w:val="20"/>
          <w:color w:val="auto"/>
        </w:rPr>
      </w:pPr>
    </w:p>
    <w:p>
      <w:pPr>
        <w:jc w:val="both"/>
        <w:ind w:right="20"/>
        <w:spacing w:after="0" w:line="237" w:lineRule="auto"/>
        <w:rPr>
          <w:sz w:val="20"/>
          <w:szCs w:val="20"/>
          <w:color w:val="auto"/>
        </w:rPr>
      </w:pPr>
      <w:r>
        <w:rPr>
          <w:rFonts w:ascii="Georgia" w:cs="Georgia" w:eastAsia="Georgia" w:hAnsi="Georgia"/>
          <w:sz w:val="18"/>
          <w:szCs w:val="18"/>
          <w:color w:val="auto"/>
        </w:rPr>
        <w:t>The undersigned hereby elects irrevocably to exercise the within Underwriter Warrant and to purchase Shares of Genenta Science S.p.A. and hereby makes payment of $ (at the rate of $ per share) in payment of the Exercise Price pursuant thereto. Please issue the Share as to which this Underwriter Warrant is exercised in accordance with the instructions given below.</w:t>
      </w:r>
    </w:p>
    <w:p>
      <w:pPr>
        <w:spacing w:after="0"/>
        <w:rPr>
          <w:sz w:val="20"/>
          <w:szCs w:val="20"/>
          <w:color w:val="auto"/>
        </w:rPr>
      </w:pPr>
      <w:r>
        <w:rPr>
          <w:rFonts w:ascii="Georgia" w:cs="Georgia" w:eastAsia="Georgia" w:hAnsi="Georgia"/>
          <w:sz w:val="18"/>
          <w:szCs w:val="18"/>
          <w:i w:val="1"/>
          <w:iCs w:val="1"/>
          <w:color w:val="auto"/>
        </w:rPr>
        <w:t>or</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undersigned hereby elects irrevocably to exercise the within Underwriter Warrant and to purchase Shares of Genenta Science S.p.A. by surrender of the unexercised portion of the within Underwriter Warrant (with a “Value” of $ based on a “Market Price” of $). Please issue the Shares as to which this Underwriter Warrant is exercised in accordance with the instructions given below.</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Signature</w:t>
      </w:r>
    </w:p>
    <w:p>
      <w:pPr>
        <w:spacing w:after="0" w:line="202"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b w:val="1"/>
          <w:bCs w:val="1"/>
          <w:color w:val="auto"/>
        </w:rPr>
        <w:t>NOTICE: The signature to this form must correspond with the name as written upon the face of the within Underwriter Warrant in every particular without alteration or enlargement or any change whatsoever.</w:t>
      </w:r>
    </w:p>
    <w:p>
      <w:pPr>
        <w:spacing w:after="0" w:line="202" w:lineRule="exact"/>
        <w:rPr>
          <w:sz w:val="20"/>
          <w:szCs w:val="20"/>
          <w:color w:val="auto"/>
        </w:rPr>
      </w:pPr>
    </w:p>
    <w:p>
      <w:pPr>
        <w:jc w:val="center"/>
        <w:ind w:right="-79"/>
        <w:spacing w:after="0"/>
        <w:rPr>
          <w:sz w:val="20"/>
          <w:szCs w:val="20"/>
          <w:color w:val="auto"/>
        </w:rPr>
      </w:pPr>
      <w:r>
        <w:rPr>
          <w:rFonts w:ascii="Georgia" w:cs="Georgia" w:eastAsia="Georgia" w:hAnsi="Georgia"/>
          <w:sz w:val="18"/>
          <w:szCs w:val="18"/>
          <w:b w:val="1"/>
          <w:bCs w:val="1"/>
          <w:color w:val="auto"/>
        </w:rPr>
        <w:t>INSTRUCTIONS FOR REGISTRATION OF SECURITIES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Name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(Print in Block Letters)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89" w:right="419" w:bottom="1440" w:gutter="0" w:footer="0" w:header="0"/>
        </w:sectPr>
      </w:pPr>
    </w:p>
    <w:bookmarkStart w:id="184" w:name="page185"/>
    <w:bookmarkEnd w:id="184"/>
    <w:p>
      <w:pPr>
        <w:jc w:val="center"/>
        <w:ind w:right="-259"/>
        <w:spacing w:after="0"/>
        <w:rPr>
          <w:sz w:val="20"/>
          <w:szCs w:val="20"/>
          <w:color w:val="auto"/>
        </w:rPr>
      </w:pPr>
      <w:r>
        <w:rPr>
          <w:rFonts w:ascii="Georgia" w:cs="Georgia" w:eastAsia="Georgia" w:hAnsi="Georgia"/>
          <w:sz w:val="18"/>
          <w:szCs w:val="18"/>
          <w:b w:val="1"/>
          <w:bCs w:val="1"/>
          <w:color w:val="auto"/>
        </w:rPr>
        <w:t>Form to be used to assign Underwriter Warrant:</w:t>
      </w:r>
    </w:p>
    <w:p>
      <w:pPr>
        <w:spacing w:after="0" w:line="200" w:lineRule="exact"/>
        <w:rPr>
          <w:sz w:val="20"/>
          <w:szCs w:val="20"/>
          <w:color w:val="auto"/>
        </w:rPr>
      </w:pPr>
    </w:p>
    <w:p>
      <w:pPr>
        <w:ind w:left="4960"/>
        <w:spacing w:after="0"/>
        <w:rPr>
          <w:sz w:val="20"/>
          <w:szCs w:val="20"/>
          <w:color w:val="auto"/>
        </w:rPr>
      </w:pPr>
      <w:r>
        <w:rPr>
          <w:rFonts w:ascii="Georgia" w:cs="Georgia" w:eastAsia="Georgia" w:hAnsi="Georgia"/>
          <w:sz w:val="18"/>
          <w:szCs w:val="18"/>
          <w:b w:val="1"/>
          <w:bCs w:val="1"/>
          <w:color w:val="auto"/>
        </w:rPr>
        <w:t>ASSIGNMENT</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(To be executed by the registered Holder to effect a transfer of the within Underwriter Warrant):</w:t>
      </w:r>
    </w:p>
    <w:p>
      <w:pPr>
        <w:spacing w:after="0" w:line="202" w:lineRule="exact"/>
        <w:rPr>
          <w:sz w:val="20"/>
          <w:szCs w:val="20"/>
          <w:color w:val="auto"/>
        </w:rPr>
      </w:pPr>
    </w:p>
    <w:p>
      <w:pPr>
        <w:spacing w:after="0" w:line="263" w:lineRule="auto"/>
        <w:rPr>
          <w:sz w:val="20"/>
          <w:szCs w:val="20"/>
          <w:color w:val="auto"/>
        </w:rPr>
      </w:pPr>
      <w:r>
        <w:rPr>
          <w:rFonts w:ascii="Georgia" w:cs="Georgia" w:eastAsia="Georgia" w:hAnsi="Georgia"/>
          <w:sz w:val="17"/>
          <w:szCs w:val="17"/>
          <w:color w:val="auto"/>
        </w:rPr>
        <w:t>FOR VALUE RECEIVED, does hereby sell, assign and transfer unto the right to purchase Shares of Genenta Science S.p.A. (“</w:t>
      </w:r>
      <w:r>
        <w:rPr>
          <w:rFonts w:ascii="Georgia" w:cs="Georgia" w:eastAsia="Georgia" w:hAnsi="Georgia"/>
          <w:sz w:val="17"/>
          <w:szCs w:val="17"/>
          <w:b w:val="1"/>
          <w:bCs w:val="1"/>
          <w:color w:val="auto"/>
        </w:rPr>
        <w:t>Company</w:t>
      </w:r>
      <w:r>
        <w:rPr>
          <w:rFonts w:ascii="Georgia" w:cs="Georgia" w:eastAsia="Georgia" w:hAnsi="Georgia"/>
          <w:sz w:val="17"/>
          <w:szCs w:val="17"/>
          <w:color w:val="auto"/>
        </w:rPr>
        <w:t>”) evidenced by the within Underwriter Warrant and does hereby authorize the Company to transfer such right on the books of the Company.</w:t>
      </w:r>
    </w:p>
    <w:p>
      <w:pPr>
        <w:spacing w:after="0" w:line="183" w:lineRule="exact"/>
        <w:rPr>
          <w:sz w:val="20"/>
          <w:szCs w:val="20"/>
          <w:color w:val="auto"/>
        </w:rPr>
      </w:pPr>
    </w:p>
    <w:p>
      <w:pPr>
        <w:spacing w:after="0"/>
        <w:rPr>
          <w:sz w:val="20"/>
          <w:szCs w:val="20"/>
          <w:color w:val="auto"/>
        </w:rPr>
      </w:pPr>
      <w:r>
        <w:rPr>
          <w:rFonts w:ascii="Georgia" w:cs="Georgia" w:eastAsia="Georgia" w:hAnsi="Georgia"/>
          <w:sz w:val="18"/>
          <w:szCs w:val="18"/>
          <w:color w:val="auto"/>
        </w:rPr>
        <w:t>Dated:</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Signature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Signature Guaranteed</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b w:val="1"/>
          <w:bCs w:val="1"/>
          <w:color w:val="auto"/>
        </w:rPr>
        <w:t>NOTICE: The signature to this form must correspond with the name as written upon the face of the within Underwriter Warrant in every particular without alteration or enlargement or any change whatsoever, and must be guaranteed by a bank, other than a savings bank, or by a trust company or by a firm having membership on a registered national securities exchange</w:t>
      </w:r>
      <w:r>
        <w:rPr>
          <w:rFonts w:ascii="Georgia" w:cs="Georgia" w:eastAsia="Georgia" w:hAnsi="Georgia"/>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689" w:right="599" w:bottom="1440" w:gutter="0" w:footer="0" w:header="0"/>
        </w:sectPr>
      </w:pPr>
    </w:p>
    <w:bookmarkStart w:id="185" w:name="page186"/>
    <w:bookmarkEnd w:id="185"/>
    <w:p>
      <w:pPr>
        <w:ind w:left="8900"/>
        <w:spacing w:after="0"/>
        <w:rPr>
          <w:sz w:val="20"/>
          <w:szCs w:val="20"/>
          <w:color w:val="auto"/>
        </w:rPr>
      </w:pPr>
      <w:r>
        <w:rPr>
          <w:rFonts w:ascii="Times New Roman" w:cs="Times New Roman" w:eastAsia="Times New Roman" w:hAnsi="Times New Roman"/>
          <w:sz w:val="21"/>
          <w:szCs w:val="21"/>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wp:posOffset>
            </wp:positionV>
            <wp:extent cx="7132320" cy="84613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524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32320" cy="845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524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32320" cy="845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rFonts w:ascii="Georgia" w:cs="Georgia" w:eastAsia="Georgia" w:hAnsi="Georgia"/>
          <w:sz w:val="18"/>
          <w:szCs w:val="18"/>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1714500" cy="402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17145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60"/>
        <w:spacing w:after="0"/>
        <w:rPr>
          <w:sz w:val="20"/>
          <w:szCs w:val="20"/>
          <w:color w:val="auto"/>
        </w:rPr>
      </w:pPr>
      <w:r>
        <w:rPr>
          <w:rFonts w:ascii="Georgia" w:cs="Georgia" w:eastAsia="Georgia" w:hAnsi="Georgia"/>
          <w:sz w:val="18"/>
          <w:szCs w:val="18"/>
          <w:b w:val="1"/>
          <w:bCs w:val="1"/>
          <w:color w:val="auto"/>
        </w:rPr>
        <w:t>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130175</wp:posOffset>
            </wp:positionV>
            <wp:extent cx="178308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680"/>
        <w:spacing w:after="0"/>
        <w:rPr>
          <w:sz w:val="20"/>
          <w:szCs w:val="20"/>
          <w:color w:val="auto"/>
        </w:rPr>
      </w:pPr>
      <w:r>
        <w:rPr>
          <w:rFonts w:ascii="Georgia" w:cs="Georgia" w:eastAsia="Georgia" w:hAnsi="Georgia"/>
          <w:sz w:val="18"/>
          <w:szCs w:val="18"/>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130175</wp:posOffset>
            </wp:positionV>
            <wp:extent cx="178308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360"/>
        <w:spacing w:after="0"/>
        <w:rPr>
          <w:sz w:val="20"/>
          <w:szCs w:val="20"/>
          <w:color w:val="auto"/>
        </w:rPr>
      </w:pPr>
      <w:r>
        <w:rPr>
          <w:rFonts w:ascii="Georgia" w:cs="Georgia" w:eastAsia="Georgia" w:hAnsi="Georgia"/>
          <w:sz w:val="18"/>
          <w:szCs w:val="18"/>
          <w:color w:val="auto"/>
        </w:rPr>
        <w:t>approved by the Board of Directors on May 20</w:t>
      </w:r>
      <w:r>
        <w:rPr>
          <w:rFonts w:ascii="Georgia" w:cs="Georgia" w:eastAsia="Georgia" w:hAnsi="Georgia"/>
          <w:sz w:val="29"/>
          <w:szCs w:val="29"/>
          <w:color w:val="auto"/>
          <w:vertAlign w:val="superscript"/>
        </w:rPr>
        <w:t>th</w:t>
      </w:r>
      <w:r>
        <w:rPr>
          <w:rFonts w:ascii="Georgia" w:cs="Georgia" w:eastAsia="Georgia" w:hAnsi="Georgia"/>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3429000" cy="531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3429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189" w:name="page190"/>
    <w:bookmarkEnd w:id="18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1714500" cy="4032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032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5"/>
        </w:trPr>
        <w:tc>
          <w:tcPr>
            <w:tcW w:w="860" w:type="dxa"/>
            <w:vAlign w:val="bottom"/>
            <w:gridSpan w:val="2"/>
          </w:tcPr>
          <w:p>
            <w:pPr>
              <w:spacing w:after="0"/>
              <w:rPr>
                <w:sz w:val="20"/>
                <w:szCs w:val="20"/>
                <w:color w:val="auto"/>
              </w:rPr>
            </w:pPr>
            <w:r>
              <w:rPr>
                <w:rFonts w:ascii="Georgia" w:cs="Georgia" w:eastAsia="Georgia" w:hAnsi="Georgia"/>
                <w:sz w:val="18"/>
                <w:szCs w:val="18"/>
                <w:b w:val="1"/>
                <w:bCs w:val="1"/>
                <w:color w:val="auto"/>
              </w:rPr>
              <w:t>Index</w:t>
            </w:r>
          </w:p>
        </w:tc>
        <w:tc>
          <w:tcPr>
            <w:tcW w:w="76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5"/>
        </w:trPr>
        <w:tc>
          <w:tcPr>
            <w:tcW w:w="260" w:type="dxa"/>
            <w:vAlign w:val="bottom"/>
          </w:tcPr>
          <w:p>
            <w:pPr>
              <w:spacing w:after="0"/>
              <w:rPr>
                <w:sz w:val="17"/>
                <w:szCs w:val="17"/>
                <w:color w:val="auto"/>
              </w:rPr>
            </w:pPr>
          </w:p>
        </w:tc>
        <w:tc>
          <w:tcPr>
            <w:tcW w:w="824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r>
      <w:tr>
        <w:trPr>
          <w:trHeight w:val="216"/>
        </w:trPr>
        <w:tc>
          <w:tcPr>
            <w:tcW w:w="26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1.</w:t>
            </w:r>
          </w:p>
        </w:tc>
        <w:tc>
          <w:tcPr>
            <w:tcW w:w="8240" w:type="dxa"/>
            <w:vAlign w:val="bottom"/>
            <w:gridSpan w:val="2"/>
            <w:shd w:val="clear" w:color="auto" w:fill="CCEEFF"/>
          </w:tcPr>
          <w:p>
            <w:pPr>
              <w:ind w:left="80"/>
              <w:spacing w:after="0" w:line="203" w:lineRule="exact"/>
              <w:rPr>
                <w:sz w:val="20"/>
                <w:szCs w:val="20"/>
                <w:color w:val="auto"/>
              </w:rPr>
            </w:pPr>
            <w:r>
              <w:rPr>
                <w:rFonts w:ascii="Georgia" w:cs="Georgia" w:eastAsia="Georgia" w:hAnsi="Georgia"/>
                <w:sz w:val="18"/>
                <w:szCs w:val="18"/>
                <w:b w:val="1"/>
                <w:bCs w:val="1"/>
                <w:i w:val="1"/>
                <w:iCs w:val="1"/>
                <w:color w:val="auto"/>
              </w:rPr>
              <w:t>General principles</w:t>
            </w:r>
          </w:p>
        </w:tc>
        <w:tc>
          <w:tcPr>
            <w:tcW w:w="2740" w:type="dxa"/>
            <w:vAlign w:val="bottom"/>
            <w:shd w:val="clear" w:color="auto" w:fill="CCEEFF"/>
          </w:tcPr>
          <w:p>
            <w:pPr>
              <w:jc w:val="right"/>
              <w:ind w:right="470"/>
              <w:spacing w:after="0" w:line="215" w:lineRule="exact"/>
              <w:rPr>
                <w:sz w:val="20"/>
                <w:szCs w:val="20"/>
                <w:color w:val="auto"/>
              </w:rPr>
            </w:pPr>
            <w:r>
              <w:rPr>
                <w:rFonts w:ascii="Calibri" w:cs="Calibri" w:eastAsia="Calibri" w:hAnsi="Calibri"/>
                <w:sz w:val="18"/>
                <w:szCs w:val="18"/>
                <w:b w:val="1"/>
                <w:bCs w:val="1"/>
                <w:i w:val="1"/>
                <w:iCs w:val="1"/>
                <w:color w:val="auto"/>
              </w:rPr>
              <w:t>3</w:t>
            </w:r>
          </w:p>
        </w:tc>
      </w:tr>
      <w:tr>
        <w:trPr>
          <w:trHeight w:val="215"/>
        </w:trPr>
        <w:tc>
          <w:tcPr>
            <w:tcW w:w="260" w:type="dxa"/>
            <w:vAlign w:val="bottom"/>
          </w:tcPr>
          <w:p>
            <w:pPr>
              <w:spacing w:after="0"/>
              <w:rPr>
                <w:sz w:val="18"/>
                <w:szCs w:val="18"/>
                <w:color w:val="auto"/>
              </w:rPr>
            </w:pPr>
          </w:p>
        </w:tc>
        <w:tc>
          <w:tcPr>
            <w:tcW w:w="600" w:type="dxa"/>
            <w:vAlign w:val="bottom"/>
          </w:tcPr>
          <w:p>
            <w:pPr>
              <w:ind w:left="80"/>
              <w:spacing w:after="0" w:line="203" w:lineRule="exact"/>
              <w:rPr>
                <w:sz w:val="20"/>
                <w:szCs w:val="20"/>
                <w:color w:val="auto"/>
              </w:rPr>
            </w:pPr>
            <w:r>
              <w:rPr>
                <w:rFonts w:ascii="Georgia" w:cs="Georgia" w:eastAsia="Georgia" w:hAnsi="Georgia"/>
                <w:sz w:val="18"/>
                <w:szCs w:val="18"/>
                <w:b w:val="1"/>
                <w:bCs w:val="1"/>
                <w:color w:val="auto"/>
              </w:rPr>
              <w:t>1.1.</w:t>
            </w:r>
          </w:p>
        </w:tc>
        <w:tc>
          <w:tcPr>
            <w:tcW w:w="7640" w:type="dxa"/>
            <w:vAlign w:val="bottom"/>
          </w:tcPr>
          <w:p>
            <w:pPr>
              <w:ind w:left="120"/>
              <w:spacing w:after="0" w:line="203" w:lineRule="exact"/>
              <w:rPr>
                <w:sz w:val="20"/>
                <w:szCs w:val="20"/>
                <w:color w:val="auto"/>
              </w:rPr>
            </w:pPr>
            <w:r>
              <w:rPr>
                <w:rFonts w:ascii="Georgia" w:cs="Georgia" w:eastAsia="Georgia" w:hAnsi="Georgia"/>
                <w:sz w:val="18"/>
                <w:szCs w:val="18"/>
                <w:b w:val="1"/>
                <w:bCs w:val="1"/>
                <w:color w:val="auto"/>
              </w:rPr>
              <w:t>Impartiality</w:t>
            </w:r>
          </w:p>
        </w:tc>
        <w:tc>
          <w:tcPr>
            <w:tcW w:w="2740" w:type="dxa"/>
            <w:vAlign w:val="bottom"/>
          </w:tcPr>
          <w:p>
            <w:pPr>
              <w:jc w:val="right"/>
              <w:ind w:right="470"/>
              <w:spacing w:after="0" w:line="215" w:lineRule="exact"/>
              <w:rPr>
                <w:sz w:val="20"/>
                <w:szCs w:val="20"/>
                <w:color w:val="auto"/>
              </w:rPr>
            </w:pPr>
            <w:r>
              <w:rPr>
                <w:rFonts w:ascii="Calibri" w:cs="Calibri" w:eastAsia="Calibri" w:hAnsi="Calibri"/>
                <w:sz w:val="18"/>
                <w:szCs w:val="18"/>
                <w:b w:val="1"/>
                <w:bCs w:val="1"/>
                <w:color w:val="auto"/>
              </w:rPr>
              <w:t>3</w:t>
            </w:r>
          </w:p>
        </w:tc>
      </w:tr>
      <w:tr>
        <w:trPr>
          <w:trHeight w:val="217"/>
        </w:trPr>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80"/>
              <w:spacing w:after="0"/>
              <w:rPr>
                <w:sz w:val="20"/>
                <w:szCs w:val="20"/>
                <w:color w:val="auto"/>
              </w:rPr>
            </w:pPr>
            <w:r>
              <w:rPr>
                <w:rFonts w:ascii="Georgia" w:cs="Georgia" w:eastAsia="Georgia" w:hAnsi="Georgia"/>
                <w:sz w:val="18"/>
                <w:szCs w:val="18"/>
                <w:b w:val="1"/>
                <w:bCs w:val="1"/>
                <w:color w:val="auto"/>
              </w:rPr>
              <w:t>1.2.</w:t>
            </w:r>
          </w:p>
        </w:tc>
        <w:tc>
          <w:tcPr>
            <w:tcW w:w="7640" w:type="dxa"/>
            <w:vAlign w:val="bottom"/>
            <w:shd w:val="clear" w:color="auto" w:fill="CCEEFF"/>
          </w:tcPr>
          <w:p>
            <w:pPr>
              <w:ind w:left="120"/>
              <w:spacing w:after="0"/>
              <w:rPr>
                <w:sz w:val="20"/>
                <w:szCs w:val="20"/>
                <w:color w:val="auto"/>
              </w:rPr>
            </w:pPr>
            <w:r>
              <w:rPr>
                <w:rFonts w:ascii="Georgia" w:cs="Georgia" w:eastAsia="Georgia" w:hAnsi="Georgia"/>
                <w:sz w:val="18"/>
                <w:szCs w:val="18"/>
                <w:b w:val="1"/>
                <w:bCs w:val="1"/>
                <w:color w:val="auto"/>
              </w:rPr>
              <w:t>Honesty</w:t>
            </w:r>
          </w:p>
        </w:tc>
        <w:tc>
          <w:tcPr>
            <w:tcW w:w="2740" w:type="dxa"/>
            <w:vAlign w:val="bottom"/>
            <w:shd w:val="clear" w:color="auto" w:fill="CCEEFF"/>
          </w:tcPr>
          <w:p>
            <w:pPr>
              <w:jc w:val="right"/>
              <w:ind w:right="470"/>
              <w:spacing w:after="0" w:line="216" w:lineRule="exact"/>
              <w:rPr>
                <w:sz w:val="20"/>
                <w:szCs w:val="20"/>
                <w:color w:val="auto"/>
              </w:rPr>
            </w:pPr>
            <w:r>
              <w:rPr>
                <w:rFonts w:ascii="Calibri" w:cs="Calibri" w:eastAsia="Calibri" w:hAnsi="Calibri"/>
                <w:sz w:val="18"/>
                <w:szCs w:val="18"/>
                <w:b w:val="1"/>
                <w:bCs w:val="1"/>
                <w:color w:val="auto"/>
              </w:rPr>
              <w:t>3</w:t>
            </w:r>
          </w:p>
        </w:tc>
      </w:tr>
      <w:tr>
        <w:trPr>
          <w:trHeight w:val="215"/>
        </w:trPr>
        <w:tc>
          <w:tcPr>
            <w:tcW w:w="260" w:type="dxa"/>
            <w:vAlign w:val="bottom"/>
          </w:tcPr>
          <w:p>
            <w:pPr>
              <w:spacing w:after="0"/>
              <w:rPr>
                <w:sz w:val="18"/>
                <w:szCs w:val="18"/>
                <w:color w:val="auto"/>
              </w:rPr>
            </w:pPr>
          </w:p>
        </w:tc>
        <w:tc>
          <w:tcPr>
            <w:tcW w:w="600" w:type="dxa"/>
            <w:vAlign w:val="bottom"/>
          </w:tcPr>
          <w:p>
            <w:pPr>
              <w:ind w:left="80"/>
              <w:spacing w:after="0" w:line="203" w:lineRule="exact"/>
              <w:rPr>
                <w:sz w:val="20"/>
                <w:szCs w:val="20"/>
                <w:color w:val="auto"/>
              </w:rPr>
            </w:pPr>
            <w:r>
              <w:rPr>
                <w:rFonts w:ascii="Georgia" w:cs="Georgia" w:eastAsia="Georgia" w:hAnsi="Georgia"/>
                <w:sz w:val="18"/>
                <w:szCs w:val="18"/>
                <w:b w:val="1"/>
                <w:bCs w:val="1"/>
                <w:color w:val="auto"/>
              </w:rPr>
              <w:t>1.3.</w:t>
            </w:r>
          </w:p>
        </w:tc>
        <w:tc>
          <w:tcPr>
            <w:tcW w:w="7640" w:type="dxa"/>
            <w:vAlign w:val="bottom"/>
          </w:tcPr>
          <w:p>
            <w:pPr>
              <w:ind w:left="120"/>
              <w:spacing w:after="0" w:line="203" w:lineRule="exact"/>
              <w:rPr>
                <w:sz w:val="20"/>
                <w:szCs w:val="20"/>
                <w:color w:val="auto"/>
              </w:rPr>
            </w:pPr>
            <w:r>
              <w:rPr>
                <w:rFonts w:ascii="Georgia" w:cs="Georgia" w:eastAsia="Georgia" w:hAnsi="Georgia"/>
                <w:sz w:val="18"/>
                <w:szCs w:val="18"/>
                <w:b w:val="1"/>
                <w:bCs w:val="1"/>
                <w:color w:val="auto"/>
              </w:rPr>
              <w:t>Correctness in case of potential conflicts of interest</w:t>
            </w:r>
          </w:p>
        </w:tc>
        <w:tc>
          <w:tcPr>
            <w:tcW w:w="2740" w:type="dxa"/>
            <w:vAlign w:val="bottom"/>
          </w:tcPr>
          <w:p>
            <w:pPr>
              <w:jc w:val="right"/>
              <w:ind w:right="470"/>
              <w:spacing w:after="0" w:line="215" w:lineRule="exact"/>
              <w:rPr>
                <w:sz w:val="20"/>
                <w:szCs w:val="20"/>
                <w:color w:val="auto"/>
              </w:rPr>
            </w:pPr>
            <w:r>
              <w:rPr>
                <w:rFonts w:ascii="Calibri" w:cs="Calibri" w:eastAsia="Calibri" w:hAnsi="Calibri"/>
                <w:sz w:val="18"/>
                <w:szCs w:val="18"/>
                <w:b w:val="1"/>
                <w:bCs w:val="1"/>
                <w:color w:val="auto"/>
              </w:rPr>
              <w:t>3</w:t>
            </w:r>
          </w:p>
        </w:tc>
      </w:tr>
      <w:tr>
        <w:trPr>
          <w:trHeight w:val="217"/>
        </w:trPr>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80"/>
              <w:spacing w:after="0"/>
              <w:rPr>
                <w:sz w:val="20"/>
                <w:szCs w:val="20"/>
                <w:color w:val="auto"/>
              </w:rPr>
            </w:pPr>
            <w:r>
              <w:rPr>
                <w:rFonts w:ascii="Georgia" w:cs="Georgia" w:eastAsia="Georgia" w:hAnsi="Georgia"/>
                <w:sz w:val="18"/>
                <w:szCs w:val="18"/>
                <w:b w:val="1"/>
                <w:bCs w:val="1"/>
                <w:color w:val="auto"/>
              </w:rPr>
              <w:t>1.4.</w:t>
            </w:r>
          </w:p>
        </w:tc>
        <w:tc>
          <w:tcPr>
            <w:tcW w:w="7640" w:type="dxa"/>
            <w:vAlign w:val="bottom"/>
            <w:shd w:val="clear" w:color="auto" w:fill="CCEEFF"/>
          </w:tcPr>
          <w:p>
            <w:pPr>
              <w:ind w:left="120"/>
              <w:spacing w:after="0"/>
              <w:rPr>
                <w:sz w:val="20"/>
                <w:szCs w:val="20"/>
                <w:color w:val="auto"/>
              </w:rPr>
            </w:pPr>
            <w:r>
              <w:rPr>
                <w:rFonts w:ascii="Georgia" w:cs="Georgia" w:eastAsia="Georgia" w:hAnsi="Georgia"/>
                <w:sz w:val="18"/>
                <w:szCs w:val="18"/>
                <w:b w:val="1"/>
                <w:bCs w:val="1"/>
                <w:color w:val="auto"/>
              </w:rPr>
              <w:t>Confidentiality</w:t>
            </w:r>
          </w:p>
        </w:tc>
        <w:tc>
          <w:tcPr>
            <w:tcW w:w="2740" w:type="dxa"/>
            <w:vAlign w:val="bottom"/>
            <w:shd w:val="clear" w:color="auto" w:fill="CCEEFF"/>
          </w:tcPr>
          <w:p>
            <w:pPr>
              <w:jc w:val="right"/>
              <w:ind w:right="470"/>
              <w:spacing w:after="0" w:line="216" w:lineRule="exact"/>
              <w:rPr>
                <w:sz w:val="20"/>
                <w:szCs w:val="20"/>
                <w:color w:val="auto"/>
              </w:rPr>
            </w:pPr>
            <w:r>
              <w:rPr>
                <w:rFonts w:ascii="Calibri" w:cs="Calibri" w:eastAsia="Calibri" w:hAnsi="Calibri"/>
                <w:sz w:val="18"/>
                <w:szCs w:val="18"/>
                <w:b w:val="1"/>
                <w:bCs w:val="1"/>
                <w:color w:val="auto"/>
              </w:rPr>
              <w:t>3</w:t>
            </w:r>
          </w:p>
        </w:tc>
      </w:tr>
      <w:tr>
        <w:trPr>
          <w:trHeight w:val="215"/>
        </w:trPr>
        <w:tc>
          <w:tcPr>
            <w:tcW w:w="260" w:type="dxa"/>
            <w:vAlign w:val="bottom"/>
          </w:tcPr>
          <w:p>
            <w:pPr>
              <w:spacing w:after="0"/>
              <w:rPr>
                <w:sz w:val="18"/>
                <w:szCs w:val="18"/>
                <w:color w:val="auto"/>
              </w:rPr>
            </w:pPr>
          </w:p>
        </w:tc>
        <w:tc>
          <w:tcPr>
            <w:tcW w:w="600" w:type="dxa"/>
            <w:vAlign w:val="bottom"/>
          </w:tcPr>
          <w:p>
            <w:pPr>
              <w:ind w:left="80"/>
              <w:spacing w:after="0" w:line="203" w:lineRule="exact"/>
              <w:rPr>
                <w:sz w:val="20"/>
                <w:szCs w:val="20"/>
                <w:color w:val="auto"/>
              </w:rPr>
            </w:pPr>
            <w:r>
              <w:rPr>
                <w:rFonts w:ascii="Georgia" w:cs="Georgia" w:eastAsia="Georgia" w:hAnsi="Georgia"/>
                <w:sz w:val="18"/>
                <w:szCs w:val="18"/>
                <w:b w:val="1"/>
                <w:bCs w:val="1"/>
                <w:color w:val="auto"/>
              </w:rPr>
              <w:t>1.5.</w:t>
            </w:r>
          </w:p>
        </w:tc>
        <w:tc>
          <w:tcPr>
            <w:tcW w:w="7640" w:type="dxa"/>
            <w:vAlign w:val="bottom"/>
          </w:tcPr>
          <w:p>
            <w:pPr>
              <w:ind w:left="120"/>
              <w:spacing w:after="0" w:line="203" w:lineRule="exact"/>
              <w:rPr>
                <w:sz w:val="20"/>
                <w:szCs w:val="20"/>
                <w:color w:val="auto"/>
              </w:rPr>
            </w:pPr>
            <w:r>
              <w:rPr>
                <w:rFonts w:ascii="Georgia" w:cs="Georgia" w:eastAsia="Georgia" w:hAnsi="Georgia"/>
                <w:sz w:val="18"/>
                <w:szCs w:val="18"/>
                <w:b w:val="1"/>
                <w:bCs w:val="1"/>
                <w:color w:val="auto"/>
              </w:rPr>
              <w:t>Value of human resources</w:t>
            </w:r>
          </w:p>
        </w:tc>
        <w:tc>
          <w:tcPr>
            <w:tcW w:w="2740" w:type="dxa"/>
            <w:vAlign w:val="bottom"/>
          </w:tcPr>
          <w:p>
            <w:pPr>
              <w:jc w:val="right"/>
              <w:ind w:right="470"/>
              <w:spacing w:after="0" w:line="215" w:lineRule="exact"/>
              <w:rPr>
                <w:sz w:val="20"/>
                <w:szCs w:val="20"/>
                <w:color w:val="auto"/>
              </w:rPr>
            </w:pPr>
            <w:r>
              <w:rPr>
                <w:rFonts w:ascii="Calibri" w:cs="Calibri" w:eastAsia="Calibri" w:hAnsi="Calibri"/>
                <w:sz w:val="18"/>
                <w:szCs w:val="18"/>
                <w:b w:val="1"/>
                <w:bCs w:val="1"/>
                <w:color w:val="auto"/>
              </w:rPr>
              <w:t>3</w:t>
            </w:r>
          </w:p>
        </w:tc>
      </w:tr>
      <w:tr>
        <w:trPr>
          <w:trHeight w:val="217"/>
        </w:trPr>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80"/>
              <w:spacing w:after="0"/>
              <w:rPr>
                <w:sz w:val="20"/>
                <w:szCs w:val="20"/>
                <w:color w:val="auto"/>
              </w:rPr>
            </w:pPr>
            <w:r>
              <w:rPr>
                <w:rFonts w:ascii="Georgia" w:cs="Georgia" w:eastAsia="Georgia" w:hAnsi="Georgia"/>
                <w:sz w:val="18"/>
                <w:szCs w:val="18"/>
                <w:b w:val="1"/>
                <w:bCs w:val="1"/>
                <w:color w:val="auto"/>
              </w:rPr>
              <w:t>1.6.</w:t>
            </w:r>
          </w:p>
        </w:tc>
        <w:tc>
          <w:tcPr>
            <w:tcW w:w="7640" w:type="dxa"/>
            <w:vAlign w:val="bottom"/>
            <w:shd w:val="clear" w:color="auto" w:fill="CCEEFF"/>
          </w:tcPr>
          <w:p>
            <w:pPr>
              <w:ind w:left="120"/>
              <w:spacing w:after="0"/>
              <w:rPr>
                <w:sz w:val="20"/>
                <w:szCs w:val="20"/>
                <w:color w:val="auto"/>
              </w:rPr>
            </w:pPr>
            <w:r>
              <w:rPr>
                <w:rFonts w:ascii="Georgia" w:cs="Georgia" w:eastAsia="Georgia" w:hAnsi="Georgia"/>
                <w:sz w:val="18"/>
                <w:szCs w:val="18"/>
                <w:b w:val="1"/>
                <w:bCs w:val="1"/>
                <w:color w:val="auto"/>
              </w:rPr>
              <w:t>Personal integrity and dignity</w:t>
            </w:r>
          </w:p>
        </w:tc>
        <w:tc>
          <w:tcPr>
            <w:tcW w:w="2740" w:type="dxa"/>
            <w:vAlign w:val="bottom"/>
            <w:shd w:val="clear" w:color="auto" w:fill="CCEEFF"/>
          </w:tcPr>
          <w:p>
            <w:pPr>
              <w:jc w:val="right"/>
              <w:ind w:right="470"/>
              <w:spacing w:after="0" w:line="216" w:lineRule="exact"/>
              <w:rPr>
                <w:sz w:val="20"/>
                <w:szCs w:val="20"/>
                <w:color w:val="auto"/>
              </w:rPr>
            </w:pPr>
            <w:r>
              <w:rPr>
                <w:rFonts w:ascii="Calibri" w:cs="Calibri" w:eastAsia="Calibri" w:hAnsi="Calibri"/>
                <w:sz w:val="18"/>
                <w:szCs w:val="18"/>
                <w:b w:val="1"/>
                <w:bCs w:val="1"/>
                <w:color w:val="auto"/>
              </w:rPr>
              <w:t>4</w:t>
            </w:r>
          </w:p>
        </w:tc>
      </w:tr>
      <w:tr>
        <w:trPr>
          <w:trHeight w:val="215"/>
        </w:trPr>
        <w:tc>
          <w:tcPr>
            <w:tcW w:w="260" w:type="dxa"/>
            <w:vAlign w:val="bottom"/>
          </w:tcPr>
          <w:p>
            <w:pPr>
              <w:spacing w:after="0"/>
              <w:rPr>
                <w:sz w:val="18"/>
                <w:szCs w:val="18"/>
                <w:color w:val="auto"/>
              </w:rPr>
            </w:pPr>
          </w:p>
        </w:tc>
        <w:tc>
          <w:tcPr>
            <w:tcW w:w="600" w:type="dxa"/>
            <w:vAlign w:val="bottom"/>
          </w:tcPr>
          <w:p>
            <w:pPr>
              <w:ind w:left="80"/>
              <w:spacing w:after="0" w:line="203" w:lineRule="exact"/>
              <w:rPr>
                <w:sz w:val="20"/>
                <w:szCs w:val="20"/>
                <w:color w:val="auto"/>
              </w:rPr>
            </w:pPr>
            <w:r>
              <w:rPr>
                <w:rFonts w:ascii="Georgia" w:cs="Georgia" w:eastAsia="Georgia" w:hAnsi="Georgia"/>
                <w:sz w:val="18"/>
                <w:szCs w:val="18"/>
                <w:b w:val="1"/>
                <w:bCs w:val="1"/>
                <w:color w:val="auto"/>
              </w:rPr>
              <w:t>1.7.</w:t>
            </w:r>
          </w:p>
        </w:tc>
        <w:tc>
          <w:tcPr>
            <w:tcW w:w="7640" w:type="dxa"/>
            <w:vAlign w:val="bottom"/>
          </w:tcPr>
          <w:p>
            <w:pPr>
              <w:ind w:left="120"/>
              <w:spacing w:after="0" w:line="203" w:lineRule="exact"/>
              <w:rPr>
                <w:sz w:val="20"/>
                <w:szCs w:val="20"/>
                <w:color w:val="auto"/>
              </w:rPr>
            </w:pPr>
            <w:r>
              <w:rPr>
                <w:rFonts w:ascii="Georgia" w:cs="Georgia" w:eastAsia="Georgia" w:hAnsi="Georgia"/>
                <w:sz w:val="18"/>
                <w:szCs w:val="18"/>
                <w:b w:val="1"/>
                <w:bCs w:val="1"/>
                <w:color w:val="auto"/>
              </w:rPr>
              <w:t>Fairness of authority</w:t>
            </w:r>
          </w:p>
        </w:tc>
        <w:tc>
          <w:tcPr>
            <w:tcW w:w="2740" w:type="dxa"/>
            <w:vAlign w:val="bottom"/>
          </w:tcPr>
          <w:p>
            <w:pPr>
              <w:jc w:val="right"/>
              <w:ind w:right="470"/>
              <w:spacing w:after="0" w:line="215" w:lineRule="exact"/>
              <w:rPr>
                <w:sz w:val="20"/>
                <w:szCs w:val="20"/>
                <w:color w:val="auto"/>
              </w:rPr>
            </w:pPr>
            <w:r>
              <w:rPr>
                <w:rFonts w:ascii="Calibri" w:cs="Calibri" w:eastAsia="Calibri" w:hAnsi="Calibri"/>
                <w:sz w:val="18"/>
                <w:szCs w:val="18"/>
                <w:b w:val="1"/>
                <w:bCs w:val="1"/>
                <w:color w:val="auto"/>
              </w:rPr>
              <w:t>4</w:t>
            </w:r>
          </w:p>
        </w:tc>
      </w:tr>
      <w:tr>
        <w:trPr>
          <w:trHeight w:val="217"/>
        </w:trPr>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80"/>
              <w:spacing w:after="0"/>
              <w:rPr>
                <w:sz w:val="20"/>
                <w:szCs w:val="20"/>
                <w:color w:val="auto"/>
              </w:rPr>
            </w:pPr>
            <w:r>
              <w:rPr>
                <w:rFonts w:ascii="Georgia" w:cs="Georgia" w:eastAsia="Georgia" w:hAnsi="Georgia"/>
                <w:sz w:val="18"/>
                <w:szCs w:val="18"/>
                <w:b w:val="1"/>
                <w:bCs w:val="1"/>
                <w:color w:val="auto"/>
              </w:rPr>
              <w:t>1.8.</w:t>
            </w:r>
          </w:p>
        </w:tc>
        <w:tc>
          <w:tcPr>
            <w:tcW w:w="7640" w:type="dxa"/>
            <w:vAlign w:val="bottom"/>
            <w:shd w:val="clear" w:color="auto" w:fill="CCEEFF"/>
          </w:tcPr>
          <w:p>
            <w:pPr>
              <w:ind w:left="120"/>
              <w:spacing w:after="0"/>
              <w:rPr>
                <w:sz w:val="20"/>
                <w:szCs w:val="20"/>
                <w:color w:val="auto"/>
              </w:rPr>
            </w:pPr>
            <w:r>
              <w:rPr>
                <w:rFonts w:ascii="Georgia" w:cs="Georgia" w:eastAsia="Georgia" w:hAnsi="Georgia"/>
                <w:sz w:val="18"/>
                <w:szCs w:val="18"/>
                <w:b w:val="1"/>
                <w:bCs w:val="1"/>
                <w:color w:val="auto"/>
              </w:rPr>
              <w:t>Entrepreneurship</w:t>
            </w:r>
          </w:p>
        </w:tc>
        <w:tc>
          <w:tcPr>
            <w:tcW w:w="2740" w:type="dxa"/>
            <w:vAlign w:val="bottom"/>
            <w:shd w:val="clear" w:color="auto" w:fill="CCEEFF"/>
          </w:tcPr>
          <w:p>
            <w:pPr>
              <w:jc w:val="right"/>
              <w:ind w:right="470"/>
              <w:spacing w:after="0" w:line="216" w:lineRule="exact"/>
              <w:rPr>
                <w:sz w:val="20"/>
                <w:szCs w:val="20"/>
                <w:color w:val="auto"/>
              </w:rPr>
            </w:pPr>
            <w:r>
              <w:rPr>
                <w:rFonts w:ascii="Calibri" w:cs="Calibri" w:eastAsia="Calibri" w:hAnsi="Calibri"/>
                <w:sz w:val="18"/>
                <w:szCs w:val="18"/>
                <w:b w:val="1"/>
                <w:bCs w:val="1"/>
                <w:color w:val="auto"/>
              </w:rPr>
              <w:t>4</w:t>
            </w:r>
          </w:p>
        </w:tc>
      </w:tr>
      <w:tr>
        <w:trPr>
          <w:trHeight w:val="215"/>
        </w:trPr>
        <w:tc>
          <w:tcPr>
            <w:tcW w:w="260" w:type="dxa"/>
            <w:vAlign w:val="bottom"/>
          </w:tcPr>
          <w:p>
            <w:pPr>
              <w:spacing w:after="0"/>
              <w:rPr>
                <w:sz w:val="18"/>
                <w:szCs w:val="18"/>
                <w:color w:val="auto"/>
              </w:rPr>
            </w:pPr>
          </w:p>
        </w:tc>
        <w:tc>
          <w:tcPr>
            <w:tcW w:w="600" w:type="dxa"/>
            <w:vAlign w:val="bottom"/>
          </w:tcPr>
          <w:p>
            <w:pPr>
              <w:ind w:left="80"/>
              <w:spacing w:after="0" w:line="203" w:lineRule="exact"/>
              <w:rPr>
                <w:sz w:val="20"/>
                <w:szCs w:val="20"/>
                <w:color w:val="auto"/>
              </w:rPr>
            </w:pPr>
            <w:r>
              <w:rPr>
                <w:rFonts w:ascii="Georgia" w:cs="Georgia" w:eastAsia="Georgia" w:hAnsi="Georgia"/>
                <w:sz w:val="18"/>
                <w:szCs w:val="18"/>
                <w:b w:val="1"/>
                <w:bCs w:val="1"/>
                <w:color w:val="auto"/>
              </w:rPr>
              <w:t>1.9.</w:t>
            </w:r>
          </w:p>
        </w:tc>
        <w:tc>
          <w:tcPr>
            <w:tcW w:w="7640" w:type="dxa"/>
            <w:vAlign w:val="bottom"/>
          </w:tcPr>
          <w:p>
            <w:pPr>
              <w:ind w:left="120"/>
              <w:spacing w:after="0" w:line="203" w:lineRule="exact"/>
              <w:rPr>
                <w:sz w:val="20"/>
                <w:szCs w:val="20"/>
                <w:color w:val="auto"/>
              </w:rPr>
            </w:pPr>
            <w:r>
              <w:rPr>
                <w:rFonts w:ascii="Georgia" w:cs="Georgia" w:eastAsia="Georgia" w:hAnsi="Georgia"/>
                <w:sz w:val="18"/>
                <w:szCs w:val="18"/>
                <w:b w:val="1"/>
                <w:bCs w:val="1"/>
                <w:color w:val="auto"/>
              </w:rPr>
              <w:t>Responsibility for the community</w:t>
            </w:r>
          </w:p>
        </w:tc>
        <w:tc>
          <w:tcPr>
            <w:tcW w:w="2740" w:type="dxa"/>
            <w:vAlign w:val="bottom"/>
          </w:tcPr>
          <w:p>
            <w:pPr>
              <w:jc w:val="right"/>
              <w:ind w:right="470"/>
              <w:spacing w:after="0" w:line="215" w:lineRule="exact"/>
              <w:rPr>
                <w:sz w:val="20"/>
                <w:szCs w:val="20"/>
                <w:color w:val="auto"/>
              </w:rPr>
            </w:pPr>
            <w:r>
              <w:rPr>
                <w:rFonts w:ascii="Calibri" w:cs="Calibri" w:eastAsia="Calibri" w:hAnsi="Calibri"/>
                <w:sz w:val="18"/>
                <w:szCs w:val="18"/>
                <w:b w:val="1"/>
                <w:bCs w:val="1"/>
                <w:color w:val="auto"/>
              </w:rPr>
              <w:t>4</w:t>
            </w:r>
          </w:p>
        </w:tc>
      </w:tr>
      <w:tr>
        <w:trPr>
          <w:trHeight w:val="217"/>
        </w:trPr>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80"/>
              <w:spacing w:after="0"/>
              <w:rPr>
                <w:sz w:val="20"/>
                <w:szCs w:val="20"/>
                <w:color w:val="auto"/>
              </w:rPr>
            </w:pPr>
            <w:r>
              <w:rPr>
                <w:rFonts w:ascii="Georgia" w:cs="Georgia" w:eastAsia="Georgia" w:hAnsi="Georgia"/>
                <w:sz w:val="18"/>
                <w:szCs w:val="18"/>
                <w:b w:val="1"/>
                <w:bCs w:val="1"/>
                <w:color w:val="auto"/>
              </w:rPr>
              <w:t>1.10.</w:t>
            </w:r>
          </w:p>
        </w:tc>
        <w:tc>
          <w:tcPr>
            <w:tcW w:w="7640" w:type="dxa"/>
            <w:vAlign w:val="bottom"/>
            <w:shd w:val="clear" w:color="auto" w:fill="CCEEFF"/>
          </w:tcPr>
          <w:p>
            <w:pPr>
              <w:ind w:left="120"/>
              <w:spacing w:after="0"/>
              <w:rPr>
                <w:sz w:val="20"/>
                <w:szCs w:val="20"/>
                <w:color w:val="auto"/>
              </w:rPr>
            </w:pPr>
            <w:r>
              <w:rPr>
                <w:rFonts w:ascii="Georgia" w:cs="Georgia" w:eastAsia="Georgia" w:hAnsi="Georgia"/>
                <w:sz w:val="18"/>
                <w:szCs w:val="18"/>
                <w:b w:val="1"/>
                <w:bCs w:val="1"/>
                <w:color w:val="auto"/>
              </w:rPr>
              <w:t>Environmental protection</w:t>
            </w:r>
          </w:p>
        </w:tc>
        <w:tc>
          <w:tcPr>
            <w:tcW w:w="2740" w:type="dxa"/>
            <w:vAlign w:val="bottom"/>
            <w:shd w:val="clear" w:color="auto" w:fill="CCEEFF"/>
          </w:tcPr>
          <w:p>
            <w:pPr>
              <w:jc w:val="right"/>
              <w:ind w:right="470"/>
              <w:spacing w:after="0" w:line="216" w:lineRule="exact"/>
              <w:rPr>
                <w:sz w:val="20"/>
                <w:szCs w:val="20"/>
                <w:color w:val="auto"/>
              </w:rPr>
            </w:pPr>
            <w:r>
              <w:rPr>
                <w:rFonts w:ascii="Calibri" w:cs="Calibri" w:eastAsia="Calibri" w:hAnsi="Calibri"/>
                <w:sz w:val="18"/>
                <w:szCs w:val="18"/>
                <w:b w:val="1"/>
                <w:bCs w:val="1"/>
                <w:color w:val="auto"/>
              </w:rPr>
              <w:t>4</w:t>
            </w:r>
          </w:p>
        </w:tc>
      </w:tr>
      <w:tr>
        <w:trPr>
          <w:trHeight w:val="215"/>
        </w:trPr>
        <w:tc>
          <w:tcPr>
            <w:tcW w:w="260" w:type="dxa"/>
            <w:vAlign w:val="bottom"/>
          </w:tcPr>
          <w:p>
            <w:pPr>
              <w:spacing w:after="0" w:line="203" w:lineRule="exact"/>
              <w:rPr>
                <w:sz w:val="20"/>
                <w:szCs w:val="20"/>
                <w:color w:val="auto"/>
              </w:rPr>
            </w:pPr>
            <w:r>
              <w:rPr>
                <w:rFonts w:ascii="Georgia" w:cs="Georgia" w:eastAsia="Georgia" w:hAnsi="Georgia"/>
                <w:sz w:val="18"/>
                <w:szCs w:val="18"/>
                <w:b w:val="1"/>
                <w:bCs w:val="1"/>
                <w:color w:val="auto"/>
              </w:rPr>
              <w:t>2.</w:t>
            </w:r>
          </w:p>
        </w:tc>
        <w:tc>
          <w:tcPr>
            <w:tcW w:w="8240" w:type="dxa"/>
            <w:vAlign w:val="bottom"/>
            <w:gridSpan w:val="2"/>
          </w:tcPr>
          <w:p>
            <w:pPr>
              <w:ind w:left="80"/>
              <w:spacing w:after="0" w:line="203" w:lineRule="exact"/>
              <w:rPr>
                <w:sz w:val="20"/>
                <w:szCs w:val="20"/>
                <w:color w:val="auto"/>
              </w:rPr>
            </w:pPr>
            <w:r>
              <w:rPr>
                <w:rFonts w:ascii="Georgia" w:cs="Georgia" w:eastAsia="Georgia" w:hAnsi="Georgia"/>
                <w:sz w:val="18"/>
                <w:szCs w:val="18"/>
                <w:b w:val="1"/>
                <w:bCs w:val="1"/>
                <w:i w:val="1"/>
                <w:iCs w:val="1"/>
                <w:color w:val="auto"/>
              </w:rPr>
              <w:t>Duties of directors, officers and employees according to the Code</w:t>
            </w:r>
          </w:p>
        </w:tc>
        <w:tc>
          <w:tcPr>
            <w:tcW w:w="2740" w:type="dxa"/>
            <w:vAlign w:val="bottom"/>
          </w:tcPr>
          <w:p>
            <w:pPr>
              <w:jc w:val="right"/>
              <w:ind w:right="470"/>
              <w:spacing w:after="0" w:line="215" w:lineRule="exact"/>
              <w:rPr>
                <w:sz w:val="20"/>
                <w:szCs w:val="20"/>
                <w:color w:val="auto"/>
              </w:rPr>
            </w:pPr>
            <w:r>
              <w:rPr>
                <w:rFonts w:ascii="Calibri" w:cs="Calibri" w:eastAsia="Calibri" w:hAnsi="Calibri"/>
                <w:sz w:val="18"/>
                <w:szCs w:val="18"/>
                <w:b w:val="1"/>
                <w:bCs w:val="1"/>
                <w:i w:val="1"/>
                <w:iCs w:val="1"/>
                <w:color w:val="auto"/>
              </w:rPr>
              <w:t>5</w:t>
            </w:r>
          </w:p>
        </w:tc>
      </w:tr>
      <w:tr>
        <w:trPr>
          <w:trHeight w:val="217"/>
        </w:trPr>
        <w:tc>
          <w:tcPr>
            <w:tcW w:w="260" w:type="dxa"/>
            <w:vAlign w:val="bottom"/>
            <w:shd w:val="clear" w:color="auto" w:fill="CCEEFF"/>
          </w:tcPr>
          <w:p>
            <w:pPr>
              <w:spacing w:after="0"/>
              <w:rPr>
                <w:sz w:val="20"/>
                <w:szCs w:val="20"/>
                <w:color w:val="auto"/>
              </w:rPr>
            </w:pPr>
            <w:r>
              <w:rPr>
                <w:rFonts w:ascii="Georgia" w:cs="Georgia" w:eastAsia="Georgia" w:hAnsi="Georgia"/>
                <w:sz w:val="18"/>
                <w:szCs w:val="18"/>
                <w:b w:val="1"/>
                <w:bCs w:val="1"/>
                <w:color w:val="auto"/>
              </w:rPr>
              <w:t>3.</w:t>
            </w:r>
          </w:p>
        </w:tc>
        <w:tc>
          <w:tcPr>
            <w:tcW w:w="8240" w:type="dxa"/>
            <w:vAlign w:val="bottom"/>
            <w:gridSpan w:val="2"/>
            <w:shd w:val="clear" w:color="auto" w:fill="CCEEFF"/>
          </w:tcPr>
          <w:p>
            <w:pPr>
              <w:ind w:left="80"/>
              <w:spacing w:after="0"/>
              <w:rPr>
                <w:sz w:val="20"/>
                <w:szCs w:val="20"/>
                <w:color w:val="auto"/>
              </w:rPr>
            </w:pPr>
            <w:r>
              <w:rPr>
                <w:rFonts w:ascii="Georgia" w:cs="Georgia" w:eastAsia="Georgia" w:hAnsi="Georgia"/>
                <w:sz w:val="18"/>
                <w:szCs w:val="18"/>
                <w:b w:val="1"/>
                <w:bCs w:val="1"/>
                <w:i w:val="1"/>
                <w:iCs w:val="1"/>
                <w:color w:val="auto"/>
              </w:rPr>
              <w:t>Breach of the Code</w:t>
            </w:r>
          </w:p>
        </w:tc>
        <w:tc>
          <w:tcPr>
            <w:tcW w:w="2740" w:type="dxa"/>
            <w:vAlign w:val="bottom"/>
            <w:shd w:val="clear" w:color="auto" w:fill="CCEEFF"/>
          </w:tcPr>
          <w:p>
            <w:pPr>
              <w:jc w:val="right"/>
              <w:ind w:right="470"/>
              <w:spacing w:after="0" w:line="216" w:lineRule="exact"/>
              <w:rPr>
                <w:sz w:val="20"/>
                <w:szCs w:val="20"/>
                <w:color w:val="auto"/>
              </w:rPr>
            </w:pPr>
            <w:r>
              <w:rPr>
                <w:rFonts w:ascii="Calibri" w:cs="Calibri" w:eastAsia="Calibri" w:hAnsi="Calibri"/>
                <w:sz w:val="18"/>
                <w:szCs w:val="18"/>
                <w:b w:val="1"/>
                <w:bCs w:val="1"/>
                <w:i w:val="1"/>
                <w:i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3429000" cy="5314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3429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440690</wp:posOffset>
            </wp:positionV>
            <wp:extent cx="1714500" cy="4032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03225"/>
                    </a:xfrm>
                    <a:prstGeom prst="rect">
                      <a:avLst/>
                    </a:prstGeom>
                    <a:noFill/>
                  </pic:spPr>
                </pic:pic>
              </a:graphicData>
            </a:graphic>
          </wp:anchor>
        </w:drawing>
      </w:r>
    </w:p>
    <w:p>
      <w:pPr>
        <w:jc w:val="center"/>
        <w:spacing w:after="0"/>
        <w:rPr>
          <w:sz w:val="20"/>
          <w:szCs w:val="20"/>
          <w:color w:val="auto"/>
        </w:rPr>
      </w:pPr>
      <w:r>
        <w:rPr>
          <w:rFonts w:ascii="Georgia" w:cs="Georgia" w:eastAsia="Georgia" w:hAnsi="Georgia"/>
          <w:sz w:val="18"/>
          <w:szCs w:val="18"/>
          <w:b w:val="1"/>
          <w:bCs w:val="1"/>
          <w:color w:val="auto"/>
        </w:rPr>
        <w:t>CODE OF ETHICS OF GENENTA SCIENCE S.P.A.</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APPLICABLE TO DIRECTORS, OFFICERS AND EMPLOYEES</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To promote the ethical conduct and integrity generally of Genenta Science S.p.A. (the “</w:t>
      </w:r>
      <w:r>
        <w:rPr>
          <w:rFonts w:ascii="Georgia" w:cs="Georgia" w:eastAsia="Georgia" w:hAnsi="Georgia"/>
          <w:sz w:val="18"/>
          <w:szCs w:val="18"/>
          <w:b w:val="1"/>
          <w:bCs w:val="1"/>
          <w:color w:val="auto"/>
        </w:rPr>
        <w:t>Company</w:t>
      </w:r>
      <w:r>
        <w:rPr>
          <w:rFonts w:ascii="Georgia" w:cs="Georgia" w:eastAsia="Georgia" w:hAnsi="Georgia"/>
          <w:sz w:val="18"/>
          <w:szCs w:val="18"/>
          <w:color w:val="auto"/>
        </w:rPr>
        <w:t>” or “</w:t>
      </w:r>
      <w:r>
        <w:rPr>
          <w:rFonts w:ascii="Georgia" w:cs="Georgia" w:eastAsia="Georgia" w:hAnsi="Georgia"/>
          <w:sz w:val="18"/>
          <w:szCs w:val="18"/>
          <w:b w:val="1"/>
          <w:bCs w:val="1"/>
          <w:color w:val="auto"/>
        </w:rPr>
        <w:t>Genenta</w:t>
      </w:r>
      <w:r>
        <w:rPr>
          <w:rFonts w:ascii="Georgia" w:cs="Georgia" w:eastAsia="Georgia" w:hAnsi="Georgia"/>
          <w:sz w:val="18"/>
          <w:szCs w:val="18"/>
          <w:color w:val="auto"/>
        </w:rPr>
        <w:t>”), and to promote accurate, fair and timely reporting of the Company’s financial results and condition and other information we release to the public market and include in reports we file with the Securities and Exchange Commission (the “</w:t>
      </w:r>
      <w:r>
        <w:rPr>
          <w:rFonts w:ascii="Georgia" w:cs="Georgia" w:eastAsia="Georgia" w:hAnsi="Georgia"/>
          <w:sz w:val="18"/>
          <w:szCs w:val="18"/>
          <w:b w:val="1"/>
          <w:bCs w:val="1"/>
          <w:color w:val="auto"/>
        </w:rPr>
        <w:t>SEC</w:t>
      </w:r>
      <w:r>
        <w:rPr>
          <w:rFonts w:ascii="Georgia" w:cs="Georgia" w:eastAsia="Georgia" w:hAnsi="Georgia"/>
          <w:sz w:val="18"/>
          <w:szCs w:val="18"/>
          <w:color w:val="auto"/>
        </w:rPr>
        <w:t>”), all directors, officers and employees of the Company are bound by the following Code of Ethics (the “</w:t>
      </w:r>
      <w:r>
        <w:rPr>
          <w:rFonts w:ascii="Georgia" w:cs="Georgia" w:eastAsia="Georgia" w:hAnsi="Georgia"/>
          <w:sz w:val="18"/>
          <w:szCs w:val="18"/>
          <w:b w:val="1"/>
          <w:bCs w:val="1"/>
          <w:color w:val="auto"/>
        </w:rPr>
        <w:t>Code</w:t>
      </w:r>
      <w:r>
        <w:rPr>
          <w:rFonts w:ascii="Georgia" w:cs="Georgia" w:eastAsia="Georgia" w:hAnsi="Georgia"/>
          <w:sz w:val="18"/>
          <w:szCs w:val="18"/>
          <w:color w:val="auto"/>
        </w:rPr>
        <w:t>”)</w:t>
      </w:r>
    </w:p>
    <w:p>
      <w:pPr>
        <w:spacing w:after="0" w:line="205" w:lineRule="exact"/>
        <w:rPr>
          <w:sz w:val="20"/>
          <w:szCs w:val="20"/>
          <w:color w:val="auto"/>
        </w:rPr>
      </w:pPr>
    </w:p>
    <w:p>
      <w:pPr>
        <w:ind w:left="340" w:right="9420" w:hanging="332"/>
        <w:spacing w:after="0" w:line="503" w:lineRule="auto"/>
        <w:tabs>
          <w:tab w:leader="none" w:pos="340" w:val="left"/>
        </w:tabs>
        <w:numPr>
          <w:ilvl w:val="0"/>
          <w:numId w:val="124"/>
        </w:numPr>
        <w:rPr>
          <w:rFonts w:ascii="Georgia" w:cs="Georgia" w:eastAsia="Georgia" w:hAnsi="Georgia"/>
          <w:sz w:val="17"/>
          <w:szCs w:val="17"/>
          <w:i w:val="1"/>
          <w:iCs w:val="1"/>
          <w:color w:val="auto"/>
        </w:rPr>
      </w:pPr>
      <w:r>
        <w:rPr>
          <w:rFonts w:ascii="Georgia" w:cs="Georgia" w:eastAsia="Georgia" w:hAnsi="Georgia"/>
          <w:sz w:val="17"/>
          <w:szCs w:val="17"/>
          <w:i w:val="1"/>
          <w:iCs w:val="1"/>
          <w:color w:val="auto"/>
        </w:rPr>
        <w:t xml:space="preserve">General principles </w:t>
      </w:r>
      <w:r>
        <w:rPr>
          <w:rFonts w:ascii="Georgia" w:cs="Georgia" w:eastAsia="Georgia" w:hAnsi="Georgia"/>
          <w:sz w:val="17"/>
          <w:szCs w:val="17"/>
          <w:color w:val="auto"/>
        </w:rPr>
        <w:t>1.1. Impartiality</w:t>
      </w:r>
    </w:p>
    <w:p>
      <w:pPr>
        <w:jc w:val="both"/>
        <w:spacing w:after="0" w:line="237" w:lineRule="auto"/>
        <w:rPr>
          <w:sz w:val="20"/>
          <w:szCs w:val="20"/>
          <w:color w:val="auto"/>
        </w:rPr>
      </w:pPr>
      <w:r>
        <w:rPr>
          <w:rFonts w:ascii="Georgia" w:cs="Georgia" w:eastAsia="Georgia" w:hAnsi="Georgia"/>
          <w:sz w:val="18"/>
          <w:szCs w:val="18"/>
          <w:color w:val="auto"/>
        </w:rPr>
        <w:t>In decisions that affect relations with its stakeholders (personnel management or work organization, the relationships with shareholders, the relationships with the surrounding community and the institutions that represent it), the Company avoids any discrimination on the basis of age, gender, sexuality, state of health, race, nationality, political opinions and religious beliefs of its stakeholders.</w:t>
      </w:r>
    </w:p>
    <w:p>
      <w:pPr>
        <w:spacing w:after="0" w:line="203"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1.2. Honesty</w:t>
      </w:r>
    </w:p>
    <w:p>
      <w:pPr>
        <w:spacing w:after="0" w:line="202"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Within the scope of their professional activity, the Company’s collaborators are required to respect diligently the laws in force, the Code and the internal regulations. Under no circumstances may the pursuit of Genenta’s interest justify dishonest conduct.</w:t>
      </w:r>
    </w:p>
    <w:p>
      <w:pPr>
        <w:spacing w:after="0" w:line="202"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1.3. Correctness in case of potential conflicts of interest</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In the execution of any activity, it is necessary at all times to avoid situations where the persons involved in the transactions are, or may even appear to be, in conflict of interest. This refers both to cases in which a collaborator pursues an interest that differs from the Company’s mission and from the balancing of stakeholders’ interests or takes “personal” advantage of business opportunities of the Company, and to cases in which representatives of customers or suppliers, or public institutions, act contrary to the fiduciary duties linked to their position.</w:t>
      </w:r>
    </w:p>
    <w:p>
      <w:pPr>
        <w:spacing w:after="0" w:line="203"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1.4. Confidentiality</w:t>
      </w:r>
    </w:p>
    <w:p>
      <w:pPr>
        <w:spacing w:after="0" w:line="202" w:lineRule="exact"/>
        <w:rPr>
          <w:sz w:val="20"/>
          <w:szCs w:val="20"/>
          <w:color w:val="auto"/>
        </w:rPr>
      </w:pPr>
    </w:p>
    <w:p>
      <w:pPr>
        <w:jc w:val="both"/>
        <w:ind w:right="280"/>
        <w:spacing w:after="0" w:line="237" w:lineRule="auto"/>
        <w:rPr>
          <w:sz w:val="20"/>
          <w:szCs w:val="20"/>
          <w:color w:val="auto"/>
        </w:rPr>
      </w:pPr>
      <w:r>
        <w:rPr>
          <w:rFonts w:ascii="Georgia" w:cs="Georgia" w:eastAsia="Georgia" w:hAnsi="Georgia"/>
          <w:sz w:val="18"/>
          <w:szCs w:val="18"/>
          <w:color w:val="auto"/>
        </w:rPr>
        <w:t>The Company guarantees the confidentiality of the information in its possession and refuses to seek confidential data, except in the case of express authorisation and in compliance with the legal regulations in force. Furthermore, Genenta’s collaborators are bound not to use or dispose of confidential information for purposes unrelated to the exercise of their business, such as insider trading.</w:t>
      </w:r>
    </w:p>
    <w:p>
      <w:pPr>
        <w:spacing w:after="0" w:line="203"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1.5. Value of human resources</w:t>
      </w:r>
    </w:p>
    <w:p>
      <w:pPr>
        <w:spacing w:after="0" w:line="202"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The human and professional skills of Genenta’s employees are an indispensable factor in the Company’s success. For this reason, Genenta protects and promotes the value of its human resources in order to improve and increase the wealth and competitiveness of the skills possessed by each employee. In this sense, the Company is committed to encouraging the skills, potential and personal interests of its collaborators so that they find fulfilment in the achievement of the Company’s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3429000" cy="5314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3429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1714500" cy="4032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03225"/>
                    </a:xfrm>
                    <a:prstGeom prst="rect">
                      <a:avLst/>
                    </a:prstGeom>
                    <a:noFill/>
                  </pic:spPr>
                </pic:pic>
              </a:graphicData>
            </a:graphic>
          </wp:anchor>
        </w:drawing>
      </w:r>
    </w:p>
    <w:p>
      <w:pPr>
        <w:ind w:left="340"/>
        <w:spacing w:after="0"/>
        <w:rPr>
          <w:sz w:val="20"/>
          <w:szCs w:val="20"/>
          <w:color w:val="auto"/>
        </w:rPr>
      </w:pPr>
      <w:r>
        <w:rPr>
          <w:rFonts w:ascii="Georgia" w:cs="Georgia" w:eastAsia="Georgia" w:hAnsi="Georgia"/>
          <w:sz w:val="18"/>
          <w:szCs w:val="18"/>
          <w:color w:val="auto"/>
        </w:rPr>
        <w:t>1.6. Personal integrity and dignity</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Company guarantees the physical and moral integrity of its employees, working conditions that respect individual dignity and a safe and healthy working environment.</w:t>
      </w:r>
    </w:p>
    <w:p>
      <w:pPr>
        <w:spacing w:after="0" w:line="204"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The Company’s employees are offered equal work opportunities on the sole basis of their professional skills and performance, without any discrimination, and in full respect of individual rights.</w:t>
      </w:r>
    </w:p>
    <w:p>
      <w:pPr>
        <w:spacing w:after="0" w:line="202"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1.7. Fairness of authority</w:t>
      </w:r>
    </w:p>
    <w:p>
      <w:pPr>
        <w:spacing w:after="0" w:line="20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In signing and managing contractual relations that involve the establishment of hierarchical relationships - especially with employees – the Company undertakes to ensure that authority is exercised fairly and correctly, avoiding any abuse. In particular, the Company guarantees that authority does not turn into an exercise of power detrimental to the dignity and autonomy of the employee, and that the choices made in organizing work safeguard the value of each individual employee.</w:t>
      </w:r>
    </w:p>
    <w:p>
      <w:pPr>
        <w:spacing w:after="0" w:line="203"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1.8. Entrepreneurship</w:t>
      </w:r>
    </w:p>
    <w:p>
      <w:pPr>
        <w:spacing w:after="0" w:line="20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The Company is committed to operating its business in an economical and efficient manner in order to provide solutions and services with a high quality/cost ratio and to achieve full satisfaction of its stakeholders.</w:t>
      </w:r>
    </w:p>
    <w:p>
      <w:pPr>
        <w:spacing w:after="0" w:line="202" w:lineRule="exact"/>
        <w:rPr>
          <w:sz w:val="20"/>
          <w:szCs w:val="20"/>
          <w:color w:val="auto"/>
        </w:rPr>
      </w:pPr>
    </w:p>
    <w:p>
      <w:pPr>
        <w:ind w:left="340"/>
        <w:spacing w:after="0"/>
        <w:tabs>
          <w:tab w:leader="none" w:pos="740" w:val="left"/>
        </w:tabs>
        <w:rPr>
          <w:sz w:val="20"/>
          <w:szCs w:val="20"/>
          <w:color w:val="auto"/>
        </w:rPr>
      </w:pPr>
      <w:r>
        <w:rPr>
          <w:rFonts w:ascii="Georgia" w:cs="Georgia" w:eastAsia="Georgia" w:hAnsi="Georgia"/>
          <w:sz w:val="18"/>
          <w:szCs w:val="18"/>
          <w:color w:val="auto"/>
        </w:rPr>
        <w:t>1.9.</w:t>
        <w:tab/>
        <w:t>Responsibility for the community</w:t>
      </w:r>
    </w:p>
    <w:p>
      <w:pPr>
        <w:spacing w:after="0" w:line="202" w:lineRule="exact"/>
        <w:rPr>
          <w:sz w:val="20"/>
          <w:szCs w:val="20"/>
          <w:color w:val="auto"/>
        </w:rPr>
      </w:pPr>
    </w:p>
    <w:p>
      <w:pPr>
        <w:jc w:val="both"/>
        <w:ind w:right="80"/>
        <w:spacing w:after="0" w:line="237" w:lineRule="auto"/>
        <w:rPr>
          <w:sz w:val="20"/>
          <w:szCs w:val="20"/>
          <w:color w:val="auto"/>
        </w:rPr>
      </w:pPr>
      <w:r>
        <w:rPr>
          <w:rFonts w:ascii="Georgia" w:cs="Georgia" w:eastAsia="Georgia" w:hAnsi="Georgia"/>
          <w:sz w:val="18"/>
          <w:szCs w:val="18"/>
          <w:color w:val="auto"/>
        </w:rPr>
        <w:t>The Company intends to carry out its activities in an environmentally sustainable manner, respecting local and national communities, and to support initiatives of cultural and social value in order to achieve a consolidation and constant improvement of its reputation in terms of the environment and its social acceptance.</w:t>
      </w:r>
    </w:p>
    <w:p>
      <w:pPr>
        <w:spacing w:after="0" w:line="203"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1.10. Environmental protection</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The environment is a primary asset that the Company is committed to safeguarding.</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It is intention of the Company to plan any future activities that may have a more significant environmental impact, seeking a balance between economic initiatives and unavoidable environmental needs, in consideration of the rights of future generations.</w:t>
      </w:r>
    </w:p>
    <w:p>
      <w:pPr>
        <w:spacing w:after="0" w:line="20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Genenta is therefore committed to ensuring that the environmental and landscape impact of its activities is as limited as possible, preventing risks to the population and the environment not only in compliance with the legislation in force from time to time, but also taking into account the development of scientific research and the best experiences in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3429000" cy="5314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3429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1714500" cy="403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03225"/>
                    </a:xfrm>
                    <a:prstGeom prst="rect">
                      <a:avLst/>
                    </a:prstGeom>
                    <a:noFill/>
                  </pic:spPr>
                </pic:pic>
              </a:graphicData>
            </a:graphic>
          </wp:anchor>
        </w:drawing>
      </w:r>
    </w:p>
    <w:p>
      <w:pPr>
        <w:spacing w:after="0"/>
        <w:tabs>
          <w:tab w:leader="none" w:pos="320" w:val="left"/>
        </w:tabs>
        <w:rPr>
          <w:sz w:val="20"/>
          <w:szCs w:val="20"/>
          <w:color w:val="auto"/>
        </w:rPr>
      </w:pPr>
      <w:r>
        <w:rPr>
          <w:rFonts w:ascii="Georgia" w:cs="Georgia" w:eastAsia="Georgia" w:hAnsi="Georgia"/>
          <w:sz w:val="18"/>
          <w:szCs w:val="18"/>
          <w:i w:val="1"/>
          <w:iCs w:val="1"/>
          <w:color w:val="auto"/>
        </w:rPr>
        <w:t>2.</w:t>
      </w:r>
      <w:r>
        <w:rPr>
          <w:sz w:val="20"/>
          <w:szCs w:val="20"/>
          <w:color w:val="auto"/>
        </w:rPr>
        <w:tab/>
      </w:r>
      <w:r>
        <w:rPr>
          <w:rFonts w:ascii="Georgia" w:cs="Georgia" w:eastAsia="Georgia" w:hAnsi="Georgia"/>
          <w:sz w:val="17"/>
          <w:szCs w:val="17"/>
          <w:i w:val="1"/>
          <w:iCs w:val="1"/>
          <w:color w:val="auto"/>
        </w:rPr>
        <w:t>Duties of directors, officers and employees according to the Code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All directors, officers and employees of Genenta are bound by the Code, under which each agrees that he or she shall:</w:t>
      </w:r>
    </w:p>
    <w:p>
      <w:pPr>
        <w:spacing w:after="0" w:line="202" w:lineRule="exact"/>
        <w:rPr>
          <w:sz w:val="20"/>
          <w:szCs w:val="20"/>
          <w:color w:val="auto"/>
        </w:rPr>
      </w:pPr>
    </w:p>
    <w:p>
      <w:pPr>
        <w:jc w:val="both"/>
        <w:ind w:left="620" w:hanging="491"/>
        <w:spacing w:after="0" w:line="237" w:lineRule="auto"/>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act with honesty and integrity, avoiding actual or apparent conflicts of interest in personal and professional relationships, including disclosure to the Chairman of the board of statutory auditors of any material transaction or relationship that reasonably could be expected to give rise to such a conflict;</w:t>
      </w:r>
    </w:p>
    <w:p>
      <w:pPr>
        <w:spacing w:after="0" w:line="204" w:lineRule="exact"/>
        <w:rPr>
          <w:rFonts w:ascii="Georgia" w:cs="Georgia" w:eastAsia="Georgia" w:hAnsi="Georgia"/>
          <w:sz w:val="18"/>
          <w:szCs w:val="18"/>
          <w:color w:val="auto"/>
        </w:rPr>
      </w:pPr>
    </w:p>
    <w:p>
      <w:pPr>
        <w:jc w:val="both"/>
        <w:ind w:left="620" w:hanging="491"/>
        <w:spacing w:after="0" w:line="237" w:lineRule="auto"/>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be prohibited from: personally, taking advantage of business opportunities that are discovered through the use of corporate property, information or his or her position with the Company; using corporate property, information or his or her position for personal gain; or competing against the Company while an employee;</w:t>
      </w:r>
    </w:p>
    <w:p>
      <w:pPr>
        <w:spacing w:after="0" w:line="204" w:lineRule="exact"/>
        <w:rPr>
          <w:rFonts w:ascii="Georgia" w:cs="Georgia" w:eastAsia="Georgia" w:hAnsi="Georgia"/>
          <w:sz w:val="18"/>
          <w:szCs w:val="18"/>
          <w:color w:val="auto"/>
        </w:rPr>
      </w:pPr>
    </w:p>
    <w:p>
      <w:pPr>
        <w:jc w:val="both"/>
        <w:ind w:left="620" w:hanging="491"/>
        <w:spacing w:after="0" w:line="237" w:lineRule="auto"/>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provide information within the scope of his or her duties in a manner which promotes full, fair, accurate, timely and understandable disclosure in reports and documents that the Company files with, or submits to, government agencies and in the Company’s other public communications;</w:t>
      </w:r>
    </w:p>
    <w:p>
      <w:pPr>
        <w:spacing w:after="0" w:line="204" w:lineRule="exact"/>
        <w:rPr>
          <w:rFonts w:ascii="Georgia" w:cs="Georgia" w:eastAsia="Georgia" w:hAnsi="Georgia"/>
          <w:sz w:val="18"/>
          <w:szCs w:val="18"/>
          <w:color w:val="auto"/>
        </w:rPr>
      </w:pPr>
    </w:p>
    <w:p>
      <w:pPr>
        <w:ind w:left="620" w:hanging="491"/>
        <w:spacing w:after="0" w:line="237" w:lineRule="auto"/>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comply with rules and regulations of foreign, federal, state, provincial and local governments, and other appropriate private and public regulatory agencies, including insider trading laws;</w:t>
      </w:r>
    </w:p>
    <w:p>
      <w:pPr>
        <w:spacing w:after="0" w:line="203" w:lineRule="exact"/>
        <w:rPr>
          <w:rFonts w:ascii="Georgia" w:cs="Georgia" w:eastAsia="Georgia" w:hAnsi="Georgia"/>
          <w:sz w:val="18"/>
          <w:szCs w:val="18"/>
          <w:color w:val="auto"/>
        </w:rPr>
      </w:pPr>
    </w:p>
    <w:p>
      <w:pPr>
        <w:ind w:left="620" w:hanging="491"/>
        <w:spacing w:after="0" w:line="237" w:lineRule="auto"/>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act in good faith, responsibly, with due care, competence and diligence, without misrepresenting material facts or allowing one’s independent judgment to be subordinated;</w:t>
      </w:r>
    </w:p>
    <w:p>
      <w:pPr>
        <w:spacing w:after="0" w:line="203" w:lineRule="exact"/>
        <w:rPr>
          <w:rFonts w:ascii="Georgia" w:cs="Georgia" w:eastAsia="Georgia" w:hAnsi="Georgia"/>
          <w:sz w:val="18"/>
          <w:szCs w:val="18"/>
          <w:color w:val="auto"/>
        </w:rPr>
      </w:pPr>
    </w:p>
    <w:p>
      <w:pPr>
        <w:ind w:left="620" w:hanging="491"/>
        <w:spacing w:after="0" w:line="237" w:lineRule="auto"/>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deal fairly with the Company’s customers, suppliers, competitors and employees, and not take unfair advantage of anyone through manipulation, concealment, abuse of privileged information, misrepresentation of material facts, or any other unfair dealings;</w:t>
      </w:r>
    </w:p>
    <w:p>
      <w:pPr>
        <w:spacing w:after="0" w:line="203" w:lineRule="exact"/>
        <w:rPr>
          <w:rFonts w:ascii="Georgia" w:cs="Georgia" w:eastAsia="Georgia" w:hAnsi="Georgia"/>
          <w:sz w:val="18"/>
          <w:szCs w:val="18"/>
          <w:color w:val="auto"/>
        </w:rPr>
      </w:pPr>
    </w:p>
    <w:p>
      <w:pPr>
        <w:ind w:left="620" w:right="160" w:hanging="491"/>
        <w:spacing w:after="0" w:line="237" w:lineRule="auto"/>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respect the confidentiality of information acquired in the course of one’s work except when authorized or otherwise legally obligated to disclose it, and not use confidential information acquired in the course of one’s work for personal advantage;</w:t>
      </w:r>
    </w:p>
    <w:p>
      <w:pPr>
        <w:spacing w:after="0" w:line="202" w:lineRule="exact"/>
        <w:rPr>
          <w:rFonts w:ascii="Georgia" w:cs="Georgia" w:eastAsia="Georgia" w:hAnsi="Georgia"/>
          <w:sz w:val="18"/>
          <w:szCs w:val="18"/>
          <w:color w:val="auto"/>
        </w:rPr>
      </w:pPr>
    </w:p>
    <w:p>
      <w:pPr>
        <w:ind w:left="620" w:hanging="491"/>
        <w:spacing w:after="0"/>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proactively promote and be an example of ethical behaviour;</w:t>
      </w:r>
    </w:p>
    <w:p>
      <w:pPr>
        <w:spacing w:after="0" w:line="200" w:lineRule="exact"/>
        <w:rPr>
          <w:rFonts w:ascii="Georgia" w:cs="Georgia" w:eastAsia="Georgia" w:hAnsi="Georgia"/>
          <w:sz w:val="18"/>
          <w:szCs w:val="18"/>
          <w:color w:val="auto"/>
        </w:rPr>
      </w:pPr>
    </w:p>
    <w:p>
      <w:pPr>
        <w:ind w:left="620" w:hanging="491"/>
        <w:spacing w:after="0"/>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achieve responsible use of and control over all assets and resources employed or entrusted;</w:t>
      </w:r>
    </w:p>
    <w:p>
      <w:pPr>
        <w:spacing w:after="0" w:line="201" w:lineRule="exact"/>
        <w:rPr>
          <w:rFonts w:ascii="Georgia" w:cs="Georgia" w:eastAsia="Georgia" w:hAnsi="Georgia"/>
          <w:sz w:val="18"/>
          <w:szCs w:val="18"/>
          <w:color w:val="auto"/>
        </w:rPr>
      </w:pPr>
    </w:p>
    <w:p>
      <w:pPr>
        <w:ind w:left="620" w:hanging="491"/>
        <w:spacing w:after="0" w:line="237" w:lineRule="auto"/>
        <w:tabs>
          <w:tab w:leader="none" w:pos="620" w:val="left"/>
        </w:tabs>
        <w:numPr>
          <w:ilvl w:val="1"/>
          <w:numId w:val="125"/>
        </w:numPr>
        <w:rPr>
          <w:rFonts w:ascii="Georgia" w:cs="Georgia" w:eastAsia="Georgia" w:hAnsi="Georgia"/>
          <w:sz w:val="18"/>
          <w:szCs w:val="18"/>
          <w:color w:val="auto"/>
        </w:rPr>
      </w:pPr>
      <w:r>
        <w:rPr>
          <w:rFonts w:ascii="Georgia" w:cs="Georgia" w:eastAsia="Georgia" w:hAnsi="Georgia"/>
          <w:sz w:val="18"/>
          <w:szCs w:val="18"/>
          <w:color w:val="auto"/>
        </w:rPr>
        <w:t>promptly report to the Chairman of the board of statutory auditors any conduct that the individual believes to be or would give rise to a violation of law or business ethics or of any provision of this Code or the Company’s general code of conduct.</w:t>
      </w:r>
    </w:p>
    <w:p>
      <w:pPr>
        <w:spacing w:after="0" w:line="161" w:lineRule="exact"/>
        <w:rPr>
          <w:rFonts w:ascii="Georgia" w:cs="Georgia" w:eastAsia="Georgia" w:hAnsi="Georgia"/>
          <w:sz w:val="18"/>
          <w:szCs w:val="18"/>
          <w:color w:val="auto"/>
        </w:rPr>
      </w:pPr>
    </w:p>
    <w:p>
      <w:pPr>
        <w:ind w:left="340" w:hanging="332"/>
        <w:spacing w:after="0"/>
        <w:tabs>
          <w:tab w:leader="none" w:pos="340" w:val="left"/>
        </w:tabs>
        <w:numPr>
          <w:ilvl w:val="0"/>
          <w:numId w:val="126"/>
        </w:numPr>
        <w:rPr>
          <w:rFonts w:ascii="Georgia" w:cs="Georgia" w:eastAsia="Georgia" w:hAnsi="Georgia"/>
          <w:sz w:val="18"/>
          <w:szCs w:val="18"/>
          <w:i w:val="1"/>
          <w:iCs w:val="1"/>
          <w:color w:val="auto"/>
        </w:rPr>
      </w:pPr>
      <w:r>
        <w:rPr>
          <w:rFonts w:ascii="Georgia" w:cs="Georgia" w:eastAsia="Georgia" w:hAnsi="Georgia"/>
          <w:sz w:val="18"/>
          <w:szCs w:val="18"/>
          <w:i w:val="1"/>
          <w:iCs w:val="1"/>
          <w:color w:val="auto"/>
        </w:rPr>
        <w:t>Breach of the Code</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Any violation of this Code, including failures to report potential violations by others, will be viewed as a severe disciplinary matter that may result in personnel action, including termination of the agreement of employment.</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Any waiver of this Code for executive officers or directors may be carried out only by the board of directors or an authorized committee of the board of directors and must be promptly disclosed to stockholders.</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It is against the Company’s policy to retaliate against any employee for good faith reporting of violations of this Code.</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If you believe that a violation of the Code has occurred, please contact the Chairman of the board of statutory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29000" cy="5314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3429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jc w:val="right"/>
        <w:spacing w:after="0"/>
        <w:rPr>
          <w:sz w:val="20"/>
          <w:szCs w:val="20"/>
          <w:color w:val="auto"/>
        </w:rPr>
      </w:pPr>
      <w:r>
        <w:rPr>
          <w:rFonts w:ascii="Georgia" w:cs="Georgia" w:eastAsia="Georgia" w:hAnsi="Georgia"/>
          <w:sz w:val="18"/>
          <w:szCs w:val="18"/>
          <w:b w:val="1"/>
          <w:bCs w:val="1"/>
          <w:color w:val="auto"/>
        </w:rPr>
        <w:t>Exhibit 12.1</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Certification Pursuant to Rule 13a-14(a) of the Exchange Act</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I, Pierluigi Paracchi, certify that:</w:t>
      </w:r>
    </w:p>
    <w:p>
      <w:pPr>
        <w:spacing w:after="0" w:line="200" w:lineRule="exact"/>
        <w:rPr>
          <w:sz w:val="20"/>
          <w:szCs w:val="20"/>
          <w:color w:val="auto"/>
        </w:rPr>
      </w:pPr>
    </w:p>
    <w:p>
      <w:pPr>
        <w:ind w:left="180" w:hanging="172"/>
        <w:spacing w:after="0"/>
        <w:tabs>
          <w:tab w:leader="none" w:pos="180" w:val="left"/>
        </w:tabs>
        <w:numPr>
          <w:ilvl w:val="0"/>
          <w:numId w:val="127"/>
        </w:numPr>
        <w:rPr>
          <w:rFonts w:ascii="Georgia" w:cs="Georgia" w:eastAsia="Georgia" w:hAnsi="Georgia"/>
          <w:sz w:val="18"/>
          <w:szCs w:val="18"/>
          <w:color w:val="auto"/>
        </w:rPr>
      </w:pPr>
      <w:r>
        <w:rPr>
          <w:rFonts w:ascii="Georgia" w:cs="Georgia" w:eastAsia="Georgia" w:hAnsi="Georgia"/>
          <w:sz w:val="18"/>
          <w:szCs w:val="18"/>
          <w:color w:val="auto"/>
        </w:rPr>
        <w:t>I have reviewed this annual report on Form 20-F of Genenta Science S.p.A.;</w:t>
      </w:r>
    </w:p>
    <w:p>
      <w:pPr>
        <w:spacing w:after="0" w:line="201" w:lineRule="exact"/>
        <w:rPr>
          <w:rFonts w:ascii="Georgia" w:cs="Georgia" w:eastAsia="Georgia" w:hAnsi="Georgia"/>
          <w:sz w:val="18"/>
          <w:szCs w:val="18"/>
          <w:color w:val="auto"/>
        </w:rPr>
      </w:pPr>
    </w:p>
    <w:p>
      <w:pPr>
        <w:ind w:right="160" w:firstLine="8"/>
        <w:spacing w:after="0" w:line="237" w:lineRule="auto"/>
        <w:tabs>
          <w:tab w:leader="none" w:pos="192" w:val="left"/>
        </w:tabs>
        <w:numPr>
          <w:ilvl w:val="0"/>
          <w:numId w:val="127"/>
        </w:numPr>
        <w:rPr>
          <w:rFonts w:ascii="Georgia" w:cs="Georgia" w:eastAsia="Georgia" w:hAnsi="Georgia"/>
          <w:sz w:val="18"/>
          <w:szCs w:val="18"/>
          <w:color w:val="auto"/>
        </w:rPr>
      </w:pPr>
      <w:r>
        <w:rPr>
          <w:rFonts w:ascii="Georgia" w:cs="Georgia" w:eastAsia="Georgia" w:hAnsi="Georgia"/>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Georgia" w:cs="Georgia" w:eastAsia="Georgia" w:hAnsi="Georgia"/>
          <w:sz w:val="18"/>
          <w:szCs w:val="18"/>
          <w:color w:val="auto"/>
        </w:rPr>
      </w:pPr>
    </w:p>
    <w:p>
      <w:pPr>
        <w:ind w:right="80" w:firstLine="8"/>
        <w:spacing w:after="0" w:line="237" w:lineRule="auto"/>
        <w:tabs>
          <w:tab w:leader="none" w:pos="191" w:val="left"/>
        </w:tabs>
        <w:numPr>
          <w:ilvl w:val="0"/>
          <w:numId w:val="127"/>
        </w:numPr>
        <w:rPr>
          <w:rFonts w:ascii="Georgia" w:cs="Georgia" w:eastAsia="Georgia" w:hAnsi="Georgia"/>
          <w:sz w:val="18"/>
          <w:szCs w:val="18"/>
          <w:color w:val="auto"/>
        </w:rPr>
      </w:pPr>
      <w:r>
        <w:rPr>
          <w:rFonts w:ascii="Georgia" w:cs="Georgia" w:eastAsia="Georgia" w:hAnsi="Georgia"/>
          <w:sz w:val="18"/>
          <w:szCs w:val="18"/>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4" w:lineRule="exact"/>
        <w:rPr>
          <w:rFonts w:ascii="Georgia" w:cs="Georgia" w:eastAsia="Georgia" w:hAnsi="Georgia"/>
          <w:sz w:val="18"/>
          <w:szCs w:val="18"/>
          <w:color w:val="auto"/>
        </w:rPr>
      </w:pPr>
    </w:p>
    <w:p>
      <w:pPr>
        <w:ind w:right="200" w:firstLine="8"/>
        <w:spacing w:after="0" w:line="237" w:lineRule="auto"/>
        <w:tabs>
          <w:tab w:leader="none" w:pos="194" w:val="left"/>
        </w:tabs>
        <w:numPr>
          <w:ilvl w:val="0"/>
          <w:numId w:val="127"/>
        </w:numPr>
        <w:rPr>
          <w:rFonts w:ascii="Georgia" w:cs="Georgia" w:eastAsia="Georgia" w:hAnsi="Georgia"/>
          <w:sz w:val="18"/>
          <w:szCs w:val="18"/>
          <w:color w:val="auto"/>
        </w:rPr>
      </w:pPr>
      <w:r>
        <w:rPr>
          <w:rFonts w:ascii="Georgia" w:cs="Georgia" w:eastAsia="Georgia" w:hAnsi="Georgia"/>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4" w:lineRule="exact"/>
        <w:rPr>
          <w:rFonts w:ascii="Georgia" w:cs="Georgia" w:eastAsia="Georgia" w:hAnsi="Georgia"/>
          <w:sz w:val="18"/>
          <w:szCs w:val="18"/>
          <w:color w:val="auto"/>
        </w:rPr>
      </w:pPr>
    </w:p>
    <w:p>
      <w:pPr>
        <w:ind w:left="660" w:right="80" w:hanging="4"/>
        <w:spacing w:after="0" w:line="237" w:lineRule="auto"/>
        <w:tabs>
          <w:tab w:leader="none" w:pos="843" w:val="left"/>
        </w:tabs>
        <w:numPr>
          <w:ilvl w:val="1"/>
          <w:numId w:val="127"/>
        </w:numPr>
        <w:rPr>
          <w:rFonts w:ascii="Georgia" w:cs="Georgia" w:eastAsia="Georgia" w:hAnsi="Georgia"/>
          <w:sz w:val="18"/>
          <w:szCs w:val="18"/>
          <w:color w:val="auto"/>
        </w:rPr>
      </w:pPr>
      <w:r>
        <w:rPr>
          <w:rFonts w:ascii="Georgia" w:cs="Georgia" w:eastAsia="Georgia" w:hAnsi="Georgia"/>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204" w:lineRule="exact"/>
        <w:rPr>
          <w:rFonts w:ascii="Georgia" w:cs="Georgia" w:eastAsia="Georgia" w:hAnsi="Georgia"/>
          <w:sz w:val="18"/>
          <w:szCs w:val="18"/>
          <w:color w:val="auto"/>
        </w:rPr>
      </w:pPr>
    </w:p>
    <w:p>
      <w:pPr>
        <w:ind w:left="660" w:right="380" w:hanging="4"/>
        <w:spacing w:after="0" w:line="237" w:lineRule="auto"/>
        <w:tabs>
          <w:tab w:leader="none" w:pos="853" w:val="left"/>
        </w:tabs>
        <w:numPr>
          <w:ilvl w:val="1"/>
          <w:numId w:val="127"/>
        </w:numPr>
        <w:rPr>
          <w:rFonts w:ascii="Georgia" w:cs="Georgia" w:eastAsia="Georgia" w:hAnsi="Georgia"/>
          <w:sz w:val="18"/>
          <w:szCs w:val="18"/>
          <w:color w:val="auto"/>
        </w:rPr>
      </w:pPr>
      <w:r>
        <w:rPr>
          <w:rFonts w:ascii="Georgia" w:cs="Georgia" w:eastAsia="Georgia" w:hAnsi="Georgi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Georgia" w:cs="Georgia" w:eastAsia="Georgia" w:hAnsi="Georgia"/>
          <w:sz w:val="18"/>
          <w:szCs w:val="18"/>
          <w:color w:val="auto"/>
        </w:rPr>
      </w:pPr>
    </w:p>
    <w:p>
      <w:pPr>
        <w:ind w:left="660" w:right="380" w:hanging="4"/>
        <w:spacing w:after="0" w:line="237" w:lineRule="auto"/>
        <w:tabs>
          <w:tab w:leader="none" w:pos="834" w:val="left"/>
        </w:tabs>
        <w:numPr>
          <w:ilvl w:val="1"/>
          <w:numId w:val="127"/>
        </w:numPr>
        <w:rPr>
          <w:rFonts w:ascii="Georgia" w:cs="Georgia" w:eastAsia="Georgia" w:hAnsi="Georgia"/>
          <w:sz w:val="18"/>
          <w:szCs w:val="18"/>
          <w:color w:val="auto"/>
        </w:rPr>
      </w:pPr>
      <w:r>
        <w:rPr>
          <w:rFonts w:ascii="Georgia" w:cs="Georgia" w:eastAsia="Georgia" w:hAnsi="Georgia"/>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Georgia" w:cs="Georgia" w:eastAsia="Georgia" w:hAnsi="Georgia"/>
          <w:sz w:val="18"/>
          <w:szCs w:val="18"/>
          <w:color w:val="auto"/>
        </w:rPr>
      </w:pPr>
    </w:p>
    <w:p>
      <w:pPr>
        <w:ind w:left="660" w:right="200" w:hanging="4"/>
        <w:spacing w:after="0" w:line="237" w:lineRule="auto"/>
        <w:tabs>
          <w:tab w:leader="none" w:pos="855" w:val="left"/>
        </w:tabs>
        <w:numPr>
          <w:ilvl w:val="1"/>
          <w:numId w:val="127"/>
        </w:numPr>
        <w:rPr>
          <w:rFonts w:ascii="Georgia" w:cs="Georgia" w:eastAsia="Georgia" w:hAnsi="Georgia"/>
          <w:sz w:val="18"/>
          <w:szCs w:val="18"/>
          <w:color w:val="auto"/>
        </w:rPr>
      </w:pPr>
      <w:r>
        <w:rPr>
          <w:rFonts w:ascii="Georgia" w:cs="Georgia" w:eastAsia="Georgia" w:hAnsi="Georgia"/>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4" w:lineRule="exact"/>
        <w:rPr>
          <w:rFonts w:ascii="Georgia" w:cs="Georgia" w:eastAsia="Georgia" w:hAnsi="Georgia"/>
          <w:sz w:val="18"/>
          <w:szCs w:val="18"/>
          <w:color w:val="auto"/>
        </w:rPr>
      </w:pPr>
    </w:p>
    <w:p>
      <w:pPr>
        <w:ind w:right="180" w:firstLine="8"/>
        <w:spacing w:after="0" w:line="237" w:lineRule="auto"/>
        <w:tabs>
          <w:tab w:leader="none" w:pos="187" w:val="left"/>
        </w:tabs>
        <w:numPr>
          <w:ilvl w:val="0"/>
          <w:numId w:val="127"/>
        </w:numPr>
        <w:rPr>
          <w:rFonts w:ascii="Georgia" w:cs="Georgia" w:eastAsia="Georgia" w:hAnsi="Georgia"/>
          <w:sz w:val="18"/>
          <w:szCs w:val="18"/>
          <w:color w:val="auto"/>
        </w:rPr>
      </w:pPr>
      <w:r>
        <w:rPr>
          <w:rFonts w:ascii="Georgia" w:cs="Georgia" w:eastAsia="Georgia" w:hAnsi="Georgia"/>
          <w:sz w:val="18"/>
          <w:szCs w:val="18"/>
          <w:color w:val="auto"/>
        </w:rPr>
        <w:t>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spacing w:after="0" w:line="204" w:lineRule="exact"/>
        <w:rPr>
          <w:rFonts w:ascii="Georgia" w:cs="Georgia" w:eastAsia="Georgia" w:hAnsi="Georgia"/>
          <w:sz w:val="18"/>
          <w:szCs w:val="18"/>
          <w:color w:val="auto"/>
        </w:rPr>
      </w:pPr>
    </w:p>
    <w:p>
      <w:pPr>
        <w:ind w:left="660" w:hanging="4"/>
        <w:spacing w:after="0" w:line="237" w:lineRule="auto"/>
        <w:tabs>
          <w:tab w:leader="none" w:pos="843" w:val="left"/>
        </w:tabs>
        <w:numPr>
          <w:ilvl w:val="1"/>
          <w:numId w:val="127"/>
        </w:numPr>
        <w:rPr>
          <w:rFonts w:ascii="Georgia" w:cs="Georgia" w:eastAsia="Georgia" w:hAnsi="Georgia"/>
          <w:sz w:val="18"/>
          <w:szCs w:val="18"/>
          <w:color w:val="auto"/>
        </w:rPr>
      </w:pPr>
      <w:r>
        <w:rPr>
          <w:rFonts w:ascii="Georgia" w:cs="Georgia" w:eastAsia="Georgia" w:hAnsi="Georgia"/>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3" w:lineRule="exact"/>
        <w:rPr>
          <w:rFonts w:ascii="Georgia" w:cs="Georgia" w:eastAsia="Georgia" w:hAnsi="Georgia"/>
          <w:sz w:val="18"/>
          <w:szCs w:val="18"/>
          <w:color w:val="auto"/>
        </w:rPr>
      </w:pPr>
    </w:p>
    <w:p>
      <w:pPr>
        <w:ind w:left="660" w:right="300" w:hanging="4"/>
        <w:spacing w:after="0" w:line="237" w:lineRule="auto"/>
        <w:tabs>
          <w:tab w:leader="none" w:pos="853" w:val="left"/>
        </w:tabs>
        <w:numPr>
          <w:ilvl w:val="1"/>
          <w:numId w:val="127"/>
        </w:numPr>
        <w:rPr>
          <w:rFonts w:ascii="Georgia" w:cs="Georgia" w:eastAsia="Georgia" w:hAnsi="Georgia"/>
          <w:sz w:val="18"/>
          <w:szCs w:val="18"/>
          <w:color w:val="auto"/>
        </w:rPr>
      </w:pPr>
      <w:r>
        <w:rPr>
          <w:rFonts w:ascii="Georgia" w:cs="Georgia" w:eastAsia="Georgia" w:hAnsi="Georgia"/>
          <w:sz w:val="18"/>
          <w:szCs w:val="18"/>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Date: May 2, 2022</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Georgia" w:cs="Georgia" w:eastAsia="Georgia" w:hAnsi="Georgia"/>
          <w:sz w:val="18"/>
          <w:szCs w:val="18"/>
          <w:color w:val="auto"/>
        </w:rPr>
        <w:t>By:</w:t>
      </w:r>
      <w:r>
        <w:rPr>
          <w:sz w:val="20"/>
          <w:szCs w:val="20"/>
          <w:color w:val="auto"/>
        </w:rPr>
        <w:tab/>
      </w:r>
      <w:r>
        <w:rPr>
          <w:rFonts w:ascii="Georgia" w:cs="Georgia" w:eastAsia="Georgia" w:hAnsi="Georgia"/>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Georgia" w:cs="Georgia" w:eastAsia="Georgia" w:hAnsi="Georgia"/>
          <w:sz w:val="18"/>
          <w:szCs w:val="18"/>
          <w:color w:val="auto"/>
        </w:rPr>
        <w:t>Name: Pierluigi Paracchi</w:t>
      </w:r>
    </w:p>
    <w:p>
      <w:pPr>
        <w:spacing w:after="0" w:line="9" w:lineRule="exact"/>
        <w:rPr>
          <w:sz w:val="20"/>
          <w:szCs w:val="20"/>
          <w:color w:val="auto"/>
        </w:rPr>
      </w:pPr>
    </w:p>
    <w:p>
      <w:pPr>
        <w:ind w:left="5640"/>
        <w:spacing w:after="0"/>
        <w:rPr>
          <w:sz w:val="20"/>
          <w:szCs w:val="20"/>
          <w:color w:val="auto"/>
        </w:rPr>
      </w:pPr>
      <w:r>
        <w:rPr>
          <w:rFonts w:ascii="Georgia" w:cs="Georgia" w:eastAsia="Georgia" w:hAnsi="Georgia"/>
          <w:sz w:val="18"/>
          <w:szCs w:val="18"/>
          <w:color w:val="auto"/>
        </w:rPr>
        <w:t>Title:  Chief Executive Officer</w:t>
      </w:r>
    </w:p>
    <w:p>
      <w:pPr>
        <w:ind w:left="6200"/>
        <w:spacing w:after="0" w:line="238" w:lineRule="auto"/>
        <w:rPr>
          <w:sz w:val="20"/>
          <w:szCs w:val="20"/>
          <w:color w:val="auto"/>
        </w:rPr>
      </w:pPr>
      <w:r>
        <w:rPr>
          <w:rFonts w:ascii="Georgia" w:cs="Georgia" w:eastAsia="Georgia" w:hAnsi="Georgia"/>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94" w:name="page195"/>
    <w:bookmarkEnd w:id="194"/>
    <w:p>
      <w:pPr>
        <w:jc w:val="right"/>
        <w:spacing w:after="0"/>
        <w:rPr>
          <w:sz w:val="20"/>
          <w:szCs w:val="20"/>
          <w:color w:val="auto"/>
        </w:rPr>
      </w:pPr>
      <w:r>
        <w:rPr>
          <w:rFonts w:ascii="Georgia" w:cs="Georgia" w:eastAsia="Georgia" w:hAnsi="Georgia"/>
          <w:sz w:val="18"/>
          <w:szCs w:val="18"/>
          <w:b w:val="1"/>
          <w:bCs w:val="1"/>
          <w:color w:val="auto"/>
        </w:rPr>
        <w:t>Exhibit 12.2</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Certification Pursuant to Rule 13a-14(a) of the Exchange Act</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I, Richard B. Slansky, certify that:</w:t>
      </w:r>
    </w:p>
    <w:p>
      <w:pPr>
        <w:spacing w:after="0" w:line="200" w:lineRule="exact"/>
        <w:rPr>
          <w:sz w:val="20"/>
          <w:szCs w:val="20"/>
          <w:color w:val="auto"/>
        </w:rPr>
      </w:pPr>
    </w:p>
    <w:p>
      <w:pPr>
        <w:ind w:left="180" w:hanging="172"/>
        <w:spacing w:after="0"/>
        <w:tabs>
          <w:tab w:leader="none" w:pos="180" w:val="left"/>
        </w:tabs>
        <w:numPr>
          <w:ilvl w:val="0"/>
          <w:numId w:val="128"/>
        </w:numPr>
        <w:rPr>
          <w:rFonts w:ascii="Georgia" w:cs="Georgia" w:eastAsia="Georgia" w:hAnsi="Georgia"/>
          <w:sz w:val="18"/>
          <w:szCs w:val="18"/>
          <w:color w:val="auto"/>
        </w:rPr>
      </w:pPr>
      <w:r>
        <w:rPr>
          <w:rFonts w:ascii="Georgia" w:cs="Georgia" w:eastAsia="Georgia" w:hAnsi="Georgia"/>
          <w:sz w:val="18"/>
          <w:szCs w:val="18"/>
          <w:color w:val="auto"/>
        </w:rPr>
        <w:t>I have reviewed this annual report on Form 20-F of Genenta Science S.p.A.;</w:t>
      </w:r>
    </w:p>
    <w:p>
      <w:pPr>
        <w:spacing w:after="0" w:line="201" w:lineRule="exact"/>
        <w:rPr>
          <w:rFonts w:ascii="Georgia" w:cs="Georgia" w:eastAsia="Georgia" w:hAnsi="Georgia"/>
          <w:sz w:val="18"/>
          <w:szCs w:val="18"/>
          <w:color w:val="auto"/>
        </w:rPr>
      </w:pPr>
    </w:p>
    <w:p>
      <w:pPr>
        <w:ind w:right="160" w:firstLine="8"/>
        <w:spacing w:after="0" w:line="237" w:lineRule="auto"/>
        <w:tabs>
          <w:tab w:leader="none" w:pos="192" w:val="left"/>
        </w:tabs>
        <w:numPr>
          <w:ilvl w:val="0"/>
          <w:numId w:val="128"/>
        </w:numPr>
        <w:rPr>
          <w:rFonts w:ascii="Georgia" w:cs="Georgia" w:eastAsia="Georgia" w:hAnsi="Georgia"/>
          <w:sz w:val="18"/>
          <w:szCs w:val="18"/>
          <w:color w:val="auto"/>
        </w:rPr>
      </w:pPr>
      <w:r>
        <w:rPr>
          <w:rFonts w:ascii="Georgia" w:cs="Georgia" w:eastAsia="Georgia" w:hAnsi="Georgia"/>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Georgia" w:cs="Georgia" w:eastAsia="Georgia" w:hAnsi="Georgia"/>
          <w:sz w:val="18"/>
          <w:szCs w:val="18"/>
          <w:color w:val="auto"/>
        </w:rPr>
      </w:pPr>
    </w:p>
    <w:p>
      <w:pPr>
        <w:ind w:right="80" w:firstLine="8"/>
        <w:spacing w:after="0" w:line="237" w:lineRule="auto"/>
        <w:tabs>
          <w:tab w:leader="none" w:pos="191" w:val="left"/>
        </w:tabs>
        <w:numPr>
          <w:ilvl w:val="0"/>
          <w:numId w:val="128"/>
        </w:numPr>
        <w:rPr>
          <w:rFonts w:ascii="Georgia" w:cs="Georgia" w:eastAsia="Georgia" w:hAnsi="Georgia"/>
          <w:sz w:val="18"/>
          <w:szCs w:val="18"/>
          <w:color w:val="auto"/>
        </w:rPr>
      </w:pPr>
      <w:r>
        <w:rPr>
          <w:rFonts w:ascii="Georgia" w:cs="Georgia" w:eastAsia="Georgia" w:hAnsi="Georgia"/>
          <w:sz w:val="18"/>
          <w:szCs w:val="18"/>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4" w:lineRule="exact"/>
        <w:rPr>
          <w:rFonts w:ascii="Georgia" w:cs="Georgia" w:eastAsia="Georgia" w:hAnsi="Georgia"/>
          <w:sz w:val="18"/>
          <w:szCs w:val="18"/>
          <w:color w:val="auto"/>
        </w:rPr>
      </w:pPr>
    </w:p>
    <w:p>
      <w:pPr>
        <w:ind w:right="200" w:firstLine="8"/>
        <w:spacing w:after="0" w:line="237" w:lineRule="auto"/>
        <w:tabs>
          <w:tab w:leader="none" w:pos="194" w:val="left"/>
        </w:tabs>
        <w:numPr>
          <w:ilvl w:val="0"/>
          <w:numId w:val="128"/>
        </w:numPr>
        <w:rPr>
          <w:rFonts w:ascii="Georgia" w:cs="Georgia" w:eastAsia="Georgia" w:hAnsi="Georgia"/>
          <w:sz w:val="18"/>
          <w:szCs w:val="18"/>
          <w:color w:val="auto"/>
        </w:rPr>
      </w:pPr>
      <w:r>
        <w:rPr>
          <w:rFonts w:ascii="Georgia" w:cs="Georgia" w:eastAsia="Georgia" w:hAnsi="Georgia"/>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4" w:lineRule="exact"/>
        <w:rPr>
          <w:rFonts w:ascii="Georgia" w:cs="Georgia" w:eastAsia="Georgia" w:hAnsi="Georgia"/>
          <w:sz w:val="18"/>
          <w:szCs w:val="18"/>
          <w:color w:val="auto"/>
        </w:rPr>
      </w:pPr>
    </w:p>
    <w:p>
      <w:pPr>
        <w:ind w:left="660" w:right="80" w:hanging="4"/>
        <w:spacing w:after="0" w:line="237" w:lineRule="auto"/>
        <w:tabs>
          <w:tab w:leader="none" w:pos="843" w:val="left"/>
        </w:tabs>
        <w:numPr>
          <w:ilvl w:val="1"/>
          <w:numId w:val="128"/>
        </w:numPr>
        <w:rPr>
          <w:rFonts w:ascii="Georgia" w:cs="Georgia" w:eastAsia="Georgia" w:hAnsi="Georgia"/>
          <w:sz w:val="18"/>
          <w:szCs w:val="18"/>
          <w:color w:val="auto"/>
        </w:rPr>
      </w:pPr>
      <w:r>
        <w:rPr>
          <w:rFonts w:ascii="Georgia" w:cs="Georgia" w:eastAsia="Georgia" w:hAnsi="Georgia"/>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204" w:lineRule="exact"/>
        <w:rPr>
          <w:rFonts w:ascii="Georgia" w:cs="Georgia" w:eastAsia="Georgia" w:hAnsi="Georgia"/>
          <w:sz w:val="18"/>
          <w:szCs w:val="18"/>
          <w:color w:val="auto"/>
        </w:rPr>
      </w:pPr>
    </w:p>
    <w:p>
      <w:pPr>
        <w:ind w:left="660" w:right="380" w:hanging="4"/>
        <w:spacing w:after="0" w:line="237" w:lineRule="auto"/>
        <w:tabs>
          <w:tab w:leader="none" w:pos="853" w:val="left"/>
        </w:tabs>
        <w:numPr>
          <w:ilvl w:val="1"/>
          <w:numId w:val="128"/>
        </w:numPr>
        <w:rPr>
          <w:rFonts w:ascii="Georgia" w:cs="Georgia" w:eastAsia="Georgia" w:hAnsi="Georgia"/>
          <w:sz w:val="18"/>
          <w:szCs w:val="18"/>
          <w:color w:val="auto"/>
        </w:rPr>
      </w:pPr>
      <w:r>
        <w:rPr>
          <w:rFonts w:ascii="Georgia" w:cs="Georgia" w:eastAsia="Georgia" w:hAnsi="Georgi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Georgia" w:cs="Georgia" w:eastAsia="Georgia" w:hAnsi="Georgia"/>
          <w:sz w:val="18"/>
          <w:szCs w:val="18"/>
          <w:color w:val="auto"/>
        </w:rPr>
      </w:pPr>
    </w:p>
    <w:p>
      <w:pPr>
        <w:ind w:left="660" w:right="380" w:hanging="4"/>
        <w:spacing w:after="0" w:line="237" w:lineRule="auto"/>
        <w:tabs>
          <w:tab w:leader="none" w:pos="834" w:val="left"/>
        </w:tabs>
        <w:numPr>
          <w:ilvl w:val="1"/>
          <w:numId w:val="128"/>
        </w:numPr>
        <w:rPr>
          <w:rFonts w:ascii="Georgia" w:cs="Georgia" w:eastAsia="Georgia" w:hAnsi="Georgia"/>
          <w:sz w:val="18"/>
          <w:szCs w:val="18"/>
          <w:color w:val="auto"/>
        </w:rPr>
      </w:pPr>
      <w:r>
        <w:rPr>
          <w:rFonts w:ascii="Georgia" w:cs="Georgia" w:eastAsia="Georgia" w:hAnsi="Georgia"/>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Georgia" w:cs="Georgia" w:eastAsia="Georgia" w:hAnsi="Georgia"/>
          <w:sz w:val="18"/>
          <w:szCs w:val="18"/>
          <w:color w:val="auto"/>
        </w:rPr>
      </w:pPr>
    </w:p>
    <w:p>
      <w:pPr>
        <w:ind w:left="660" w:right="200" w:hanging="4"/>
        <w:spacing w:after="0" w:line="237" w:lineRule="auto"/>
        <w:tabs>
          <w:tab w:leader="none" w:pos="855" w:val="left"/>
        </w:tabs>
        <w:numPr>
          <w:ilvl w:val="1"/>
          <w:numId w:val="128"/>
        </w:numPr>
        <w:rPr>
          <w:rFonts w:ascii="Georgia" w:cs="Georgia" w:eastAsia="Georgia" w:hAnsi="Georgia"/>
          <w:sz w:val="18"/>
          <w:szCs w:val="18"/>
          <w:color w:val="auto"/>
        </w:rPr>
      </w:pPr>
      <w:r>
        <w:rPr>
          <w:rFonts w:ascii="Georgia" w:cs="Georgia" w:eastAsia="Georgia" w:hAnsi="Georgia"/>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4" w:lineRule="exact"/>
        <w:rPr>
          <w:rFonts w:ascii="Georgia" w:cs="Georgia" w:eastAsia="Georgia" w:hAnsi="Georgia"/>
          <w:sz w:val="18"/>
          <w:szCs w:val="18"/>
          <w:color w:val="auto"/>
        </w:rPr>
      </w:pPr>
    </w:p>
    <w:p>
      <w:pPr>
        <w:ind w:right="180" w:firstLine="8"/>
        <w:spacing w:after="0" w:line="237" w:lineRule="auto"/>
        <w:tabs>
          <w:tab w:leader="none" w:pos="187" w:val="left"/>
        </w:tabs>
        <w:numPr>
          <w:ilvl w:val="0"/>
          <w:numId w:val="128"/>
        </w:numPr>
        <w:rPr>
          <w:rFonts w:ascii="Georgia" w:cs="Georgia" w:eastAsia="Georgia" w:hAnsi="Georgia"/>
          <w:sz w:val="18"/>
          <w:szCs w:val="18"/>
          <w:color w:val="auto"/>
        </w:rPr>
      </w:pPr>
      <w:r>
        <w:rPr>
          <w:rFonts w:ascii="Georgia" w:cs="Georgia" w:eastAsia="Georgia" w:hAnsi="Georgia"/>
          <w:sz w:val="18"/>
          <w:szCs w:val="18"/>
          <w:color w:val="auto"/>
        </w:rPr>
        <w:t>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spacing w:after="0" w:line="204" w:lineRule="exact"/>
        <w:rPr>
          <w:rFonts w:ascii="Georgia" w:cs="Georgia" w:eastAsia="Georgia" w:hAnsi="Georgia"/>
          <w:sz w:val="18"/>
          <w:szCs w:val="18"/>
          <w:color w:val="auto"/>
        </w:rPr>
      </w:pPr>
    </w:p>
    <w:p>
      <w:pPr>
        <w:ind w:left="660" w:hanging="4"/>
        <w:spacing w:after="0" w:line="237" w:lineRule="auto"/>
        <w:tabs>
          <w:tab w:leader="none" w:pos="843" w:val="left"/>
        </w:tabs>
        <w:numPr>
          <w:ilvl w:val="1"/>
          <w:numId w:val="128"/>
        </w:numPr>
        <w:rPr>
          <w:rFonts w:ascii="Georgia" w:cs="Georgia" w:eastAsia="Georgia" w:hAnsi="Georgia"/>
          <w:sz w:val="18"/>
          <w:szCs w:val="18"/>
          <w:color w:val="auto"/>
        </w:rPr>
      </w:pPr>
      <w:r>
        <w:rPr>
          <w:rFonts w:ascii="Georgia" w:cs="Georgia" w:eastAsia="Georgia" w:hAnsi="Georgia"/>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3" w:lineRule="exact"/>
        <w:rPr>
          <w:rFonts w:ascii="Georgia" w:cs="Georgia" w:eastAsia="Georgia" w:hAnsi="Georgia"/>
          <w:sz w:val="18"/>
          <w:szCs w:val="18"/>
          <w:color w:val="auto"/>
        </w:rPr>
      </w:pPr>
    </w:p>
    <w:p>
      <w:pPr>
        <w:ind w:left="660" w:right="300" w:hanging="4"/>
        <w:spacing w:after="0" w:line="237" w:lineRule="auto"/>
        <w:tabs>
          <w:tab w:leader="none" w:pos="853" w:val="left"/>
        </w:tabs>
        <w:numPr>
          <w:ilvl w:val="1"/>
          <w:numId w:val="128"/>
        </w:numPr>
        <w:rPr>
          <w:rFonts w:ascii="Georgia" w:cs="Georgia" w:eastAsia="Georgia" w:hAnsi="Georgia"/>
          <w:sz w:val="18"/>
          <w:szCs w:val="18"/>
          <w:color w:val="auto"/>
        </w:rPr>
      </w:pPr>
      <w:r>
        <w:rPr>
          <w:rFonts w:ascii="Georgia" w:cs="Georgia" w:eastAsia="Georgia" w:hAnsi="Georgia"/>
          <w:sz w:val="18"/>
          <w:szCs w:val="18"/>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Date: May 2, 2022</w:t>
      </w:r>
    </w:p>
    <w:p>
      <w:pPr>
        <w:spacing w:after="0" w:line="200" w:lineRule="exact"/>
        <w:rPr>
          <w:sz w:val="20"/>
          <w:szCs w:val="20"/>
          <w:color w:val="auto"/>
        </w:rPr>
      </w:pPr>
    </w:p>
    <w:p>
      <w:pPr>
        <w:ind w:left="5640"/>
        <w:spacing w:after="0"/>
        <w:tabs>
          <w:tab w:leader="none" w:pos="6180" w:val="left"/>
        </w:tabs>
        <w:rPr>
          <w:sz w:val="20"/>
          <w:szCs w:val="20"/>
          <w:color w:val="auto"/>
        </w:rPr>
      </w:pPr>
      <w:r>
        <w:rPr>
          <w:rFonts w:ascii="Georgia" w:cs="Georgia" w:eastAsia="Georgia" w:hAnsi="Georgia"/>
          <w:sz w:val="18"/>
          <w:szCs w:val="18"/>
          <w:color w:val="auto"/>
        </w:rPr>
        <w:t>By:</w:t>
      </w:r>
      <w:r>
        <w:rPr>
          <w:sz w:val="20"/>
          <w:szCs w:val="20"/>
          <w:color w:val="auto"/>
        </w:rPr>
        <w:tab/>
      </w:r>
      <w:r>
        <w:rPr>
          <w:rFonts w:ascii="Georgia" w:cs="Georgia" w:eastAsia="Georgia" w:hAnsi="Georgia"/>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Georgia" w:cs="Georgia" w:eastAsia="Georgia" w:hAnsi="Georgia"/>
          <w:sz w:val="18"/>
          <w:szCs w:val="18"/>
          <w:color w:val="auto"/>
        </w:rPr>
        <w:t>Name: Richard B. Slansky</w:t>
      </w:r>
    </w:p>
    <w:p>
      <w:pPr>
        <w:spacing w:after="0" w:line="9" w:lineRule="exact"/>
        <w:rPr>
          <w:sz w:val="20"/>
          <w:szCs w:val="20"/>
          <w:color w:val="auto"/>
        </w:rPr>
      </w:pPr>
    </w:p>
    <w:p>
      <w:pPr>
        <w:ind w:left="5640"/>
        <w:spacing w:after="0"/>
        <w:rPr>
          <w:sz w:val="20"/>
          <w:szCs w:val="20"/>
          <w:color w:val="auto"/>
        </w:rPr>
      </w:pPr>
      <w:r>
        <w:rPr>
          <w:rFonts w:ascii="Georgia" w:cs="Georgia" w:eastAsia="Georgia" w:hAnsi="Georgia"/>
          <w:sz w:val="18"/>
          <w:szCs w:val="18"/>
          <w:color w:val="auto"/>
        </w:rPr>
        <w:t>Title:  Chief Financial Officer</w:t>
      </w:r>
    </w:p>
    <w:p>
      <w:pPr>
        <w:ind w:left="6200"/>
        <w:spacing w:after="0" w:line="238" w:lineRule="auto"/>
        <w:rPr>
          <w:sz w:val="20"/>
          <w:szCs w:val="20"/>
          <w:color w:val="auto"/>
        </w:rPr>
      </w:pPr>
      <w:r>
        <w:rPr>
          <w:rFonts w:ascii="Georgia" w:cs="Georgia" w:eastAsia="Georgia" w:hAnsi="Georgia"/>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95" w:name="page196"/>
    <w:bookmarkEnd w:id="195"/>
    <w:p>
      <w:pPr>
        <w:jc w:val="right"/>
        <w:spacing w:after="0"/>
        <w:rPr>
          <w:sz w:val="20"/>
          <w:szCs w:val="20"/>
          <w:color w:val="auto"/>
        </w:rPr>
      </w:pPr>
      <w:r>
        <w:rPr>
          <w:rFonts w:ascii="Georgia" w:cs="Georgia" w:eastAsia="Georgia" w:hAnsi="Georgia"/>
          <w:sz w:val="18"/>
          <w:szCs w:val="18"/>
          <w:b w:val="1"/>
          <w:bCs w:val="1"/>
          <w:color w:val="auto"/>
        </w:rPr>
        <w:t>Exhibit 13.1</w:t>
      </w:r>
    </w:p>
    <w:p>
      <w:pPr>
        <w:spacing w:after="0" w:line="200"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Certification Pursuant to 18 U.S.C. Section 1350</w:t>
      </w:r>
    </w:p>
    <w:p>
      <w:pPr>
        <w:spacing w:after="0" w:line="202" w:lineRule="exact"/>
        <w:rPr>
          <w:sz w:val="20"/>
          <w:szCs w:val="20"/>
          <w:color w:val="auto"/>
        </w:rPr>
      </w:pPr>
    </w:p>
    <w:p>
      <w:pPr>
        <w:jc w:val="both"/>
        <w:ind w:right="300"/>
        <w:spacing w:after="0" w:line="237" w:lineRule="auto"/>
        <w:rPr>
          <w:sz w:val="20"/>
          <w:szCs w:val="20"/>
          <w:color w:val="auto"/>
        </w:rPr>
      </w:pPr>
      <w:r>
        <w:rPr>
          <w:rFonts w:ascii="Georgia" w:cs="Georgia" w:eastAsia="Georgia" w:hAnsi="Georgia"/>
          <w:sz w:val="18"/>
          <w:szCs w:val="18"/>
          <w:color w:val="auto"/>
        </w:rPr>
        <w:t>Pursuant to U.S.C. Section 1350 of the Sarbanes-Oxley Act of 2002 (subsections (a) and (b) of Section 1350, Chapter 63 of Title 18, United States Code), each of the undersigned officers of Genenta Science S.p.A. (the “Company”), does hereby certify, to such officer’s knowledge, that:</w:t>
      </w:r>
    </w:p>
    <w:p>
      <w:pPr>
        <w:spacing w:after="0" w:line="204"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Annual Report on Form 20-F for the year ended December 31, 2021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7920" w:type="dxa"/>
            <w:vAlign w:val="bottom"/>
            <w:gridSpan w:val="2"/>
          </w:tcPr>
          <w:p>
            <w:pPr>
              <w:ind w:left="2320"/>
              <w:spacing w:after="0"/>
              <w:rPr>
                <w:sz w:val="20"/>
                <w:szCs w:val="20"/>
                <w:color w:val="auto"/>
              </w:rPr>
            </w:pPr>
            <w:r>
              <w:rPr>
                <w:rFonts w:ascii="Georgia" w:cs="Georgia" w:eastAsia="Georgia" w:hAnsi="Georgia"/>
                <w:sz w:val="18"/>
                <w:szCs w:val="18"/>
                <w:b w:val="1"/>
                <w:bCs w:val="1"/>
                <w:color w:val="auto"/>
              </w:rPr>
              <w:t>GENENTA SCIENCE S.P.A.</w:t>
            </w:r>
          </w:p>
        </w:tc>
      </w:tr>
      <w:tr>
        <w:trPr>
          <w:trHeight w:val="428"/>
        </w:trPr>
        <w:tc>
          <w:tcPr>
            <w:tcW w:w="3320" w:type="dxa"/>
            <w:vAlign w:val="bottom"/>
          </w:tcPr>
          <w:p>
            <w:pPr>
              <w:spacing w:after="0"/>
              <w:rPr>
                <w:sz w:val="20"/>
                <w:szCs w:val="20"/>
                <w:color w:val="auto"/>
              </w:rPr>
            </w:pPr>
            <w:r>
              <w:rPr>
                <w:rFonts w:ascii="Georgia" w:cs="Georgia" w:eastAsia="Georgia" w:hAnsi="Georgia"/>
                <w:sz w:val="18"/>
                <w:szCs w:val="18"/>
                <w:color w:val="auto"/>
              </w:rPr>
              <w:t>May 2, 2022</w:t>
            </w:r>
          </w:p>
        </w:tc>
        <w:tc>
          <w:tcPr>
            <w:tcW w:w="2880" w:type="dxa"/>
            <w:vAlign w:val="bottom"/>
          </w:tcPr>
          <w:p>
            <w:pPr>
              <w:ind w:left="2320"/>
              <w:spacing w:after="0"/>
              <w:rPr>
                <w:sz w:val="20"/>
                <w:szCs w:val="20"/>
                <w:color w:val="auto"/>
              </w:rPr>
            </w:pPr>
            <w:r>
              <w:rPr>
                <w:rFonts w:ascii="Georgia" w:cs="Georgia" w:eastAsia="Georgia" w:hAnsi="Georgia"/>
                <w:sz w:val="18"/>
                <w:szCs w:val="18"/>
                <w:color w:val="auto"/>
              </w:rPr>
              <w:t>By:</w:t>
            </w:r>
          </w:p>
        </w:tc>
        <w:tc>
          <w:tcPr>
            <w:tcW w:w="5040" w:type="dxa"/>
            <w:vAlign w:val="bottom"/>
            <w:tcBorders>
              <w:bottom w:val="single" w:sz="8" w:color="auto"/>
            </w:tcBorders>
          </w:tcPr>
          <w:p>
            <w:pPr>
              <w:spacing w:after="0"/>
              <w:rPr>
                <w:sz w:val="20"/>
                <w:szCs w:val="20"/>
                <w:color w:val="auto"/>
              </w:rPr>
            </w:pPr>
            <w:r>
              <w:rPr>
                <w:rFonts w:ascii="Georgia" w:cs="Georgia" w:eastAsia="Georgia" w:hAnsi="Georgia"/>
                <w:sz w:val="18"/>
                <w:szCs w:val="18"/>
                <w:i w:val="1"/>
                <w:iCs w:val="1"/>
                <w:color w:val="auto"/>
              </w:rPr>
              <w:t>/s/ Pierluigi Paracchi</w:t>
            </w:r>
          </w:p>
        </w:tc>
      </w:tr>
      <w:tr>
        <w:trPr>
          <w:trHeight w:val="199"/>
        </w:trPr>
        <w:tc>
          <w:tcPr>
            <w:tcW w:w="3320" w:type="dxa"/>
            <w:vAlign w:val="bottom"/>
          </w:tcPr>
          <w:p>
            <w:pPr>
              <w:spacing w:after="0"/>
              <w:rPr>
                <w:sz w:val="17"/>
                <w:szCs w:val="17"/>
                <w:color w:val="auto"/>
              </w:rPr>
            </w:pPr>
          </w:p>
        </w:tc>
        <w:tc>
          <w:tcPr>
            <w:tcW w:w="2880" w:type="dxa"/>
            <w:vAlign w:val="bottom"/>
          </w:tcPr>
          <w:p>
            <w:pPr>
              <w:ind w:left="2320"/>
              <w:spacing w:after="0" w:line="186" w:lineRule="exact"/>
              <w:rPr>
                <w:sz w:val="20"/>
                <w:szCs w:val="20"/>
                <w:color w:val="auto"/>
              </w:rPr>
            </w:pPr>
            <w:r>
              <w:rPr>
                <w:rFonts w:ascii="Georgia" w:cs="Georgia" w:eastAsia="Georgia" w:hAnsi="Georgia"/>
                <w:sz w:val="18"/>
                <w:szCs w:val="18"/>
                <w:color w:val="auto"/>
              </w:rPr>
              <w:t>Name:</w:t>
            </w:r>
          </w:p>
        </w:tc>
        <w:tc>
          <w:tcPr>
            <w:tcW w:w="5040" w:type="dxa"/>
            <w:vAlign w:val="bottom"/>
          </w:tcPr>
          <w:p>
            <w:pPr>
              <w:spacing w:after="0" w:line="200" w:lineRule="exact"/>
              <w:rPr>
                <w:sz w:val="20"/>
                <w:szCs w:val="20"/>
                <w:color w:val="auto"/>
              </w:rPr>
            </w:pPr>
            <w:r>
              <w:rPr>
                <w:rFonts w:ascii="Georgia" w:cs="Georgia" w:eastAsia="Georgia" w:hAnsi="Georgia"/>
                <w:sz w:val="18"/>
                <w:szCs w:val="18"/>
                <w:color w:val="auto"/>
              </w:rPr>
              <w:t>Pierluigi Paracchi</w:t>
            </w:r>
          </w:p>
        </w:tc>
      </w:tr>
      <w:tr>
        <w:trPr>
          <w:trHeight w:val="203"/>
        </w:trPr>
        <w:tc>
          <w:tcPr>
            <w:tcW w:w="3320" w:type="dxa"/>
            <w:vAlign w:val="bottom"/>
          </w:tcPr>
          <w:p>
            <w:pPr>
              <w:spacing w:after="0"/>
              <w:rPr>
                <w:sz w:val="17"/>
                <w:szCs w:val="17"/>
                <w:color w:val="auto"/>
              </w:rPr>
            </w:pPr>
          </w:p>
        </w:tc>
        <w:tc>
          <w:tcPr>
            <w:tcW w:w="2880" w:type="dxa"/>
            <w:vAlign w:val="bottom"/>
          </w:tcPr>
          <w:p>
            <w:pPr>
              <w:ind w:left="2320"/>
              <w:spacing w:after="0" w:line="202" w:lineRule="exact"/>
              <w:rPr>
                <w:sz w:val="20"/>
                <w:szCs w:val="20"/>
                <w:color w:val="auto"/>
              </w:rPr>
            </w:pPr>
            <w:r>
              <w:rPr>
                <w:rFonts w:ascii="Georgia" w:cs="Georgia" w:eastAsia="Georgia" w:hAnsi="Georgia"/>
                <w:sz w:val="18"/>
                <w:szCs w:val="18"/>
                <w:color w:val="auto"/>
              </w:rPr>
              <w:t>Title:</w:t>
            </w:r>
          </w:p>
        </w:tc>
        <w:tc>
          <w:tcPr>
            <w:tcW w:w="5040" w:type="dxa"/>
            <w:vAlign w:val="bottom"/>
          </w:tcPr>
          <w:p>
            <w:pPr>
              <w:spacing w:after="0" w:line="202" w:lineRule="exact"/>
              <w:rPr>
                <w:sz w:val="20"/>
                <w:szCs w:val="20"/>
                <w:color w:val="auto"/>
              </w:rPr>
            </w:pPr>
            <w:r>
              <w:rPr>
                <w:rFonts w:ascii="Georgia" w:cs="Georgia" w:eastAsia="Georgia" w:hAnsi="Georgia"/>
                <w:sz w:val="18"/>
                <w:szCs w:val="18"/>
                <w:color w:val="auto"/>
              </w:rPr>
              <w:t>Chief Executive Officer</w:t>
            </w:r>
          </w:p>
        </w:tc>
      </w:tr>
      <w:tr>
        <w:trPr>
          <w:trHeight w:val="203"/>
        </w:trPr>
        <w:tc>
          <w:tcPr>
            <w:tcW w:w="3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040" w:type="dxa"/>
            <w:vAlign w:val="bottom"/>
          </w:tcPr>
          <w:p>
            <w:pPr>
              <w:spacing w:after="0" w:line="203" w:lineRule="exact"/>
              <w:rPr>
                <w:sz w:val="20"/>
                <w:szCs w:val="20"/>
                <w:color w:val="auto"/>
              </w:rPr>
            </w:pPr>
            <w:r>
              <w:rPr>
                <w:rFonts w:ascii="Georgia" w:cs="Georgia" w:eastAsia="Georgia" w:hAnsi="Georgia"/>
                <w:sz w:val="18"/>
                <w:szCs w:val="18"/>
                <w:color w:val="auto"/>
              </w:rPr>
              <w:t>(Principal Executive Officer)</w:t>
            </w:r>
          </w:p>
        </w:tc>
      </w:tr>
      <w:tr>
        <w:trPr>
          <w:trHeight w:val="428"/>
        </w:trPr>
        <w:tc>
          <w:tcPr>
            <w:tcW w:w="3320" w:type="dxa"/>
            <w:vAlign w:val="bottom"/>
          </w:tcPr>
          <w:p>
            <w:pPr>
              <w:spacing w:after="0"/>
              <w:rPr>
                <w:sz w:val="20"/>
                <w:szCs w:val="20"/>
                <w:color w:val="auto"/>
              </w:rPr>
            </w:pPr>
            <w:r>
              <w:rPr>
                <w:rFonts w:ascii="Georgia" w:cs="Georgia" w:eastAsia="Georgia" w:hAnsi="Georgia"/>
                <w:sz w:val="18"/>
                <w:szCs w:val="18"/>
                <w:color w:val="auto"/>
              </w:rPr>
              <w:t>May 2, 2022</w:t>
            </w:r>
          </w:p>
        </w:tc>
        <w:tc>
          <w:tcPr>
            <w:tcW w:w="2880" w:type="dxa"/>
            <w:vAlign w:val="bottom"/>
          </w:tcPr>
          <w:p>
            <w:pPr>
              <w:ind w:left="2320"/>
              <w:spacing w:after="0"/>
              <w:rPr>
                <w:sz w:val="20"/>
                <w:szCs w:val="20"/>
                <w:color w:val="auto"/>
              </w:rPr>
            </w:pPr>
            <w:r>
              <w:rPr>
                <w:rFonts w:ascii="Georgia" w:cs="Georgia" w:eastAsia="Georgia" w:hAnsi="Georgia"/>
                <w:sz w:val="18"/>
                <w:szCs w:val="18"/>
                <w:color w:val="auto"/>
              </w:rPr>
              <w:t>By:</w:t>
            </w:r>
          </w:p>
        </w:tc>
        <w:tc>
          <w:tcPr>
            <w:tcW w:w="5040" w:type="dxa"/>
            <w:vAlign w:val="bottom"/>
            <w:tcBorders>
              <w:bottom w:val="single" w:sz="8" w:color="auto"/>
            </w:tcBorders>
          </w:tcPr>
          <w:p>
            <w:pPr>
              <w:spacing w:after="0"/>
              <w:rPr>
                <w:sz w:val="20"/>
                <w:szCs w:val="20"/>
                <w:color w:val="auto"/>
              </w:rPr>
            </w:pPr>
            <w:r>
              <w:rPr>
                <w:rFonts w:ascii="Georgia" w:cs="Georgia" w:eastAsia="Georgia" w:hAnsi="Georgia"/>
                <w:sz w:val="18"/>
                <w:szCs w:val="18"/>
                <w:i w:val="1"/>
                <w:iCs w:val="1"/>
                <w:color w:val="auto"/>
              </w:rPr>
              <w:t>/s/ Richard B. Slansky</w:t>
            </w:r>
          </w:p>
        </w:tc>
      </w:tr>
      <w:tr>
        <w:trPr>
          <w:trHeight w:val="199"/>
        </w:trPr>
        <w:tc>
          <w:tcPr>
            <w:tcW w:w="3320" w:type="dxa"/>
            <w:vAlign w:val="bottom"/>
          </w:tcPr>
          <w:p>
            <w:pPr>
              <w:spacing w:after="0"/>
              <w:rPr>
                <w:sz w:val="17"/>
                <w:szCs w:val="17"/>
                <w:color w:val="auto"/>
              </w:rPr>
            </w:pPr>
          </w:p>
        </w:tc>
        <w:tc>
          <w:tcPr>
            <w:tcW w:w="2880" w:type="dxa"/>
            <w:vAlign w:val="bottom"/>
          </w:tcPr>
          <w:p>
            <w:pPr>
              <w:ind w:left="2320"/>
              <w:spacing w:after="0" w:line="186" w:lineRule="exact"/>
              <w:rPr>
                <w:sz w:val="20"/>
                <w:szCs w:val="20"/>
                <w:color w:val="auto"/>
              </w:rPr>
            </w:pPr>
            <w:r>
              <w:rPr>
                <w:rFonts w:ascii="Georgia" w:cs="Georgia" w:eastAsia="Georgia" w:hAnsi="Georgia"/>
                <w:sz w:val="18"/>
                <w:szCs w:val="18"/>
                <w:color w:val="auto"/>
              </w:rPr>
              <w:t>Name:</w:t>
            </w:r>
          </w:p>
        </w:tc>
        <w:tc>
          <w:tcPr>
            <w:tcW w:w="5040" w:type="dxa"/>
            <w:vAlign w:val="bottom"/>
          </w:tcPr>
          <w:p>
            <w:pPr>
              <w:spacing w:after="0" w:line="200" w:lineRule="exact"/>
              <w:rPr>
                <w:sz w:val="20"/>
                <w:szCs w:val="20"/>
                <w:color w:val="auto"/>
              </w:rPr>
            </w:pPr>
            <w:r>
              <w:rPr>
                <w:rFonts w:ascii="Georgia" w:cs="Georgia" w:eastAsia="Georgia" w:hAnsi="Georgia"/>
                <w:sz w:val="18"/>
                <w:szCs w:val="18"/>
                <w:color w:val="auto"/>
              </w:rPr>
              <w:t>Richard B. Slansky</w:t>
            </w:r>
          </w:p>
        </w:tc>
      </w:tr>
      <w:tr>
        <w:trPr>
          <w:trHeight w:val="203"/>
        </w:trPr>
        <w:tc>
          <w:tcPr>
            <w:tcW w:w="3320" w:type="dxa"/>
            <w:vAlign w:val="bottom"/>
          </w:tcPr>
          <w:p>
            <w:pPr>
              <w:spacing w:after="0"/>
              <w:rPr>
                <w:sz w:val="17"/>
                <w:szCs w:val="17"/>
                <w:color w:val="auto"/>
              </w:rPr>
            </w:pPr>
          </w:p>
        </w:tc>
        <w:tc>
          <w:tcPr>
            <w:tcW w:w="2880" w:type="dxa"/>
            <w:vAlign w:val="bottom"/>
          </w:tcPr>
          <w:p>
            <w:pPr>
              <w:ind w:left="2320"/>
              <w:spacing w:after="0" w:line="202" w:lineRule="exact"/>
              <w:rPr>
                <w:sz w:val="20"/>
                <w:szCs w:val="20"/>
                <w:color w:val="auto"/>
              </w:rPr>
            </w:pPr>
            <w:r>
              <w:rPr>
                <w:rFonts w:ascii="Georgia" w:cs="Georgia" w:eastAsia="Georgia" w:hAnsi="Georgia"/>
                <w:sz w:val="18"/>
                <w:szCs w:val="18"/>
                <w:color w:val="auto"/>
              </w:rPr>
              <w:t>Title:</w:t>
            </w:r>
          </w:p>
        </w:tc>
        <w:tc>
          <w:tcPr>
            <w:tcW w:w="5040" w:type="dxa"/>
            <w:vAlign w:val="bottom"/>
          </w:tcPr>
          <w:p>
            <w:pPr>
              <w:spacing w:after="0" w:line="202" w:lineRule="exact"/>
              <w:rPr>
                <w:sz w:val="20"/>
                <w:szCs w:val="20"/>
                <w:color w:val="auto"/>
              </w:rPr>
            </w:pPr>
            <w:r>
              <w:rPr>
                <w:rFonts w:ascii="Georgia" w:cs="Georgia" w:eastAsia="Georgia" w:hAnsi="Georgia"/>
                <w:sz w:val="18"/>
                <w:szCs w:val="18"/>
                <w:color w:val="auto"/>
              </w:rPr>
              <w:t>Chief Financial Officer</w:t>
            </w:r>
          </w:p>
        </w:tc>
      </w:tr>
      <w:tr>
        <w:trPr>
          <w:trHeight w:val="203"/>
        </w:trPr>
        <w:tc>
          <w:tcPr>
            <w:tcW w:w="3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040" w:type="dxa"/>
            <w:vAlign w:val="bottom"/>
          </w:tcPr>
          <w:p>
            <w:pPr>
              <w:spacing w:after="0" w:line="203" w:lineRule="exact"/>
              <w:rPr>
                <w:sz w:val="20"/>
                <w:szCs w:val="20"/>
                <w:color w:val="auto"/>
              </w:rPr>
            </w:pPr>
            <w:r>
              <w:rPr>
                <w:rFonts w:ascii="Georgia" w:cs="Georgia" w:eastAsia="Georgia" w:hAnsi="Georgia"/>
                <w:sz w:val="18"/>
                <w:szCs w:val="18"/>
                <w:color w:val="auto"/>
              </w:rPr>
              <w:t>(Principal Financial and Accounting Officer)</w:t>
            </w:r>
          </w:p>
        </w:tc>
      </w:tr>
      <w:tr>
        <w:trPr>
          <w:trHeight w:val="428"/>
        </w:trPr>
        <w:tc>
          <w:tcPr>
            <w:tcW w:w="3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1."/>
      <w:numFmt w:val="upperLetter"/>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1)"/>
      <w:numFmt w:val="lowerLetter"/>
      <w:start w:val="1"/>
    </w:lvl>
  </w:abstractNum>
  <w:abstractNum w:abstractNumId="51">
    <w:nsid w:val="68EBC550"/>
    <w:multiLevelType w:val="hybridMultilevel"/>
    <w:lvl w:ilvl="0">
      <w:lvlJc w:val="left"/>
      <w:lvlText w:val="(%1)"/>
      <w:numFmt w:val="decimal"/>
      <w:start w:val="1"/>
    </w:lvl>
    <w:lvl w:ilvl="1">
      <w:lvlJc w:val="left"/>
      <w:lvlText w:val="%2)"/>
      <w:numFmt w:val="lowerLetter"/>
      <w:start w:val="1"/>
    </w:lvl>
  </w:abstractNum>
  <w:abstractNum w:abstractNumId="52">
    <w:nsid w:val="2DF6D648"/>
    <w:multiLevelType w:val="hybridMultilevel"/>
    <w:lvl w:ilvl="0">
      <w:lvlJc w:val="left"/>
      <w:lvlText w:val="(%1)"/>
      <w:numFmt w:val="lowerRoman"/>
      <w:start w:val="1"/>
    </w:lvl>
  </w:abstractNum>
  <w:abstractNum w:abstractNumId="53">
    <w:nsid w:val="46B7D447"/>
    <w:multiLevelType w:val="hybridMultilevel"/>
    <w:lvl w:ilvl="0">
      <w:lvlJc w:val="left"/>
      <w:lvlText w:val="%1)"/>
      <w:numFmt w:val="upperLetter"/>
      <w:start w:val="1"/>
    </w:lvl>
  </w:abstractNum>
  <w:abstractNum w:abstractNumId="54">
    <w:nsid w:val="4A2AC315"/>
    <w:multiLevelType w:val="hybridMultilevel"/>
    <w:lvl w:ilvl="0">
      <w:lvlJc w:val="left"/>
      <w:lvlText w:val="%1)"/>
      <w:numFmt w:val="upperLetter"/>
      <w:start w:val="2"/>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1)"/>
      <w:numFmt w:val="lowerRoman"/>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lvl w:ilvl="1">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1."/>
      <w:numFmt w:val="decimal"/>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1"/>
      <w:numFmt w:val="bullet"/>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1)"/>
      <w:numFmt w:val="decimal"/>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
      <w:numFmt w:val="bullet"/>
      <w:start w:val="1"/>
    </w:lvl>
    <w:lvl w:ilvl="1">
      <w:lvlJc w:val="left"/>
      <w:lvlText w:val="(%2)"/>
      <w:numFmt w:val="lowerRoman"/>
      <w:start w:val="1"/>
    </w:lvl>
  </w:abstractNum>
  <w:abstractNum w:abstractNumId="83">
    <w:nsid w:val="1FBFE8E0"/>
    <w:multiLevelType w:val="hybridMultilevel"/>
    <w:lvl w:ilvl="0">
      <w:lvlJc w:val="left"/>
      <w:lvlText w:val="(%1)"/>
      <w:numFmt w:val="lowerRoman"/>
      <w:start w:val="2"/>
    </w:lvl>
  </w:abstractNum>
  <w:abstractNum w:abstractNumId="84">
    <w:nsid w:val="5092CA79"/>
    <w:multiLevelType w:val="hybridMultilevel"/>
    <w:lvl w:ilvl="0">
      <w:lvlJc w:val="left"/>
      <w:lvlText w:val="%1."/>
      <w:numFmt w:val="upperLetter"/>
      <w:start w:val="3"/>
    </w:lvl>
    <w:lvl w:ilvl="1">
      <w:lvlJc w:val="left"/>
      <w:lvlText w:val="●"/>
      <w:numFmt w:val="bullet"/>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1)"/>
      <w:numFmt w:val="decimal"/>
      <w:start w:val="1"/>
    </w:lvl>
  </w:abstractNum>
  <w:abstractNum w:abstractNumId="87">
    <w:nsid w:val="288F1A34"/>
    <w:multiLevelType w:val="hybridMultilevel"/>
    <w:lvl w:ilvl="0">
      <w:lvlJc w:val="left"/>
      <w:lvlText w:val="(%1)"/>
      <w:numFmt w:val="lowerLetter"/>
      <w:start w:val="1"/>
    </w:lvl>
  </w:abstractNum>
  <w:abstractNum w:abstractNumId="88">
    <w:nsid w:val="2A155DBC"/>
    <w:multiLevelType w:val="hybridMultilevel"/>
    <w:lvl w:ilvl="0">
      <w:lvlJc w:val="left"/>
      <w:lvlText w:val="(%1)"/>
      <w:numFmt w:val="lowerLetter"/>
      <w:start w:val="2"/>
    </w:lvl>
  </w:abstractNum>
  <w:abstractNum w:abstractNumId="89">
    <w:nsid w:val="1D9F6E5F"/>
    <w:multiLevelType w:val="hybridMultilevel"/>
    <w:lvl w:ilvl="0">
      <w:lvlJc w:val="left"/>
      <w:lvlText w:val="(%1)"/>
      <w:numFmt w:val="lowerLetter"/>
      <w:start w:val="1"/>
    </w:lvl>
  </w:abstractNum>
  <w:abstractNum w:abstractNumId="90">
    <w:nsid w:val="97E1B4E"/>
    <w:multiLevelType w:val="hybridMultilevel"/>
    <w:lvl w:ilvl="0">
      <w:lvlJc w:val="left"/>
      <w:lvlText w:val="(%1)"/>
      <w:numFmt w:val="decimal"/>
      <w:start w:val="1"/>
    </w:lvl>
  </w:abstractNum>
  <w:abstractNum w:abstractNumId="91">
    <w:nsid w:val="51088277"/>
    <w:multiLevelType w:val="hybridMultilevel"/>
    <w:lvl w:ilvl="0">
      <w:lvlJc w:val="left"/>
      <w:lvlText w:val="(%1)"/>
      <w:numFmt w:val="lowerRoman"/>
      <w:start w:val="1"/>
    </w:lvl>
  </w:abstractNum>
  <w:abstractNum w:abstractNumId="92">
    <w:nsid w:val="1CA0C5FA"/>
    <w:multiLevelType w:val="hybridMultilevel"/>
    <w:lvl w:ilvl="0">
      <w:lvlJc w:val="left"/>
      <w:lvlText w:val="(%1)"/>
      <w:numFmt w:val="decimal"/>
      <w:start w:val="6"/>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1)"/>
      <w:numFmt w:val="lowerRoman"/>
      <w:start w:val="1"/>
    </w:lvl>
  </w:abstractNum>
  <w:abstractNum w:abstractNumId="96">
    <w:nsid w:val="23D86AAC"/>
    <w:multiLevelType w:val="hybridMultilevel"/>
    <w:lvl w:ilvl="0">
      <w:lvlJc w:val="left"/>
      <w:lvlText w:val="(%1)"/>
      <w:numFmt w:val="lowerRoman"/>
      <w:start w:val="3"/>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
      <w:numFmt w:val="bullet"/>
      <w:start w:val="1"/>
    </w:lvl>
  </w:abstractNum>
  <w:abstractNum w:abstractNumId="101">
    <w:nsid w:val="4BD8591A"/>
    <w:multiLevelType w:val="hybridMultilevel"/>
    <w:lvl w:ilvl="0">
      <w:lvlJc w:val="left"/>
      <w:lvlText w:val="●"/>
      <w:numFmt w:val="bullet"/>
      <w:start w:val="1"/>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
      <w:numFmt w:val="bullet"/>
      <w:start w:val="1"/>
    </w:lvl>
  </w:abstractNum>
  <w:abstractNum w:abstractNumId="108">
    <w:nsid w:val="2C27173B"/>
    <w:multiLevelType w:val="hybridMultilevel"/>
    <w:lvl w:ilvl="0">
      <w:lvlJc w:val="left"/>
      <w:lvlText w:val="●"/>
      <w:numFmt w:val="bullet"/>
      <w:start w:val="1"/>
    </w:lvl>
  </w:abstractNum>
  <w:abstractNum w:abstractNumId="109">
    <w:nsid w:val="4C9B0904"/>
    <w:multiLevelType w:val="hybridMultilevel"/>
    <w:lvl w:ilvl="0">
      <w:lvlJc w:val="left"/>
      <w:lvlText w:val="●"/>
      <w:numFmt w:val="bullet"/>
      <w:start w:val="1"/>
    </w:lvl>
  </w:abstractNum>
  <w:abstractNum w:abstractNumId="110">
    <w:nsid w:val="6AA7B75C"/>
    <w:multiLevelType w:val="hybridMultilevel"/>
    <w:lvl w:ilvl="0">
      <w:lvlJc w:val="left"/>
      <w:lvlText w:val="%1)"/>
      <w:numFmt w:val="lowerLetter"/>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1"/>
      <w:numFmt w:val="bullet"/>
      <w:start w:val="1"/>
    </w:lvl>
  </w:abstractNum>
  <w:abstractNum w:abstractNumId="113">
    <w:nsid w:val="3DD15094"/>
    <w:multiLevelType w:val="hybridMultilevel"/>
    <w:lvl w:ilvl="0">
      <w:lvlJc w:val="left"/>
      <w:lvlText w:val="-"/>
      <w:numFmt w:val="bullet"/>
      <w:start w:val="1"/>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
      <w:numFmt w:val="bullet"/>
      <w:start w:val="1"/>
    </w:lvl>
  </w:abstractNum>
  <w:abstractNum w:abstractNumId="116">
    <w:nsid w:val="5B25ACE2"/>
    <w:multiLevelType w:val="hybridMultilevel"/>
    <w:lvl w:ilvl="0">
      <w:lvlJc w:val="left"/>
      <w:lvlText w:val="*"/>
      <w:numFmt w:val="bullet"/>
      <w:start w:val="1"/>
    </w:lvl>
  </w:abstractNum>
  <w:abstractNum w:abstractNumId="117">
    <w:nsid w:val="175DFCF0"/>
    <w:multiLevelType w:val="hybridMultilevel"/>
    <w:lvl w:ilvl="0">
      <w:lvlJc w:val="left"/>
      <w:lvlText w:val="%1."/>
      <w:numFmt w:val="upperLetter"/>
      <w:start w:val="9"/>
    </w:lvl>
  </w:abstractNum>
  <w:abstractNum w:abstractNumId="118">
    <w:nsid w:val="4F97E3E4"/>
    <w:multiLevelType w:val="hybridMultilevel"/>
    <w:lvl w:ilvl="0">
      <w:lvlJc w:val="left"/>
      <w:lvlText w:val="●"/>
      <w:numFmt w:val="bullet"/>
      <w:start w:val="1"/>
    </w:lvl>
  </w:abstractNum>
  <w:abstractNum w:abstractNumId="119">
    <w:nsid w:val="53B0A9E"/>
    <w:multiLevelType w:val="hybridMultilevel"/>
    <w:lvl w:ilvl="0">
      <w:lvlJc w:val="left"/>
      <w:lvlText w:val="●"/>
      <w:numFmt w:val="bullet"/>
      <w:start w:val="1"/>
    </w:lvl>
  </w:abstractNum>
  <w:abstractNum w:abstractNumId="120">
    <w:nsid w:val="34FD6B4F"/>
    <w:multiLevelType w:val="hybridMultilevel"/>
    <w:lvl w:ilvl="0">
      <w:lvlJc w:val="left"/>
      <w:lvlText w:val="●"/>
      <w:numFmt w:val="bullet"/>
      <w:start w:val="1"/>
    </w:lvl>
  </w:abstractNum>
  <w:abstractNum w:abstractNumId="121">
    <w:nsid w:val="5915FF32"/>
    <w:multiLevelType w:val="hybridMultilevel"/>
    <w:lvl w:ilvl="0">
      <w:lvlJc w:val="left"/>
      <w:lvlText w:val="["/>
      <w:numFmt w:val="bullet"/>
      <w:start w:val="1"/>
    </w:lvl>
  </w:abstractNum>
  <w:abstractNum w:abstractNumId="122">
    <w:nsid w:val="56438D15"/>
    <w:multiLevelType w:val="hybridMultilevel"/>
    <w:lvl w:ilvl="0">
      <w:lvlJc w:val="left"/>
      <w:lvlText w:val="(%1)"/>
      <w:numFmt w:val="lowerLetter"/>
      <w:start w:val="1"/>
    </w:lvl>
  </w:abstractNum>
  <w:abstractNum w:abstractNumId="123">
    <w:nsid w:val="519E3149"/>
    <w:multiLevelType w:val="hybridMultilevel"/>
    <w:lvl w:ilvl="0">
      <w:lvlJc w:val="left"/>
      <w:lvlText w:val="%1."/>
      <w:numFmt w:val="decimal"/>
      <w:start w:val="1"/>
    </w:lvl>
  </w:abstractNum>
  <w:abstractNum w:abstractNumId="124">
    <w:nsid w:val="2C6E4AFD"/>
    <w:multiLevelType w:val="hybridMultilevel"/>
    <w:lvl w:ilvl="0">
      <w:lvlJc w:val="left"/>
      <w:lvlText w:val="%1"/>
      <w:numFmt w:val="decimal"/>
      <w:start w:val="1"/>
    </w:lvl>
    <w:lvl w:ilvl="1">
      <w:lvlJc w:val="left"/>
      <w:lvlText w:val="%2."/>
      <w:numFmt w:val="lowerRoman"/>
      <w:start w:val="1"/>
    </w:lvl>
  </w:abstractNum>
  <w:abstractNum w:abstractNumId="125">
    <w:nsid w:val="17A1B582"/>
    <w:multiLevelType w:val="hybridMultilevel"/>
    <w:lvl w:ilvl="0">
      <w:lvlJc w:val="left"/>
      <w:lvlText w:val="%1."/>
      <w:numFmt w:val="decimal"/>
      <w:start w:val="3"/>
    </w:lvl>
    <w:lvl w:ilvl="1">
      <w:lvlJc w:val="left"/>
      <w:lvlText w:val="%2"/>
      <w:numFmt w:val="lowerRoman"/>
      <w:start w:val="1"/>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jpe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jpeg"/><Relationship Id="rId257" Type="http://schemas.openxmlformats.org/officeDocument/2006/relationships/image" Target="media/image235.png"/><Relationship Id="rId258" Type="http://schemas.openxmlformats.org/officeDocument/2006/relationships/image" Target="media/image236.jpeg"/><Relationship Id="rId259" Type="http://schemas.openxmlformats.org/officeDocument/2006/relationships/image" Target="media/image237.jpeg"/><Relationship Id="rId260" Type="http://schemas.openxmlformats.org/officeDocument/2006/relationships/image" Target="media/image238.png"/><Relationship Id="rId261" Type="http://schemas.openxmlformats.org/officeDocument/2006/relationships/image" Target="media/image239.jpeg"/><Relationship Id="rId262" Type="http://schemas.openxmlformats.org/officeDocument/2006/relationships/image" Target="media/image240.jpeg"/><Relationship Id="rId263" Type="http://schemas.openxmlformats.org/officeDocument/2006/relationships/image" Target="media/image241.png"/><Relationship Id="rId264" Type="http://schemas.openxmlformats.org/officeDocument/2006/relationships/image" Target="media/image242.jpeg"/><Relationship Id="rId265" Type="http://schemas.openxmlformats.org/officeDocument/2006/relationships/image" Target="media/image243.jpeg"/><Relationship Id="rId266" Type="http://schemas.openxmlformats.org/officeDocument/2006/relationships/image" Target="media/image244.png"/><Relationship Id="rId267" Type="http://schemas.openxmlformats.org/officeDocument/2006/relationships/image" Target="media/image245.jpeg"/><Relationship Id="rId268" Type="http://schemas.openxmlformats.org/officeDocument/2006/relationships/image" Target="media/image246.jpe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173" Type="http://schemas.openxmlformats.org/officeDocument/2006/relationships/hyperlink" Target="https://www.sec.gov/Archives/edgar/data/1838716/000149315221027683/ex3-1.htm" TargetMode="External"/><Relationship Id="rId174" Type="http://schemas.openxmlformats.org/officeDocument/2006/relationships/hyperlink" Target="https://www.sec.gov/Archives/edgar/data/1838716/000149315221027683/ex3-2.htm" TargetMode="External"/><Relationship Id="rId175" Type="http://schemas.openxmlformats.org/officeDocument/2006/relationships/hyperlink" Target="https://www.sec.gov/Archives/edgar/data/1838716/000149315221027683/ex4-1.htm" TargetMode="External"/><Relationship Id="rId176" Type="http://schemas.openxmlformats.org/officeDocument/2006/relationships/hyperlink" Target="https://www.sec.gov/Archives/edgar/data/1838716/000149315221027683/ex10-1.htm" TargetMode="External"/><Relationship Id="rId177" Type="http://schemas.openxmlformats.org/officeDocument/2006/relationships/hyperlink" Target="https://www.sec.gov/Archives/edgar/data/1838716/000149315221027683/ex10-2.htm" TargetMode="External"/><Relationship Id="rId178" Type="http://schemas.openxmlformats.org/officeDocument/2006/relationships/hyperlink" Target="https://www.sec.gov/Archives/edgar/data/1838716/000149315221027683/ex10-3.htm" TargetMode="External"/><Relationship Id="rId179" Type="http://schemas.openxmlformats.org/officeDocument/2006/relationships/hyperlink" Target="https://www.sec.gov/Archives/edgar/data/1838716/000149315221027683/ex10-4.htm" TargetMode="External"/><Relationship Id="rId180" Type="http://schemas.openxmlformats.org/officeDocument/2006/relationships/hyperlink" Target="https://www.sec.gov/Archives/edgar/data/1838716/000149315221027683/ex10-12.htm" TargetMode="External"/><Relationship Id="rId181" Type="http://schemas.openxmlformats.org/officeDocument/2006/relationships/hyperlink" Target="https://www.sec.gov/Archives/edgar/data/1838716/000149315221027683/ex10-5.htm" TargetMode="External"/><Relationship Id="rId182" Type="http://schemas.openxmlformats.org/officeDocument/2006/relationships/hyperlink" Target="https://www.sec.gov/Archives/edgar/data/1838716/000149315221027683/ex10-6.htm" TargetMode="External"/><Relationship Id="rId183" Type="http://schemas.openxmlformats.org/officeDocument/2006/relationships/hyperlink" Target="https://www.sec.gov/Archives/edgar/data/1838716/000149315221027683/ex10-7.htm" TargetMode="External"/><Relationship Id="rId184" Type="http://schemas.openxmlformats.org/officeDocument/2006/relationships/hyperlink" Target="https://www.sec.gov/Archives/edgar/data/1838716/000149315221027683/ex10-8.htm" TargetMode="External"/><Relationship Id="rId185" Type="http://schemas.openxmlformats.org/officeDocument/2006/relationships/hyperlink" Target="https://www.sec.gov/Archives/edgar/data/1838716/000149315221027683/ex10-9.htm" TargetMode="External"/><Relationship Id="rId186" Type="http://schemas.openxmlformats.org/officeDocument/2006/relationships/hyperlink" Target="https://www.sec.gov/Archives/edgar/data/1838716/000149315221027683/ex10-10.htm" TargetMode="External"/><Relationship Id="rId187" Type="http://schemas.openxmlformats.org/officeDocument/2006/relationships/hyperlink" Target="https://www.sec.gov/Archives/edgar/data/1838716/000149315221027683/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2022-05-02T05:49:44Z</dcterms:created>
  <dcterms:modified xsi:type="dcterms:W3CDTF">2022-05-02T05:49:44Z</dcterms:modified>
</cp:coreProperties>
</file>